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个国、省考断面进行了监测，具体监测情况见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2月大同市地表水国、省考断面监测结果表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432"/>
        <w:gridCol w:w="1072"/>
        <w:gridCol w:w="645"/>
        <w:gridCol w:w="432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未返还监测数据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29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根据晋环发【2021】12号文，《关于印发&lt;山西省“十四五”省控地表水环境质量监测网断面设置方案&gt;的通知》，确定我市境内地表水国、省考断面共15个，8个国考断面、7个省考断面。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86.66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6.67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未取得监测数据的断面，</w:t>
      </w:r>
      <w:r>
        <w:rPr>
          <w:rFonts w:hint="eastAsia" w:ascii="宋体" w:hAnsi="宋体" w:eastAsia="宋体" w:cs="宋体"/>
          <w:sz w:val="28"/>
          <w:szCs w:val="28"/>
        </w:rPr>
        <w:t>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全市总体水质为良好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ge">
              <wp:posOffset>2672715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A2F3F"/>
    <w:rsid w:val="0BB82860"/>
    <w:rsid w:val="0BEA189E"/>
    <w:rsid w:val="0C044A4B"/>
    <w:rsid w:val="0C532525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3AC3300"/>
    <w:rsid w:val="65940EB9"/>
    <w:rsid w:val="659C17E4"/>
    <w:rsid w:val="65EF6E86"/>
    <w:rsid w:val="668A147F"/>
    <w:rsid w:val="6A8C6899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C1C4166"/>
    <w:rsid w:val="7C1C7106"/>
    <w:rsid w:val="7D604357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16967975206612"/>
          <c:y val="0.114163483575248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未取得监测数据断面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0.8666</c:v>
                </c:pt>
                <c:pt idx="1">
                  <c:v>0.0667</c:v>
                </c:pt>
                <c:pt idx="2">
                  <c:v>0.0667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7</TotalTime>
  <ScaleCrop>false</ScaleCrop>
  <LinksUpToDate>false</LinksUpToDate>
  <CharactersWithSpaces>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西西</cp:lastModifiedBy>
  <cp:lastPrinted>2020-05-18T03:36:00Z</cp:lastPrinted>
  <dcterms:modified xsi:type="dcterms:W3CDTF">2022-03-15T07:56:41Z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9FD75E03EC944E0698F3F3BEAD037430</vt:lpwstr>
  </property>
</Properties>
</file>