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E9AE0">
      <w:pPr>
        <w:snapToGrid w:val="0"/>
        <w:spacing w:line="580" w:lineRule="exact"/>
        <w:jc w:val="center"/>
        <w:rPr>
          <w:rFonts w:hint="eastAsia" w:asciiTheme="minorEastAsia" w:hAnsiTheme="minorEastAsia" w:eastAsiaTheme="minorEastAsia" w:cstheme="minorEastAsia"/>
          <w:b/>
          <w:bCs/>
          <w:color w:val="000000"/>
          <w:sz w:val="21"/>
          <w:szCs w:val="21"/>
          <w:lang w:eastAsia="zh-Hans"/>
        </w:rPr>
      </w:pPr>
      <w:bookmarkStart w:id="0" w:name="_GoBack"/>
      <w:r>
        <w:rPr>
          <w:rFonts w:hint="eastAsia" w:asciiTheme="minorEastAsia" w:hAnsiTheme="minorEastAsia" w:eastAsiaTheme="minorEastAsia" w:cstheme="minorEastAsia"/>
          <w:b/>
          <w:bCs/>
          <w:color w:val="000000"/>
          <w:sz w:val="21"/>
          <w:szCs w:val="21"/>
          <w:lang w:val="en-US" w:eastAsia="zh-CN"/>
        </w:rPr>
        <w:t>2025</w:t>
      </w:r>
      <w:r>
        <w:rPr>
          <w:rFonts w:hint="eastAsia" w:asciiTheme="minorEastAsia" w:hAnsiTheme="minorEastAsia" w:eastAsiaTheme="minorEastAsia" w:cstheme="minorEastAsia"/>
          <w:b/>
          <w:bCs/>
          <w:color w:val="000000"/>
          <w:sz w:val="21"/>
          <w:szCs w:val="21"/>
        </w:rPr>
        <w:t>年</w:t>
      </w:r>
      <w:r>
        <w:rPr>
          <w:rFonts w:hint="eastAsia" w:asciiTheme="minorEastAsia" w:hAnsiTheme="minorEastAsia" w:eastAsiaTheme="minorEastAsia" w:cstheme="minorEastAsia"/>
          <w:b/>
          <w:bCs/>
          <w:color w:val="000000"/>
          <w:sz w:val="21"/>
          <w:szCs w:val="21"/>
          <w:lang w:val="en-US" w:eastAsia="zh-CN"/>
        </w:rPr>
        <w:t>大同</w:t>
      </w:r>
      <w:r>
        <w:rPr>
          <w:rFonts w:hint="eastAsia" w:asciiTheme="minorEastAsia" w:hAnsiTheme="minorEastAsia" w:eastAsiaTheme="minorEastAsia" w:cstheme="minorEastAsia"/>
          <w:b/>
          <w:bCs/>
          <w:color w:val="000000"/>
          <w:sz w:val="21"/>
          <w:szCs w:val="21"/>
          <w:lang w:val="en-US" w:eastAsia="zh-Hans"/>
        </w:rPr>
        <w:t>市</w:t>
      </w:r>
      <w:r>
        <w:rPr>
          <w:rFonts w:hint="eastAsia" w:asciiTheme="minorEastAsia" w:hAnsiTheme="minorEastAsia" w:eastAsiaTheme="minorEastAsia" w:cstheme="minorEastAsia"/>
          <w:b/>
          <w:bCs/>
          <w:color w:val="000000"/>
          <w:sz w:val="21"/>
          <w:szCs w:val="21"/>
          <w:lang w:val="en-US" w:eastAsia="zh-CN"/>
        </w:rPr>
        <w:t>家用电动</w:t>
      </w:r>
      <w:r>
        <w:rPr>
          <w:rFonts w:hint="eastAsia" w:asciiTheme="minorEastAsia" w:hAnsiTheme="minorEastAsia" w:eastAsiaTheme="minorEastAsia" w:cstheme="minorEastAsia"/>
          <w:b/>
          <w:bCs/>
          <w:color w:val="000000"/>
          <w:sz w:val="21"/>
          <w:szCs w:val="21"/>
          <w:lang w:eastAsia="zh-Hans"/>
        </w:rPr>
        <w:t>洗衣机产品质量</w:t>
      </w:r>
      <w:r>
        <w:rPr>
          <w:rFonts w:hint="eastAsia" w:asciiTheme="minorEastAsia" w:hAnsiTheme="minorEastAsia" w:eastAsiaTheme="minorEastAsia" w:cstheme="minorEastAsia"/>
          <w:b/>
          <w:bCs/>
          <w:color w:val="000000"/>
          <w:sz w:val="21"/>
          <w:szCs w:val="21"/>
          <w:lang w:eastAsia="zh-CN"/>
        </w:rPr>
        <w:t>监</w:t>
      </w:r>
      <w:r>
        <w:rPr>
          <w:rFonts w:hint="eastAsia" w:asciiTheme="minorEastAsia" w:hAnsiTheme="minorEastAsia" w:eastAsiaTheme="minorEastAsia" w:cstheme="minorEastAsia"/>
          <w:b/>
          <w:bCs/>
          <w:color w:val="000000"/>
          <w:sz w:val="21"/>
          <w:szCs w:val="21"/>
          <w:lang w:eastAsia="zh-Hans"/>
        </w:rPr>
        <w:t>督抽查实施细则</w:t>
      </w:r>
    </w:p>
    <w:bookmarkEnd w:id="0"/>
    <w:p w14:paraId="72EFC9E6">
      <w:pPr>
        <w:pStyle w:val="2"/>
        <w:rPr>
          <w:rFonts w:hint="eastAsia" w:asciiTheme="minorEastAsia" w:hAnsiTheme="minorEastAsia" w:eastAsiaTheme="minorEastAsia" w:cstheme="minorEastAsia"/>
          <w:sz w:val="21"/>
          <w:szCs w:val="21"/>
        </w:rPr>
      </w:pPr>
    </w:p>
    <w:p w14:paraId="1421C77F">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1</w:t>
      </w:r>
      <w:r>
        <w:rPr>
          <w:rFonts w:hint="eastAsia" w:asciiTheme="minorEastAsia" w:hAnsiTheme="minorEastAsia" w:eastAsiaTheme="minorEastAsia" w:cstheme="minorEastAsia"/>
          <w:kern w:val="0"/>
          <w:sz w:val="21"/>
          <w:szCs w:val="21"/>
          <w:shd w:val="clear" w:color="auto" w:fill="FFFFFF"/>
          <w:lang w:val="en-US" w:eastAsia="zh-Hans" w:bidi="ar"/>
        </w:rPr>
        <w:t>.</w:t>
      </w:r>
      <w:r>
        <w:rPr>
          <w:rFonts w:hint="eastAsia" w:asciiTheme="minorEastAsia" w:hAnsiTheme="minorEastAsia" w:eastAsiaTheme="minorEastAsia" w:cstheme="minorEastAsia"/>
          <w:kern w:val="0"/>
          <w:sz w:val="21"/>
          <w:szCs w:val="21"/>
          <w:shd w:val="clear" w:color="auto" w:fill="FFFFFF"/>
          <w:lang w:val="en-US" w:eastAsia="zh-CN" w:bidi="ar"/>
        </w:rPr>
        <w:t>范围</w:t>
      </w:r>
    </w:p>
    <w:p w14:paraId="0D16778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本细则适用于</w:t>
      </w:r>
      <w:r>
        <w:rPr>
          <w:rFonts w:hint="eastAsia" w:asciiTheme="minorEastAsia" w:hAnsiTheme="minorEastAsia" w:eastAsiaTheme="minorEastAsia" w:cstheme="minorEastAsia"/>
          <w:sz w:val="21"/>
          <w:szCs w:val="21"/>
          <w:lang w:eastAsia="zh-CN"/>
        </w:rPr>
        <w:t>大同</w:t>
      </w:r>
      <w:r>
        <w:rPr>
          <w:rFonts w:hint="eastAsia" w:asciiTheme="minorEastAsia" w:hAnsiTheme="minorEastAsia" w:eastAsiaTheme="minorEastAsia" w:cstheme="minorEastAsia"/>
          <w:sz w:val="21"/>
          <w:szCs w:val="21"/>
        </w:rPr>
        <w:t>市市场监督管理局组织的</w:t>
      </w:r>
      <w:r>
        <w:rPr>
          <w:rFonts w:hint="eastAsia" w:asciiTheme="minorEastAsia" w:hAnsiTheme="minorEastAsia" w:eastAsiaTheme="minorEastAsia" w:cstheme="minorEastAsia"/>
          <w:sz w:val="21"/>
          <w:szCs w:val="21"/>
          <w:lang w:eastAsia="zh-CN"/>
        </w:rPr>
        <w:t>家用电动</w:t>
      </w:r>
      <w:r>
        <w:rPr>
          <w:rFonts w:hint="eastAsia" w:asciiTheme="minorEastAsia" w:hAnsiTheme="minorEastAsia" w:eastAsiaTheme="minorEastAsia" w:cstheme="minorEastAsia"/>
          <w:sz w:val="21"/>
          <w:szCs w:val="21"/>
          <w:lang w:val="en-US" w:eastAsia="zh-Hans"/>
        </w:rPr>
        <w:t>洗衣机</w:t>
      </w:r>
      <w:r>
        <w:rPr>
          <w:rFonts w:hint="eastAsia" w:asciiTheme="minorEastAsia" w:hAnsiTheme="minorEastAsia" w:eastAsiaTheme="minorEastAsia" w:cstheme="minorEastAsia"/>
          <w:sz w:val="21"/>
          <w:szCs w:val="21"/>
        </w:rPr>
        <w:t>产品质量监督抽查检验。本细则规定了此产品的抽样方法、检验依据、检验项目、检验方法、判定原则、异议处理及复检。</w:t>
      </w:r>
    </w:p>
    <w:p w14:paraId="44E45340">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2.抽样方法</w:t>
      </w:r>
    </w:p>
    <w:p w14:paraId="49D507BC">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实体店抽样</w:t>
      </w:r>
    </w:p>
    <w:p w14:paraId="67D51B02">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lang w:val="en-US" w:bidi="ar-SA"/>
        </w:rPr>
        <w:t>在受检</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kern w:val="2"/>
          <w:sz w:val="21"/>
          <w:szCs w:val="21"/>
          <w:lang w:val="en-US" w:bidi="ar-SA"/>
        </w:rPr>
        <w:t>成品仓库或者</w:t>
      </w:r>
      <w:r>
        <w:rPr>
          <w:rFonts w:hint="eastAsia" w:asciiTheme="minorEastAsia" w:hAnsiTheme="minorEastAsia" w:eastAsiaTheme="minorEastAsia" w:cstheme="minorEastAsia"/>
          <w:kern w:val="2"/>
          <w:sz w:val="21"/>
          <w:szCs w:val="21"/>
          <w:lang w:val="en-US" w:eastAsia="zh-CN" w:bidi="ar-SA"/>
        </w:rPr>
        <w:t>销售场所</w:t>
      </w:r>
      <w:r>
        <w:rPr>
          <w:rFonts w:hint="eastAsia" w:asciiTheme="minorEastAsia" w:hAnsiTheme="minorEastAsia" w:eastAsiaTheme="minorEastAsia" w:cstheme="minorEastAsia"/>
          <w:sz w:val="21"/>
          <w:szCs w:val="21"/>
          <w:highlight w:val="none"/>
        </w:rPr>
        <w:t>，在待销产品中抽样1件，无需备样</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优先抽取具有代表性的规格型号的产品。</w:t>
      </w:r>
    </w:p>
    <w:p w14:paraId="7B3ABC9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样品</w:t>
      </w:r>
      <w:r>
        <w:rPr>
          <w:rFonts w:hint="eastAsia" w:asciiTheme="minorEastAsia" w:hAnsiTheme="minorEastAsia" w:eastAsiaTheme="minorEastAsia" w:cstheme="minorEastAsia"/>
          <w:sz w:val="21"/>
          <w:szCs w:val="21"/>
          <w:highlight w:val="none"/>
          <w:lang w:val="en-US" w:eastAsia="zh-CN"/>
        </w:rPr>
        <w:t>无需</w:t>
      </w:r>
      <w:r>
        <w:rPr>
          <w:rFonts w:hint="eastAsia" w:asciiTheme="minorEastAsia" w:hAnsiTheme="minorEastAsia" w:eastAsiaTheme="minorEastAsia" w:cstheme="minorEastAsia"/>
          <w:sz w:val="21"/>
          <w:szCs w:val="21"/>
          <w:highlight w:val="none"/>
        </w:rPr>
        <w:t>购买，</w:t>
      </w:r>
      <w:r>
        <w:rPr>
          <w:rFonts w:hint="eastAsia" w:asciiTheme="minorEastAsia" w:hAnsiTheme="minorEastAsia" w:eastAsiaTheme="minorEastAsia" w:cstheme="minorEastAsia"/>
          <w:sz w:val="21"/>
          <w:szCs w:val="21"/>
          <w:highlight w:val="none"/>
          <w:lang w:val="en-US" w:eastAsia="zh-CN"/>
        </w:rPr>
        <w:t>现场快速检测并封样。</w:t>
      </w:r>
      <w:r>
        <w:rPr>
          <w:rFonts w:hint="eastAsia" w:asciiTheme="minorEastAsia" w:hAnsiTheme="minorEastAsia" w:eastAsiaTheme="minorEastAsia" w:cstheme="minorEastAsia"/>
          <w:sz w:val="21"/>
          <w:szCs w:val="21"/>
        </w:rPr>
        <w:t>采样过程均需拍照留证。一经采样，立即封样，任何人不得调换。</w:t>
      </w:r>
    </w:p>
    <w:p w14:paraId="00458BED">
      <w:pPr>
        <w:numPr>
          <w:ilvl w:val="0"/>
          <w:numId w:val="0"/>
        </w:numPr>
        <w:overflowPunct w:val="0"/>
        <w:autoSpaceDE w:val="0"/>
        <w:autoSpaceDN w:val="0"/>
        <w:adjustRightInd w:val="0"/>
        <w:snapToGrid w:val="0"/>
        <w:spacing w:line="580" w:lineRule="exact"/>
        <w:ind w:left="640" w:leftChars="0"/>
        <w:rPr>
          <w:rFonts w:hint="eastAsia" w:asciiTheme="minorEastAsia" w:hAnsiTheme="minorEastAsia" w:eastAsiaTheme="minorEastAsia" w:cstheme="minorEastAsia"/>
          <w:kern w:val="0"/>
          <w:sz w:val="21"/>
          <w:szCs w:val="21"/>
          <w:highlight w:val="none"/>
          <w:shd w:val="clear" w:color="auto" w:fill="FFFFFF"/>
          <w:lang w:val="en-US" w:eastAsia="zh-CN" w:bidi="ar"/>
        </w:rPr>
      </w:pPr>
      <w:r>
        <w:rPr>
          <w:rFonts w:hint="eastAsia" w:asciiTheme="minorEastAsia" w:hAnsiTheme="minorEastAsia" w:eastAsiaTheme="minorEastAsia" w:cstheme="minorEastAsia"/>
          <w:kern w:val="0"/>
          <w:sz w:val="21"/>
          <w:szCs w:val="21"/>
          <w:shd w:val="clear" w:fill="FFFFFF"/>
          <w:lang w:val="en-US" w:eastAsia="zh-CN" w:bidi="ar"/>
        </w:rPr>
        <w:t>3.</w:t>
      </w:r>
      <w:r>
        <w:rPr>
          <w:rFonts w:hint="eastAsia" w:asciiTheme="minorEastAsia" w:hAnsiTheme="minorEastAsia" w:eastAsiaTheme="minorEastAsia" w:cstheme="minorEastAsia"/>
          <w:kern w:val="0"/>
          <w:sz w:val="21"/>
          <w:szCs w:val="21"/>
          <w:highlight w:val="none"/>
          <w:shd w:val="clear" w:color="auto" w:fill="FFFFFF"/>
          <w:lang w:val="en-US" w:eastAsia="zh-CN" w:bidi="ar"/>
        </w:rPr>
        <w:t>检验依据</w:t>
      </w:r>
    </w:p>
    <w:p w14:paraId="2AE3AE60">
      <w:pPr>
        <w:pStyle w:val="2"/>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表1检验项目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2"/>
        <w:gridCol w:w="2723"/>
        <w:gridCol w:w="2667"/>
        <w:gridCol w:w="2474"/>
      </w:tblGrid>
      <w:tr w14:paraId="39A0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blHeader/>
        </w:trPr>
        <w:tc>
          <w:tcPr>
            <w:tcW w:w="0" w:type="auto"/>
            <w:tcBorders>
              <w:bottom w:val="single" w:color="auto" w:sz="4" w:space="0"/>
            </w:tcBorders>
            <w:noWrap/>
            <w:tcMar>
              <w:top w:w="15" w:type="dxa"/>
              <w:left w:w="15" w:type="dxa"/>
              <w:bottom w:w="0" w:type="dxa"/>
              <w:right w:w="15" w:type="dxa"/>
            </w:tcMar>
            <w:vAlign w:val="center"/>
          </w:tcPr>
          <w:p w14:paraId="17E2A91C">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序号</w:t>
            </w:r>
          </w:p>
        </w:tc>
        <w:tc>
          <w:tcPr>
            <w:tcW w:w="0" w:type="auto"/>
            <w:tcBorders>
              <w:bottom w:val="single" w:color="auto" w:sz="4" w:space="0"/>
            </w:tcBorders>
            <w:noWrap w:val="0"/>
            <w:tcMar>
              <w:top w:w="15" w:type="dxa"/>
              <w:left w:w="15" w:type="dxa"/>
              <w:bottom w:w="0" w:type="dxa"/>
              <w:right w:w="15" w:type="dxa"/>
            </w:tcMar>
            <w:vAlign w:val="center"/>
          </w:tcPr>
          <w:p w14:paraId="7790068C">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检验项目</w:t>
            </w:r>
          </w:p>
        </w:tc>
        <w:tc>
          <w:tcPr>
            <w:tcW w:w="0" w:type="auto"/>
            <w:tcBorders>
              <w:bottom w:val="single" w:color="auto" w:sz="4" w:space="0"/>
            </w:tcBorders>
            <w:noWrap w:val="0"/>
            <w:tcMar>
              <w:top w:w="15" w:type="dxa"/>
              <w:left w:w="15" w:type="dxa"/>
              <w:bottom w:w="0" w:type="dxa"/>
              <w:right w:w="15" w:type="dxa"/>
            </w:tcMar>
            <w:vAlign w:val="center"/>
          </w:tcPr>
          <w:p w14:paraId="68FE9818">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判定依据</w:t>
            </w:r>
          </w:p>
        </w:tc>
        <w:tc>
          <w:tcPr>
            <w:tcW w:w="0" w:type="auto"/>
            <w:tcBorders>
              <w:bottom w:val="single" w:color="auto" w:sz="4" w:space="0"/>
            </w:tcBorders>
            <w:noWrap w:val="0"/>
            <w:tcMar>
              <w:top w:w="15" w:type="dxa"/>
              <w:left w:w="15" w:type="dxa"/>
              <w:bottom w:w="0" w:type="dxa"/>
              <w:right w:w="15" w:type="dxa"/>
            </w:tcMar>
            <w:vAlign w:val="center"/>
          </w:tcPr>
          <w:p w14:paraId="761AB237">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检测方法</w:t>
            </w:r>
          </w:p>
        </w:tc>
      </w:tr>
      <w:tr w14:paraId="7A1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6CB749EB">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1</w:t>
            </w:r>
          </w:p>
        </w:tc>
        <w:tc>
          <w:tcPr>
            <w:tcW w:w="0" w:type="auto"/>
            <w:noWrap w:val="0"/>
            <w:tcMar>
              <w:top w:w="15" w:type="dxa"/>
              <w:left w:w="15" w:type="dxa"/>
              <w:bottom w:w="0" w:type="dxa"/>
              <w:right w:w="15" w:type="dxa"/>
            </w:tcMar>
            <w:vAlign w:val="center"/>
          </w:tcPr>
          <w:p w14:paraId="3DA13D3F">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 xml:space="preserve">CCC认证检查 </w:t>
            </w:r>
          </w:p>
        </w:tc>
        <w:tc>
          <w:tcPr>
            <w:tcW w:w="0" w:type="auto"/>
            <w:vMerge w:val="restart"/>
            <w:noWrap w:val="0"/>
            <w:tcMar>
              <w:top w:w="15" w:type="dxa"/>
              <w:left w:w="15" w:type="dxa"/>
              <w:bottom w:w="0" w:type="dxa"/>
              <w:right w:w="15" w:type="dxa"/>
            </w:tcMar>
            <w:vAlign w:val="center"/>
          </w:tcPr>
          <w:p w14:paraId="6EC10B27">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 4706.1-2005</w:t>
            </w:r>
          </w:p>
          <w:p w14:paraId="1E79B631">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 4706.24-2008</w:t>
            </w:r>
          </w:p>
          <w:p w14:paraId="575F8F06">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GB/T 4706.24-2024</w:t>
            </w:r>
          </w:p>
          <w:p w14:paraId="125DC15B">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GB4706.26-2008</w:t>
            </w:r>
          </w:p>
          <w:p w14:paraId="009B4D90">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GB/T 4706.26-2024</w:t>
            </w:r>
          </w:p>
          <w:p w14:paraId="61ECFDBE">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《能源效率标识管理办法》；</w:t>
            </w:r>
          </w:p>
          <w:p w14:paraId="33A1282E">
            <w:pPr>
              <w:pStyle w:val="2"/>
              <w:rPr>
                <w:rFonts w:hint="eastAsia" w:asciiTheme="minorEastAsia" w:hAnsiTheme="minorEastAsia" w:eastAsiaTheme="minorEastAsia" w:cstheme="minorEastAsia"/>
                <w:b/>
                <w:bCs/>
                <w:sz w:val="21"/>
                <w:szCs w:val="21"/>
                <w:highlight w:val="none"/>
                <w:lang w:val="en-US" w:eastAsia="zh-CN"/>
              </w:rPr>
            </w:pPr>
          </w:p>
        </w:tc>
        <w:tc>
          <w:tcPr>
            <w:tcW w:w="0" w:type="auto"/>
            <w:vMerge w:val="restart"/>
            <w:noWrap w:val="0"/>
            <w:tcMar>
              <w:top w:w="15" w:type="dxa"/>
              <w:left w:w="15" w:type="dxa"/>
              <w:bottom w:w="0" w:type="dxa"/>
              <w:right w:w="15" w:type="dxa"/>
            </w:tcMar>
            <w:vAlign w:val="center"/>
          </w:tcPr>
          <w:p w14:paraId="2EDAA624">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 4706.1-2005</w:t>
            </w:r>
          </w:p>
          <w:p w14:paraId="445791D8">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 4706.24-2008</w:t>
            </w:r>
          </w:p>
          <w:p w14:paraId="593E9E19">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GB/T 4706.24-2024</w:t>
            </w:r>
          </w:p>
          <w:p w14:paraId="229D8D19">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GB4706.26-2008</w:t>
            </w:r>
          </w:p>
          <w:p w14:paraId="56FAAA5E">
            <w:pPr>
              <w:spacing w:line="240" w:lineRule="auto"/>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lang w:val="en-US" w:eastAsia="zh-CN"/>
              </w:rPr>
              <w:t>GB/T 4706.26-2024</w:t>
            </w:r>
          </w:p>
          <w:p w14:paraId="5C2B3C27">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color w:val="000000"/>
                <w:kern w:val="0"/>
                <w:sz w:val="21"/>
                <w:szCs w:val="21"/>
                <w:highlight w:val="none"/>
                <w:lang w:val="en-US" w:eastAsia="zh-CN"/>
              </w:rPr>
              <w:t>《能源效率标识管理办法》</w:t>
            </w:r>
          </w:p>
        </w:tc>
      </w:tr>
      <w:tr w14:paraId="5CA0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3A2D2DD8">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r>
              <w:rPr>
                <w:rFonts w:hint="eastAsia" w:asciiTheme="minorEastAsia" w:hAnsiTheme="minorEastAsia" w:eastAsiaTheme="minorEastAsia" w:cstheme="minorEastAsia"/>
                <w:b/>
                <w:bCs/>
                <w:kern w:val="0"/>
                <w:sz w:val="21"/>
                <w:szCs w:val="21"/>
                <w:shd w:val="clear" w:color="auto" w:fill="FFFFFF"/>
                <w:lang w:bidi="ar"/>
              </w:rPr>
              <w:t>2</w:t>
            </w:r>
          </w:p>
        </w:tc>
        <w:tc>
          <w:tcPr>
            <w:tcW w:w="0" w:type="auto"/>
            <w:noWrap w:val="0"/>
            <w:tcMar>
              <w:top w:w="15" w:type="dxa"/>
              <w:left w:w="15" w:type="dxa"/>
              <w:bottom w:w="0" w:type="dxa"/>
              <w:right w:w="15" w:type="dxa"/>
            </w:tcMar>
            <w:vAlign w:val="center"/>
          </w:tcPr>
          <w:p w14:paraId="38C30743">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能效标贴检查</w:t>
            </w:r>
            <w:r>
              <w:rPr>
                <w:rFonts w:hint="eastAsia" w:asciiTheme="minorEastAsia" w:hAnsiTheme="minorEastAsia" w:eastAsiaTheme="minorEastAsia" w:cstheme="minorEastAsia"/>
                <w:b/>
                <w:bCs/>
                <w:color w:val="000000"/>
                <w:kern w:val="0"/>
                <w:sz w:val="21"/>
                <w:szCs w:val="21"/>
                <w:highlight w:val="none"/>
                <w:lang w:val="en-US" w:eastAsia="zh-CN"/>
              </w:rPr>
              <w:t xml:space="preserve"> </w:t>
            </w:r>
          </w:p>
        </w:tc>
        <w:tc>
          <w:tcPr>
            <w:tcW w:w="0" w:type="auto"/>
            <w:vMerge w:val="continue"/>
            <w:noWrap w:val="0"/>
            <w:tcMar>
              <w:top w:w="15" w:type="dxa"/>
              <w:left w:w="15" w:type="dxa"/>
              <w:bottom w:w="0" w:type="dxa"/>
              <w:right w:w="15" w:type="dxa"/>
            </w:tcMar>
            <w:vAlign w:val="center"/>
          </w:tcPr>
          <w:p w14:paraId="6937585F">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3BC7AC1C">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r w14:paraId="2A76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7886EFCB">
            <w:pPr>
              <w:spacing w:line="240" w:lineRule="auto"/>
              <w:jc w:val="center"/>
              <w:rPr>
                <w:rFonts w:hint="eastAsia" w:asciiTheme="minorEastAsia" w:hAnsiTheme="minorEastAsia" w:eastAsiaTheme="minorEastAsia" w:cstheme="minorEastAsia"/>
                <w:b/>
                <w:bCs/>
                <w:kern w:val="0"/>
                <w:sz w:val="21"/>
                <w:szCs w:val="21"/>
                <w:shd w:val="clear" w:color="auto" w:fill="FFFFFF"/>
                <w:lang w:eastAsia="zh-CN" w:bidi="ar"/>
              </w:rPr>
            </w:pPr>
            <w:r>
              <w:rPr>
                <w:rFonts w:hint="eastAsia" w:asciiTheme="minorEastAsia" w:hAnsiTheme="minorEastAsia" w:eastAsiaTheme="minorEastAsia" w:cstheme="minorEastAsia"/>
                <w:b/>
                <w:bCs/>
                <w:kern w:val="0"/>
                <w:sz w:val="21"/>
                <w:szCs w:val="21"/>
                <w:shd w:val="clear" w:color="auto" w:fill="FFFFFF"/>
                <w:lang w:val="en-US" w:eastAsia="zh-CN" w:bidi="ar"/>
              </w:rPr>
              <w:t>3</w:t>
            </w:r>
          </w:p>
        </w:tc>
        <w:tc>
          <w:tcPr>
            <w:tcW w:w="0" w:type="auto"/>
            <w:noWrap w:val="0"/>
            <w:tcMar>
              <w:top w:w="15" w:type="dxa"/>
              <w:left w:w="15" w:type="dxa"/>
              <w:bottom w:w="0" w:type="dxa"/>
              <w:right w:w="15" w:type="dxa"/>
            </w:tcMar>
            <w:vAlign w:val="center"/>
          </w:tcPr>
          <w:p w14:paraId="02AAD1A6">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标志和说明（不含擦拭）</w:t>
            </w:r>
            <w:r>
              <w:rPr>
                <w:rFonts w:hint="eastAsia" w:asciiTheme="minorEastAsia" w:hAnsiTheme="minorEastAsia" w:eastAsiaTheme="minorEastAsia" w:cstheme="minorEastAsia"/>
                <w:b/>
                <w:bCs/>
                <w:color w:val="000000"/>
                <w:kern w:val="0"/>
                <w:sz w:val="21"/>
                <w:szCs w:val="21"/>
                <w:highlight w:val="none"/>
                <w:lang w:val="en-US" w:eastAsia="zh-CN"/>
              </w:rPr>
              <w:t xml:space="preserve"> </w:t>
            </w:r>
          </w:p>
        </w:tc>
        <w:tc>
          <w:tcPr>
            <w:tcW w:w="0" w:type="auto"/>
            <w:vMerge w:val="continue"/>
            <w:noWrap w:val="0"/>
            <w:tcMar>
              <w:top w:w="15" w:type="dxa"/>
              <w:left w:w="15" w:type="dxa"/>
              <w:bottom w:w="0" w:type="dxa"/>
              <w:right w:w="15" w:type="dxa"/>
            </w:tcMar>
            <w:vAlign w:val="center"/>
          </w:tcPr>
          <w:p w14:paraId="013F020E">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1BDE1A79">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r w14:paraId="1EE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1027DEA8">
            <w:pPr>
              <w:spacing w:line="240" w:lineRule="auto"/>
              <w:jc w:val="center"/>
              <w:rPr>
                <w:rFonts w:hint="eastAsia" w:asciiTheme="minorEastAsia" w:hAnsiTheme="minorEastAsia" w:eastAsiaTheme="minorEastAsia" w:cstheme="minorEastAsia"/>
                <w:b/>
                <w:bCs/>
                <w:kern w:val="0"/>
                <w:sz w:val="21"/>
                <w:szCs w:val="21"/>
                <w:shd w:val="clear" w:color="auto" w:fill="FFFFFF"/>
                <w:lang w:eastAsia="zh-CN" w:bidi="ar"/>
              </w:rPr>
            </w:pPr>
            <w:r>
              <w:rPr>
                <w:rFonts w:hint="eastAsia" w:asciiTheme="minorEastAsia" w:hAnsiTheme="minorEastAsia" w:eastAsiaTheme="minorEastAsia" w:cstheme="minorEastAsia"/>
                <w:b/>
                <w:bCs/>
                <w:kern w:val="0"/>
                <w:sz w:val="21"/>
                <w:szCs w:val="21"/>
                <w:shd w:val="clear" w:color="auto" w:fill="FFFFFF"/>
                <w:lang w:val="en-US" w:eastAsia="zh-CN" w:bidi="ar"/>
              </w:rPr>
              <w:t>4</w:t>
            </w:r>
          </w:p>
        </w:tc>
        <w:tc>
          <w:tcPr>
            <w:tcW w:w="0" w:type="auto"/>
            <w:noWrap w:val="0"/>
            <w:tcMar>
              <w:top w:w="15" w:type="dxa"/>
              <w:left w:w="15" w:type="dxa"/>
              <w:bottom w:w="0" w:type="dxa"/>
              <w:right w:w="15" w:type="dxa"/>
            </w:tcMar>
            <w:vAlign w:val="center"/>
          </w:tcPr>
          <w:p w14:paraId="43E0F5FC">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对触及带电部件的防护</w:t>
            </w:r>
            <w:r>
              <w:rPr>
                <w:rFonts w:hint="eastAsia" w:asciiTheme="minorEastAsia" w:hAnsiTheme="minorEastAsia" w:eastAsiaTheme="minorEastAsia" w:cstheme="minorEastAsia"/>
                <w:b/>
                <w:bCs/>
                <w:color w:val="000000"/>
                <w:kern w:val="0"/>
                <w:sz w:val="21"/>
                <w:szCs w:val="21"/>
                <w:highlight w:val="none"/>
                <w:lang w:val="en-US" w:eastAsia="zh-CN"/>
              </w:rPr>
              <w:t xml:space="preserve"> </w:t>
            </w:r>
          </w:p>
        </w:tc>
        <w:tc>
          <w:tcPr>
            <w:tcW w:w="0" w:type="auto"/>
            <w:vMerge w:val="continue"/>
            <w:noWrap w:val="0"/>
            <w:tcMar>
              <w:top w:w="15" w:type="dxa"/>
              <w:left w:w="15" w:type="dxa"/>
              <w:bottom w:w="0" w:type="dxa"/>
              <w:right w:w="15" w:type="dxa"/>
            </w:tcMar>
            <w:vAlign w:val="center"/>
          </w:tcPr>
          <w:p w14:paraId="300DE468">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5428023D">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r w14:paraId="5A12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4DE0C562">
            <w:pPr>
              <w:spacing w:line="240" w:lineRule="auto"/>
              <w:jc w:val="center"/>
              <w:rPr>
                <w:rFonts w:hint="eastAsia" w:asciiTheme="minorEastAsia" w:hAnsiTheme="minorEastAsia" w:eastAsiaTheme="minorEastAsia" w:cstheme="minorEastAsia"/>
                <w:b/>
                <w:bCs/>
                <w:kern w:val="0"/>
                <w:sz w:val="21"/>
                <w:szCs w:val="21"/>
                <w:shd w:val="clear" w:color="auto" w:fill="FFFFFF"/>
                <w:lang w:eastAsia="zh-CN" w:bidi="ar"/>
              </w:rPr>
            </w:pPr>
            <w:r>
              <w:rPr>
                <w:rFonts w:hint="eastAsia" w:asciiTheme="minorEastAsia" w:hAnsiTheme="minorEastAsia" w:eastAsiaTheme="minorEastAsia" w:cstheme="minorEastAsia"/>
                <w:b/>
                <w:bCs/>
                <w:kern w:val="0"/>
                <w:sz w:val="21"/>
                <w:szCs w:val="21"/>
                <w:shd w:val="clear" w:color="auto" w:fill="FFFFFF"/>
                <w:lang w:val="en-US" w:eastAsia="zh-CN" w:bidi="ar"/>
              </w:rPr>
              <w:t>5</w:t>
            </w:r>
          </w:p>
        </w:tc>
        <w:tc>
          <w:tcPr>
            <w:tcW w:w="0" w:type="auto"/>
            <w:noWrap w:val="0"/>
            <w:tcMar>
              <w:top w:w="15" w:type="dxa"/>
              <w:left w:w="15" w:type="dxa"/>
              <w:bottom w:w="0" w:type="dxa"/>
              <w:right w:w="15" w:type="dxa"/>
            </w:tcMar>
            <w:vAlign w:val="center"/>
          </w:tcPr>
          <w:p w14:paraId="08413F5A">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内部布线（23.1）</w:t>
            </w:r>
            <w:r>
              <w:rPr>
                <w:rFonts w:hint="eastAsia" w:asciiTheme="minorEastAsia" w:hAnsiTheme="minorEastAsia" w:eastAsiaTheme="minorEastAsia" w:cstheme="minorEastAsia"/>
                <w:b/>
                <w:bCs/>
                <w:color w:val="000000"/>
                <w:kern w:val="0"/>
                <w:sz w:val="21"/>
                <w:szCs w:val="21"/>
                <w:highlight w:val="none"/>
                <w:lang w:val="en-US" w:eastAsia="zh-CN"/>
              </w:rPr>
              <w:t xml:space="preserve"> </w:t>
            </w:r>
          </w:p>
        </w:tc>
        <w:tc>
          <w:tcPr>
            <w:tcW w:w="0" w:type="auto"/>
            <w:vMerge w:val="continue"/>
            <w:noWrap w:val="0"/>
            <w:tcMar>
              <w:top w:w="15" w:type="dxa"/>
              <w:left w:w="15" w:type="dxa"/>
              <w:bottom w:w="0" w:type="dxa"/>
              <w:right w:w="15" w:type="dxa"/>
            </w:tcMar>
            <w:vAlign w:val="center"/>
          </w:tcPr>
          <w:p w14:paraId="1BA46785">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7D25678A">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r w14:paraId="2CB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405C5493">
            <w:pPr>
              <w:spacing w:line="240" w:lineRule="auto"/>
              <w:jc w:val="center"/>
              <w:rPr>
                <w:rFonts w:hint="eastAsia" w:asciiTheme="minorEastAsia" w:hAnsiTheme="minorEastAsia" w:eastAsiaTheme="minorEastAsia" w:cstheme="minorEastAsia"/>
                <w:b/>
                <w:bCs/>
                <w:kern w:val="0"/>
                <w:sz w:val="21"/>
                <w:szCs w:val="21"/>
                <w:shd w:val="clear" w:color="auto" w:fill="FFFFFF"/>
                <w:lang w:eastAsia="zh-CN" w:bidi="ar"/>
              </w:rPr>
            </w:pPr>
            <w:r>
              <w:rPr>
                <w:rFonts w:hint="eastAsia" w:asciiTheme="minorEastAsia" w:hAnsiTheme="minorEastAsia" w:eastAsiaTheme="minorEastAsia" w:cstheme="minorEastAsia"/>
                <w:b/>
                <w:bCs/>
                <w:kern w:val="0"/>
                <w:sz w:val="21"/>
                <w:szCs w:val="21"/>
                <w:shd w:val="clear" w:color="auto" w:fill="FFFFFF"/>
                <w:lang w:val="en-US" w:eastAsia="zh-CN" w:bidi="ar"/>
              </w:rPr>
              <w:t>6</w:t>
            </w:r>
          </w:p>
        </w:tc>
        <w:tc>
          <w:tcPr>
            <w:tcW w:w="0" w:type="auto"/>
            <w:noWrap w:val="0"/>
            <w:tcMar>
              <w:top w:w="15" w:type="dxa"/>
              <w:left w:w="15" w:type="dxa"/>
              <w:bottom w:w="0" w:type="dxa"/>
              <w:right w:w="15" w:type="dxa"/>
            </w:tcMar>
            <w:vAlign w:val="center"/>
          </w:tcPr>
          <w:p w14:paraId="51B2658C">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电源连接和外部软线（25.15）</w:t>
            </w:r>
          </w:p>
        </w:tc>
        <w:tc>
          <w:tcPr>
            <w:tcW w:w="0" w:type="auto"/>
            <w:vMerge w:val="continue"/>
            <w:noWrap w:val="0"/>
            <w:tcMar>
              <w:top w:w="15" w:type="dxa"/>
              <w:left w:w="15" w:type="dxa"/>
              <w:bottom w:w="0" w:type="dxa"/>
              <w:right w:w="15" w:type="dxa"/>
            </w:tcMar>
            <w:vAlign w:val="center"/>
          </w:tcPr>
          <w:p w14:paraId="1EDA0BB4">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12053767">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r w14:paraId="3B08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8" w:hRule="atLeast"/>
        </w:trPr>
        <w:tc>
          <w:tcPr>
            <w:tcW w:w="0" w:type="auto"/>
            <w:noWrap/>
            <w:tcMar>
              <w:top w:w="15" w:type="dxa"/>
              <w:left w:w="15" w:type="dxa"/>
              <w:bottom w:w="0" w:type="dxa"/>
              <w:right w:w="15" w:type="dxa"/>
            </w:tcMar>
            <w:vAlign w:val="center"/>
          </w:tcPr>
          <w:p w14:paraId="0A875E3D">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kern w:val="0"/>
                <w:sz w:val="21"/>
                <w:szCs w:val="21"/>
                <w:shd w:val="clear" w:color="auto" w:fill="FFFFFF"/>
                <w:lang w:val="en-US" w:eastAsia="zh-CN" w:bidi="ar"/>
              </w:rPr>
              <w:t>7</w:t>
            </w:r>
          </w:p>
        </w:tc>
        <w:tc>
          <w:tcPr>
            <w:tcW w:w="0" w:type="auto"/>
            <w:noWrap w:val="0"/>
            <w:tcMar>
              <w:top w:w="15" w:type="dxa"/>
              <w:left w:w="15" w:type="dxa"/>
              <w:bottom w:w="0" w:type="dxa"/>
              <w:right w:w="15" w:type="dxa"/>
            </w:tcMar>
            <w:vAlign w:val="center"/>
          </w:tcPr>
          <w:p w14:paraId="2DD6B176">
            <w:pPr>
              <w:spacing w:line="240" w:lineRule="auto"/>
              <w:jc w:val="center"/>
              <w:rPr>
                <w:rFonts w:hint="eastAsia" w:asciiTheme="minorEastAsia" w:hAnsiTheme="minorEastAsia" w:eastAsiaTheme="minorEastAsia" w:cstheme="minorEastAsia"/>
                <w:b/>
                <w:bCs/>
                <w:kern w:val="0"/>
                <w:sz w:val="21"/>
                <w:szCs w:val="21"/>
                <w:shd w:val="clear" w:color="auto" w:fill="FFFFFF"/>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rPr>
              <w:t>接地措施（27.2、27.3）</w:t>
            </w:r>
          </w:p>
        </w:tc>
        <w:tc>
          <w:tcPr>
            <w:tcW w:w="0" w:type="auto"/>
            <w:vMerge w:val="continue"/>
            <w:noWrap w:val="0"/>
            <w:tcMar>
              <w:top w:w="15" w:type="dxa"/>
              <w:left w:w="15" w:type="dxa"/>
              <w:bottom w:w="0" w:type="dxa"/>
              <w:right w:w="15" w:type="dxa"/>
            </w:tcMar>
            <w:vAlign w:val="center"/>
          </w:tcPr>
          <w:p w14:paraId="3A3991ED">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c>
          <w:tcPr>
            <w:tcW w:w="0" w:type="auto"/>
            <w:vMerge w:val="continue"/>
            <w:noWrap w:val="0"/>
            <w:tcMar>
              <w:top w:w="15" w:type="dxa"/>
              <w:left w:w="15" w:type="dxa"/>
              <w:bottom w:w="0" w:type="dxa"/>
              <w:right w:w="15" w:type="dxa"/>
            </w:tcMar>
            <w:vAlign w:val="center"/>
          </w:tcPr>
          <w:p w14:paraId="18A90F8E">
            <w:pPr>
              <w:spacing w:line="240" w:lineRule="auto"/>
              <w:jc w:val="center"/>
              <w:rPr>
                <w:rFonts w:hint="eastAsia" w:asciiTheme="minorEastAsia" w:hAnsiTheme="minorEastAsia" w:eastAsiaTheme="minorEastAsia" w:cstheme="minorEastAsia"/>
                <w:b/>
                <w:bCs/>
                <w:kern w:val="0"/>
                <w:sz w:val="21"/>
                <w:szCs w:val="21"/>
                <w:shd w:val="clear" w:color="auto" w:fill="FFFFFF"/>
                <w:lang w:bidi="ar"/>
              </w:rPr>
            </w:pPr>
          </w:p>
        </w:tc>
      </w:tr>
    </w:tbl>
    <w:p w14:paraId="60B12A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检验方法包括相关产品标准及试验方法标准。</w:t>
      </w:r>
    </w:p>
    <w:p w14:paraId="3D19D43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凡是注日期的文件，其随后所有的修改单（不包括勘误的内容）或修订版不适用于本细则。凡是不注日期的文件，其最新版本适用于本细则。</w:t>
      </w:r>
    </w:p>
    <w:p w14:paraId="19864F6B">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highlight w:val="none"/>
          <w:shd w:val="clear" w:color="auto" w:fill="FFFFFF"/>
          <w:lang w:val="en-US" w:eastAsia="zh-CN" w:bidi="ar"/>
        </w:rPr>
      </w:pPr>
      <w:r>
        <w:rPr>
          <w:rFonts w:hint="eastAsia" w:asciiTheme="minorEastAsia" w:hAnsiTheme="minorEastAsia" w:eastAsiaTheme="minorEastAsia" w:cstheme="minorEastAsia"/>
          <w:kern w:val="0"/>
          <w:sz w:val="21"/>
          <w:szCs w:val="21"/>
          <w:highlight w:val="none"/>
          <w:shd w:val="clear" w:color="auto" w:fill="FFFFFF"/>
          <w:lang w:val="en-US" w:eastAsia="zh-CN" w:bidi="ar"/>
        </w:rPr>
        <w:t>4.判定规则</w:t>
      </w:r>
    </w:p>
    <w:p w14:paraId="2E51E3DC">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val="en-US" w:eastAsia="zh-CN" w:bidi="ar"/>
        </w:rPr>
      </w:pPr>
      <w:r>
        <w:rPr>
          <w:rFonts w:hint="eastAsia" w:asciiTheme="minorEastAsia" w:hAnsiTheme="minorEastAsia" w:eastAsiaTheme="minorEastAsia" w:cstheme="minorEastAsia"/>
          <w:kern w:val="0"/>
          <w:sz w:val="21"/>
          <w:szCs w:val="21"/>
          <w:shd w:val="clear" w:color="auto" w:fill="FFFFFF"/>
          <w:lang w:val="en-US" w:eastAsia="zh-CN" w:bidi="ar"/>
        </w:rPr>
        <w:t>4.1依据标准</w:t>
      </w:r>
    </w:p>
    <w:p w14:paraId="5344BDD0">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 4706.1-2005 《家用和类似用途电器的安全 第1部分：通用要求》；</w:t>
      </w:r>
    </w:p>
    <w:p w14:paraId="07925B2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GB4706.24-2008《家用和类似用途电器的安全 洗衣机的特殊要求》；</w:t>
      </w:r>
    </w:p>
    <w:p w14:paraId="21AD439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4706.24-2024《家用和类似用途电器的安全 第24部分：洗衣机的特殊要求》；</w:t>
      </w:r>
    </w:p>
    <w:p w14:paraId="058FB31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GB4706.26-2008《家用和类似用途电器的安全 离心式脱水机的特殊要求》；</w:t>
      </w:r>
    </w:p>
    <w:p w14:paraId="33A0ED9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4706.26-2024《家用和类似用途电器的安全 第26部分：离心式脱水机的特殊要求》；</w:t>
      </w:r>
    </w:p>
    <w:p w14:paraId="71C977E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《能源效率标识管理办法》；</w:t>
      </w:r>
    </w:p>
    <w:p w14:paraId="2212031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现行有效的企业标准、团体标准、地方标准及产品明示质量要求。</w:t>
      </w:r>
    </w:p>
    <w:p w14:paraId="5640C38E">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bidi="ar"/>
        </w:rPr>
      </w:pPr>
      <w:r>
        <w:rPr>
          <w:rFonts w:hint="eastAsia" w:asciiTheme="minorEastAsia" w:hAnsiTheme="minorEastAsia" w:eastAsiaTheme="minorEastAsia" w:cstheme="minorEastAsia"/>
          <w:kern w:val="0"/>
          <w:sz w:val="21"/>
          <w:szCs w:val="21"/>
          <w:shd w:val="clear" w:color="auto" w:fill="FFFFFF"/>
          <w:lang w:val="en-US" w:eastAsia="zh-CN" w:bidi="ar"/>
        </w:rPr>
        <w:t>5.处置</w:t>
      </w:r>
      <w:r>
        <w:rPr>
          <w:rFonts w:hint="eastAsia" w:asciiTheme="minorEastAsia" w:hAnsiTheme="minorEastAsia" w:eastAsiaTheme="minorEastAsia" w:cstheme="minorEastAsia"/>
          <w:kern w:val="0"/>
          <w:sz w:val="21"/>
          <w:szCs w:val="21"/>
          <w:shd w:val="clear" w:color="auto" w:fill="FFFFFF"/>
          <w:lang w:bidi="ar"/>
        </w:rPr>
        <w:t>原则</w:t>
      </w:r>
    </w:p>
    <w:p w14:paraId="50BEC55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现场</w:t>
      </w:r>
      <w:r>
        <w:rPr>
          <w:rFonts w:hint="eastAsia" w:asciiTheme="minorEastAsia" w:hAnsiTheme="minorEastAsia" w:eastAsiaTheme="minorEastAsia" w:cstheme="minorEastAsia"/>
          <w:sz w:val="21"/>
          <w:szCs w:val="21"/>
        </w:rPr>
        <w:t>经检验，检验项目全部合格，判定为被抽查产品</w:t>
      </w:r>
      <w:r>
        <w:rPr>
          <w:rFonts w:hint="eastAsia" w:asciiTheme="minorEastAsia" w:hAnsiTheme="minorEastAsia" w:eastAsiaTheme="minorEastAsia" w:cstheme="minorEastAsia"/>
          <w:sz w:val="21"/>
          <w:szCs w:val="21"/>
          <w:lang w:eastAsia="zh-CN"/>
        </w:rPr>
        <w:t>未发现不</w:t>
      </w:r>
      <w:r>
        <w:rPr>
          <w:rFonts w:hint="eastAsia" w:asciiTheme="minorEastAsia" w:hAnsiTheme="minorEastAsia" w:eastAsiaTheme="minorEastAsia" w:cstheme="minorEastAsia"/>
          <w:sz w:val="21"/>
          <w:szCs w:val="21"/>
        </w:rPr>
        <w:t>合格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抽样样品封存留存在销售单位，待抽检检测结束后解封。</w:t>
      </w:r>
    </w:p>
    <w:p w14:paraId="191DD63F">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2现场</w:t>
      </w:r>
      <w:r>
        <w:rPr>
          <w:rFonts w:hint="eastAsia" w:asciiTheme="minorEastAsia" w:hAnsiTheme="minorEastAsia" w:eastAsiaTheme="minorEastAsia" w:cstheme="minorEastAsia"/>
          <w:sz w:val="21"/>
          <w:szCs w:val="21"/>
        </w:rPr>
        <w:t>经检验，检验项目中任一项或一项以上不合格，判定为被抽查产品不合格。</w:t>
      </w:r>
      <w:r>
        <w:rPr>
          <w:rFonts w:hint="eastAsia" w:asciiTheme="minorEastAsia" w:hAnsiTheme="minorEastAsia" w:eastAsiaTheme="minorEastAsia" w:cstheme="minorEastAsia"/>
          <w:sz w:val="21"/>
          <w:szCs w:val="21"/>
          <w:lang w:val="en-US" w:eastAsia="zh-CN"/>
        </w:rPr>
        <w:t>抽样样品封存现场移交属地市场监督管理部门处置。</w:t>
      </w:r>
    </w:p>
    <w:p w14:paraId="008F9FA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若被检产品明示的质量要求高于本细则中检验项目依据的标准要求时，应按被检产品明示的质量要求判定。</w:t>
      </w:r>
    </w:p>
    <w:p w14:paraId="49D3230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若被检产品明示的质量要求低于本细则中检验项目依据的强制性标准要求时，应按照强制性标准要求判定。</w:t>
      </w:r>
    </w:p>
    <w:p w14:paraId="21217F84">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若被检产品明示的质量要求低于或包含细则中检验项目依据的推荐性标准要求时，应以被检产品明示的质量要求判定，但应在检验报告备注中进行说明。</w:t>
      </w:r>
    </w:p>
    <w:p w14:paraId="10BEA2D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若被检产品明示的质量要求缺少本细则中检验项目依据的强制性标准要求时，应按照强制性标准要求判定。</w:t>
      </w:r>
    </w:p>
    <w:p w14:paraId="4B1238FE">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若被检产品明示的质量要求缺少本细则中检验项目依据的推荐性标准要求时，该项目不参与判定，但应在检验报告备注中进行说明。</w:t>
      </w:r>
    </w:p>
    <w:p w14:paraId="5821686B">
      <w:pPr>
        <w:overflowPunct w:val="0"/>
        <w:autoSpaceDE w:val="0"/>
        <w:autoSpaceDN w:val="0"/>
        <w:adjustRightInd w:val="0"/>
        <w:snapToGrid w:val="0"/>
        <w:spacing w:line="580" w:lineRule="exact"/>
        <w:ind w:left="640"/>
        <w:rPr>
          <w:rFonts w:hint="eastAsia" w:asciiTheme="minorEastAsia" w:hAnsiTheme="minorEastAsia" w:eastAsiaTheme="minorEastAsia" w:cstheme="minorEastAsia"/>
          <w:kern w:val="0"/>
          <w:sz w:val="21"/>
          <w:szCs w:val="21"/>
          <w:shd w:val="clear" w:color="auto" w:fill="FFFFFF"/>
          <w:lang w:bidi="ar"/>
        </w:rPr>
      </w:pPr>
      <w:r>
        <w:rPr>
          <w:rFonts w:hint="eastAsia" w:asciiTheme="minorEastAsia" w:hAnsiTheme="minorEastAsia" w:eastAsiaTheme="minorEastAsia" w:cstheme="minorEastAsia"/>
          <w:kern w:val="0"/>
          <w:sz w:val="21"/>
          <w:szCs w:val="21"/>
          <w:shd w:val="clear" w:color="auto" w:fill="FFFFFF"/>
          <w:lang w:val="en-US" w:eastAsia="zh-CN" w:bidi="ar"/>
        </w:rPr>
        <w:t>6</w:t>
      </w:r>
      <w:r>
        <w:rPr>
          <w:rFonts w:hint="eastAsia" w:asciiTheme="minorEastAsia" w:hAnsiTheme="minorEastAsia" w:eastAsiaTheme="minorEastAsia" w:cstheme="minorEastAsia"/>
          <w:kern w:val="0"/>
          <w:sz w:val="21"/>
          <w:szCs w:val="21"/>
          <w:shd w:val="clear" w:color="auto" w:fill="FFFFFF"/>
          <w:lang w:bidi="ar"/>
        </w:rPr>
        <w:t>.异议处理</w:t>
      </w:r>
    </w:p>
    <w:p w14:paraId="4B81D6A8">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.1对监督抽查程序有异议的，由任务下达部门核查相关证据后维持或者撤销原检验结果。</w:t>
      </w:r>
    </w:p>
    <w:p w14:paraId="07E5E75B">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2对检验结果有异议的，任务下达部门核查相关证据，能够证明原检验结果准确的，维持原检验结果；不能证明原检验结果准确，需要进行复检的，由任务下达部门指定复检机构进行复检，复检结果为本次监督抽查最终结论。</w:t>
      </w:r>
      <w:r>
        <w:rPr>
          <w:rFonts w:hint="eastAsia" w:asciiTheme="minorEastAsia" w:hAnsiTheme="minorEastAsia" w:eastAsiaTheme="minorEastAsia" w:cstheme="minorEastAsia"/>
          <w:sz w:val="21"/>
          <w:szCs w:val="21"/>
          <w:lang w:val="en-US" w:eastAsia="zh-CN"/>
        </w:rPr>
        <w:t>复测样品使用原样品复测。</w:t>
      </w:r>
    </w:p>
    <w:p w14:paraId="2B6A5BF9">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.3对样品信息有异议的，任务下达部门核查样品确认情况和生产企业提交证明材料后，维持或者撤销原检验结果。</w:t>
      </w:r>
    </w:p>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0A5A">
    <w:pPr>
      <w:pStyle w:val="7"/>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F8D31">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7F8D31">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EB9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7316A">
                          <w:pPr>
                            <w:snapToGrid w:val="0"/>
                            <w:rPr>
                              <w:sz w:val="18"/>
                            </w:rPr>
                          </w:pPr>
                          <w:r>
                            <w:rPr>
                              <w:sz w:val="18"/>
                            </w:rPr>
                            <w:fldChar w:fldCharType="begin"/>
                          </w:r>
                          <w:r>
                            <w:rPr>
                              <w:sz w:val="18"/>
                            </w:rPr>
                            <w:instrText xml:space="preserve"> PAGE  \* MERGEFORMAT </w:instrText>
                          </w:r>
                          <w:r>
                            <w:rPr>
                              <w:sz w:val="18"/>
                            </w:rPr>
                            <w:fldChar w:fldCharType="separate"/>
                          </w:r>
                          <w:r>
                            <w:rPr>
                              <w:sz w:val="18"/>
                            </w:rPr>
                            <w:t>- 0 -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57316A">
                    <w:pPr>
                      <w:snapToGrid w:val="0"/>
                      <w:rPr>
                        <w:sz w:val="18"/>
                      </w:rPr>
                    </w:pPr>
                    <w:r>
                      <w:rPr>
                        <w:sz w:val="18"/>
                      </w:rPr>
                      <w:fldChar w:fldCharType="begin"/>
                    </w:r>
                    <w:r>
                      <w:rPr>
                        <w:sz w:val="18"/>
                      </w:rPr>
                      <w:instrText xml:space="preserve"> PAGE  \* MERGEFORMAT </w:instrText>
                    </w:r>
                    <w:r>
                      <w:rPr>
                        <w:sz w:val="18"/>
                      </w:rPr>
                      <w:fldChar w:fldCharType="separate"/>
                    </w:r>
                    <w:r>
                      <w:rPr>
                        <w:sz w:val="18"/>
                      </w:rPr>
                      <w:t>- 0 -</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8EE4">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HorizontalSpacing w:val="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NzhkN2E4OTQ5ZGM1OWFiNTM4MzU1NmJlZWE5MmUifQ=="/>
  </w:docVars>
  <w:rsids>
    <w:rsidRoot w:val="00172A27"/>
    <w:rsid w:val="00034B28"/>
    <w:rsid w:val="00036397"/>
    <w:rsid w:val="0004751E"/>
    <w:rsid w:val="00086A23"/>
    <w:rsid w:val="000A1A2F"/>
    <w:rsid w:val="00102157"/>
    <w:rsid w:val="001140D2"/>
    <w:rsid w:val="00124675"/>
    <w:rsid w:val="0014700C"/>
    <w:rsid w:val="00172A27"/>
    <w:rsid w:val="00217AF4"/>
    <w:rsid w:val="002449DB"/>
    <w:rsid w:val="002A75DE"/>
    <w:rsid w:val="002B7064"/>
    <w:rsid w:val="002C2F25"/>
    <w:rsid w:val="00303465"/>
    <w:rsid w:val="003042F4"/>
    <w:rsid w:val="003117B3"/>
    <w:rsid w:val="0031572F"/>
    <w:rsid w:val="00364676"/>
    <w:rsid w:val="00391605"/>
    <w:rsid w:val="003C2376"/>
    <w:rsid w:val="003C65F2"/>
    <w:rsid w:val="0041062C"/>
    <w:rsid w:val="00417AC8"/>
    <w:rsid w:val="00420831"/>
    <w:rsid w:val="0042209F"/>
    <w:rsid w:val="00431E3E"/>
    <w:rsid w:val="004560A2"/>
    <w:rsid w:val="004743C7"/>
    <w:rsid w:val="00487D51"/>
    <w:rsid w:val="004A2E96"/>
    <w:rsid w:val="004B5F3C"/>
    <w:rsid w:val="004B7702"/>
    <w:rsid w:val="004C4065"/>
    <w:rsid w:val="004E46D7"/>
    <w:rsid w:val="00520CB1"/>
    <w:rsid w:val="00522C50"/>
    <w:rsid w:val="00530C8F"/>
    <w:rsid w:val="005512AF"/>
    <w:rsid w:val="00584453"/>
    <w:rsid w:val="005C719E"/>
    <w:rsid w:val="005F468A"/>
    <w:rsid w:val="00600AD2"/>
    <w:rsid w:val="00645B6E"/>
    <w:rsid w:val="00652B07"/>
    <w:rsid w:val="00661968"/>
    <w:rsid w:val="006822A8"/>
    <w:rsid w:val="00684B99"/>
    <w:rsid w:val="006D6300"/>
    <w:rsid w:val="006F2861"/>
    <w:rsid w:val="00700901"/>
    <w:rsid w:val="00706509"/>
    <w:rsid w:val="007226CF"/>
    <w:rsid w:val="0075724F"/>
    <w:rsid w:val="007808DD"/>
    <w:rsid w:val="0078145F"/>
    <w:rsid w:val="007875B4"/>
    <w:rsid w:val="0079491D"/>
    <w:rsid w:val="007D10EF"/>
    <w:rsid w:val="007D1197"/>
    <w:rsid w:val="007D464E"/>
    <w:rsid w:val="007E193B"/>
    <w:rsid w:val="007E7ACB"/>
    <w:rsid w:val="00802ED9"/>
    <w:rsid w:val="00805A0E"/>
    <w:rsid w:val="00807CF8"/>
    <w:rsid w:val="00817C18"/>
    <w:rsid w:val="00821923"/>
    <w:rsid w:val="00835152"/>
    <w:rsid w:val="00855755"/>
    <w:rsid w:val="008576BF"/>
    <w:rsid w:val="008B08F7"/>
    <w:rsid w:val="008C589D"/>
    <w:rsid w:val="008E2383"/>
    <w:rsid w:val="00903ABE"/>
    <w:rsid w:val="009147F5"/>
    <w:rsid w:val="009476BB"/>
    <w:rsid w:val="00950F16"/>
    <w:rsid w:val="00954A70"/>
    <w:rsid w:val="00961B11"/>
    <w:rsid w:val="00962DDF"/>
    <w:rsid w:val="009952DA"/>
    <w:rsid w:val="009A5DDE"/>
    <w:rsid w:val="009B1664"/>
    <w:rsid w:val="009C4288"/>
    <w:rsid w:val="009D7D78"/>
    <w:rsid w:val="009E45F1"/>
    <w:rsid w:val="00A4206C"/>
    <w:rsid w:val="00A92BA7"/>
    <w:rsid w:val="00AD301E"/>
    <w:rsid w:val="00AF0342"/>
    <w:rsid w:val="00AF1BB4"/>
    <w:rsid w:val="00AF5C07"/>
    <w:rsid w:val="00B05067"/>
    <w:rsid w:val="00B46293"/>
    <w:rsid w:val="00B7576B"/>
    <w:rsid w:val="00B93D5F"/>
    <w:rsid w:val="00B95D86"/>
    <w:rsid w:val="00B97899"/>
    <w:rsid w:val="00BA595D"/>
    <w:rsid w:val="00BD50B9"/>
    <w:rsid w:val="00BE6444"/>
    <w:rsid w:val="00CD3BA2"/>
    <w:rsid w:val="00D26000"/>
    <w:rsid w:val="00D40532"/>
    <w:rsid w:val="00D57517"/>
    <w:rsid w:val="00D634BD"/>
    <w:rsid w:val="00D63AC5"/>
    <w:rsid w:val="00D92628"/>
    <w:rsid w:val="00DF6362"/>
    <w:rsid w:val="00E0102D"/>
    <w:rsid w:val="00E01962"/>
    <w:rsid w:val="00E40971"/>
    <w:rsid w:val="00E55F76"/>
    <w:rsid w:val="00E6068B"/>
    <w:rsid w:val="00E8287C"/>
    <w:rsid w:val="00E9268C"/>
    <w:rsid w:val="00E95EA4"/>
    <w:rsid w:val="00EC5BDF"/>
    <w:rsid w:val="00ED7FE2"/>
    <w:rsid w:val="00F40CCB"/>
    <w:rsid w:val="00FB21B8"/>
    <w:rsid w:val="012F36C6"/>
    <w:rsid w:val="01743787"/>
    <w:rsid w:val="02B86400"/>
    <w:rsid w:val="031943E4"/>
    <w:rsid w:val="033A014E"/>
    <w:rsid w:val="056F01B1"/>
    <w:rsid w:val="05D24EFE"/>
    <w:rsid w:val="06DE5BB2"/>
    <w:rsid w:val="07293219"/>
    <w:rsid w:val="072A3ACD"/>
    <w:rsid w:val="07672914"/>
    <w:rsid w:val="077F7679"/>
    <w:rsid w:val="07BF3F65"/>
    <w:rsid w:val="07CC7DFF"/>
    <w:rsid w:val="07F50FE7"/>
    <w:rsid w:val="07FD5AEF"/>
    <w:rsid w:val="08A4051C"/>
    <w:rsid w:val="097537AA"/>
    <w:rsid w:val="0B270AD4"/>
    <w:rsid w:val="0CFA1423"/>
    <w:rsid w:val="0F1C4CFF"/>
    <w:rsid w:val="0F8B7910"/>
    <w:rsid w:val="0FCF7CD7"/>
    <w:rsid w:val="0FDBD46C"/>
    <w:rsid w:val="0FDE2F82"/>
    <w:rsid w:val="0FE7E3B3"/>
    <w:rsid w:val="0FF1F824"/>
    <w:rsid w:val="10750B8D"/>
    <w:rsid w:val="108654B0"/>
    <w:rsid w:val="12495675"/>
    <w:rsid w:val="12F33175"/>
    <w:rsid w:val="13104A5C"/>
    <w:rsid w:val="135FA0BA"/>
    <w:rsid w:val="15217B72"/>
    <w:rsid w:val="157A1825"/>
    <w:rsid w:val="159F1815"/>
    <w:rsid w:val="15BFD474"/>
    <w:rsid w:val="169F9BF9"/>
    <w:rsid w:val="16E21CB9"/>
    <w:rsid w:val="16FB0492"/>
    <w:rsid w:val="17B79E71"/>
    <w:rsid w:val="17B7B7BA"/>
    <w:rsid w:val="17D51E8A"/>
    <w:rsid w:val="17E40657"/>
    <w:rsid w:val="17EEF9D1"/>
    <w:rsid w:val="17FDD55A"/>
    <w:rsid w:val="18C14E5E"/>
    <w:rsid w:val="19580BB5"/>
    <w:rsid w:val="198E3CBB"/>
    <w:rsid w:val="1AF6179C"/>
    <w:rsid w:val="1AFF3B9A"/>
    <w:rsid w:val="1B103D73"/>
    <w:rsid w:val="1B41616E"/>
    <w:rsid w:val="1B6415FF"/>
    <w:rsid w:val="1BD62213"/>
    <w:rsid w:val="1BFEA00E"/>
    <w:rsid w:val="1CDC37CE"/>
    <w:rsid w:val="1D77C33A"/>
    <w:rsid w:val="1DEBB745"/>
    <w:rsid w:val="1E3F13CD"/>
    <w:rsid w:val="1E737BC0"/>
    <w:rsid w:val="1E9E31A8"/>
    <w:rsid w:val="1ED66FCF"/>
    <w:rsid w:val="1EF7F7BF"/>
    <w:rsid w:val="1F7EBB5A"/>
    <w:rsid w:val="1F7FAC2A"/>
    <w:rsid w:val="1FAF4919"/>
    <w:rsid w:val="1FB36451"/>
    <w:rsid w:val="1FF87E2A"/>
    <w:rsid w:val="1FFB9F82"/>
    <w:rsid w:val="22B6F9AE"/>
    <w:rsid w:val="237F2682"/>
    <w:rsid w:val="23E7B3DB"/>
    <w:rsid w:val="24E848A1"/>
    <w:rsid w:val="25AD4C1F"/>
    <w:rsid w:val="26B0369A"/>
    <w:rsid w:val="273051AC"/>
    <w:rsid w:val="27D7CCBF"/>
    <w:rsid w:val="27EFC50A"/>
    <w:rsid w:val="27FDBB8D"/>
    <w:rsid w:val="29395066"/>
    <w:rsid w:val="29CF5C0C"/>
    <w:rsid w:val="2A560303"/>
    <w:rsid w:val="2AFEB808"/>
    <w:rsid w:val="2AFF640F"/>
    <w:rsid w:val="2B4C06CC"/>
    <w:rsid w:val="2B5F00AC"/>
    <w:rsid w:val="2B711D54"/>
    <w:rsid w:val="2BD2A7D3"/>
    <w:rsid w:val="2C4B9764"/>
    <w:rsid w:val="2CB36859"/>
    <w:rsid w:val="2CEE4744"/>
    <w:rsid w:val="2D713CE2"/>
    <w:rsid w:val="2D79212A"/>
    <w:rsid w:val="2D7D282B"/>
    <w:rsid w:val="2DF764D2"/>
    <w:rsid w:val="2DFF7893"/>
    <w:rsid w:val="2E6E7857"/>
    <w:rsid w:val="2E851362"/>
    <w:rsid w:val="2EBB82B8"/>
    <w:rsid w:val="2EBC94A2"/>
    <w:rsid w:val="2F20375F"/>
    <w:rsid w:val="2F3F67E9"/>
    <w:rsid w:val="2F497C57"/>
    <w:rsid w:val="2F5725C6"/>
    <w:rsid w:val="2F8F69E4"/>
    <w:rsid w:val="2F9BC457"/>
    <w:rsid w:val="2FAFADF6"/>
    <w:rsid w:val="2FB23F7B"/>
    <w:rsid w:val="2FCD230D"/>
    <w:rsid w:val="2FCEC156"/>
    <w:rsid w:val="2FCF3EE1"/>
    <w:rsid w:val="2FDFDA97"/>
    <w:rsid w:val="2FEA9691"/>
    <w:rsid w:val="2FF77C81"/>
    <w:rsid w:val="2FFBB643"/>
    <w:rsid w:val="2FFFD89C"/>
    <w:rsid w:val="2FFFDA46"/>
    <w:rsid w:val="316C7723"/>
    <w:rsid w:val="32FF4F96"/>
    <w:rsid w:val="335FDE6A"/>
    <w:rsid w:val="33EF2992"/>
    <w:rsid w:val="33F498E9"/>
    <w:rsid w:val="33FFDA07"/>
    <w:rsid w:val="34FC592B"/>
    <w:rsid w:val="35AB6935"/>
    <w:rsid w:val="35B06902"/>
    <w:rsid w:val="35F370D2"/>
    <w:rsid w:val="362F4692"/>
    <w:rsid w:val="36DC5E9F"/>
    <w:rsid w:val="36EBBA03"/>
    <w:rsid w:val="3762738D"/>
    <w:rsid w:val="376E28DE"/>
    <w:rsid w:val="377F1C13"/>
    <w:rsid w:val="37BE2A74"/>
    <w:rsid w:val="37CF8BD0"/>
    <w:rsid w:val="37DFA358"/>
    <w:rsid w:val="37F97A60"/>
    <w:rsid w:val="37FBCEAA"/>
    <w:rsid w:val="37FDB5C7"/>
    <w:rsid w:val="37FF3544"/>
    <w:rsid w:val="37FFC47D"/>
    <w:rsid w:val="38ADDE3B"/>
    <w:rsid w:val="397FFE82"/>
    <w:rsid w:val="39DF294B"/>
    <w:rsid w:val="39FF4AAB"/>
    <w:rsid w:val="3A7602B9"/>
    <w:rsid w:val="3ADFE134"/>
    <w:rsid w:val="3B77AA79"/>
    <w:rsid w:val="3B7F8234"/>
    <w:rsid w:val="3B9FB901"/>
    <w:rsid w:val="3BAFC93A"/>
    <w:rsid w:val="3BB931A0"/>
    <w:rsid w:val="3BC506E1"/>
    <w:rsid w:val="3BD71DCB"/>
    <w:rsid w:val="3BD790C4"/>
    <w:rsid w:val="3BEE0D1D"/>
    <w:rsid w:val="3BFCCD8A"/>
    <w:rsid w:val="3C5DB81C"/>
    <w:rsid w:val="3C5F39C2"/>
    <w:rsid w:val="3C7F666F"/>
    <w:rsid w:val="3CBF6083"/>
    <w:rsid w:val="3CBF78CA"/>
    <w:rsid w:val="3CF2E897"/>
    <w:rsid w:val="3D7EAA9D"/>
    <w:rsid w:val="3D9F92CE"/>
    <w:rsid w:val="3DB84F06"/>
    <w:rsid w:val="3DBC8B63"/>
    <w:rsid w:val="3DDFC23C"/>
    <w:rsid w:val="3DEB8520"/>
    <w:rsid w:val="3DF72014"/>
    <w:rsid w:val="3DFA8452"/>
    <w:rsid w:val="3E370832"/>
    <w:rsid w:val="3E6F1ED0"/>
    <w:rsid w:val="3E7E2996"/>
    <w:rsid w:val="3E7F0597"/>
    <w:rsid w:val="3E7FFE09"/>
    <w:rsid w:val="3E8423B0"/>
    <w:rsid w:val="3E995A10"/>
    <w:rsid w:val="3EB3ED5F"/>
    <w:rsid w:val="3EBE6054"/>
    <w:rsid w:val="3EBEB4C6"/>
    <w:rsid w:val="3ECB17B0"/>
    <w:rsid w:val="3ECD3F28"/>
    <w:rsid w:val="3EEF4A60"/>
    <w:rsid w:val="3EF32057"/>
    <w:rsid w:val="3EF65744"/>
    <w:rsid w:val="3EF92AC9"/>
    <w:rsid w:val="3EFE3651"/>
    <w:rsid w:val="3EFFE691"/>
    <w:rsid w:val="3F564CF7"/>
    <w:rsid w:val="3F5DDDE2"/>
    <w:rsid w:val="3F67B556"/>
    <w:rsid w:val="3F6C00EA"/>
    <w:rsid w:val="3F6FE081"/>
    <w:rsid w:val="3F7AF635"/>
    <w:rsid w:val="3F7D8708"/>
    <w:rsid w:val="3F9F6BF6"/>
    <w:rsid w:val="3FA27695"/>
    <w:rsid w:val="3FAC7EA4"/>
    <w:rsid w:val="3FACBE6E"/>
    <w:rsid w:val="3FAD23F6"/>
    <w:rsid w:val="3FB83E19"/>
    <w:rsid w:val="3FBF6076"/>
    <w:rsid w:val="3FBF8F07"/>
    <w:rsid w:val="3FD9E67D"/>
    <w:rsid w:val="3FDFDF96"/>
    <w:rsid w:val="3FE79E5E"/>
    <w:rsid w:val="3FEE7B8C"/>
    <w:rsid w:val="3FEF8670"/>
    <w:rsid w:val="3FF5A6C6"/>
    <w:rsid w:val="3FFB72EC"/>
    <w:rsid w:val="3FFDAC88"/>
    <w:rsid w:val="3FFE8C60"/>
    <w:rsid w:val="3FFF0F11"/>
    <w:rsid w:val="3FFF2879"/>
    <w:rsid w:val="3FFFC9A4"/>
    <w:rsid w:val="41101E4C"/>
    <w:rsid w:val="42073F06"/>
    <w:rsid w:val="42DFB18E"/>
    <w:rsid w:val="437767F2"/>
    <w:rsid w:val="43A2CC56"/>
    <w:rsid w:val="43A6B773"/>
    <w:rsid w:val="43B04F82"/>
    <w:rsid w:val="43BD6F70"/>
    <w:rsid w:val="43BF9E43"/>
    <w:rsid w:val="44FEC3B7"/>
    <w:rsid w:val="459C24C1"/>
    <w:rsid w:val="45BB3CEC"/>
    <w:rsid w:val="45D71AB3"/>
    <w:rsid w:val="45F6F8F6"/>
    <w:rsid w:val="45FBC3A4"/>
    <w:rsid w:val="461A6091"/>
    <w:rsid w:val="469D551D"/>
    <w:rsid w:val="46FE088F"/>
    <w:rsid w:val="473F5884"/>
    <w:rsid w:val="475472AD"/>
    <w:rsid w:val="479E9BD7"/>
    <w:rsid w:val="47CD5B03"/>
    <w:rsid w:val="47EF0EC3"/>
    <w:rsid w:val="47F854A9"/>
    <w:rsid w:val="47FB23C7"/>
    <w:rsid w:val="48B4421B"/>
    <w:rsid w:val="495B44AF"/>
    <w:rsid w:val="4ABDA8F0"/>
    <w:rsid w:val="4BB6692E"/>
    <w:rsid w:val="4BDAF9A3"/>
    <w:rsid w:val="4BDF3CBE"/>
    <w:rsid w:val="4BFC0F0C"/>
    <w:rsid w:val="4CEB15A0"/>
    <w:rsid w:val="4CFBEB0A"/>
    <w:rsid w:val="4DF7AC1E"/>
    <w:rsid w:val="4DFFE173"/>
    <w:rsid w:val="4E91314E"/>
    <w:rsid w:val="4E9FB034"/>
    <w:rsid w:val="4EFED12E"/>
    <w:rsid w:val="4F9B10F5"/>
    <w:rsid w:val="4FDC8063"/>
    <w:rsid w:val="4FDFCB68"/>
    <w:rsid w:val="4FF36028"/>
    <w:rsid w:val="4FFC58EC"/>
    <w:rsid w:val="509F1015"/>
    <w:rsid w:val="50FA4494"/>
    <w:rsid w:val="5127DED4"/>
    <w:rsid w:val="51667FE7"/>
    <w:rsid w:val="526F000F"/>
    <w:rsid w:val="52AC1DB3"/>
    <w:rsid w:val="52F87888"/>
    <w:rsid w:val="53AB5695"/>
    <w:rsid w:val="53F73380"/>
    <w:rsid w:val="54FB732A"/>
    <w:rsid w:val="557FB7F4"/>
    <w:rsid w:val="55FEB7CE"/>
    <w:rsid w:val="56511659"/>
    <w:rsid w:val="56784014"/>
    <w:rsid w:val="56A603BA"/>
    <w:rsid w:val="56B78789"/>
    <w:rsid w:val="56D7382A"/>
    <w:rsid w:val="56F6F92E"/>
    <w:rsid w:val="56FD748E"/>
    <w:rsid w:val="56FE73FB"/>
    <w:rsid w:val="56FFC2D5"/>
    <w:rsid w:val="573F0235"/>
    <w:rsid w:val="575E26DE"/>
    <w:rsid w:val="579A58F1"/>
    <w:rsid w:val="57B3754E"/>
    <w:rsid w:val="57D78296"/>
    <w:rsid w:val="57DE1955"/>
    <w:rsid w:val="57F2889E"/>
    <w:rsid w:val="57FA2AB3"/>
    <w:rsid w:val="57FFF267"/>
    <w:rsid w:val="57FFFFE8"/>
    <w:rsid w:val="5800705F"/>
    <w:rsid w:val="58625F74"/>
    <w:rsid w:val="586FAEF1"/>
    <w:rsid w:val="5872092A"/>
    <w:rsid w:val="593928E6"/>
    <w:rsid w:val="596E3393"/>
    <w:rsid w:val="596FC975"/>
    <w:rsid w:val="5977F14E"/>
    <w:rsid w:val="597CE206"/>
    <w:rsid w:val="59BD31D3"/>
    <w:rsid w:val="59FB51C0"/>
    <w:rsid w:val="59FBCCC0"/>
    <w:rsid w:val="59FF35AE"/>
    <w:rsid w:val="5A7342B5"/>
    <w:rsid w:val="5A776657"/>
    <w:rsid w:val="5A84202D"/>
    <w:rsid w:val="5A912132"/>
    <w:rsid w:val="5ABFE15A"/>
    <w:rsid w:val="5ADE0609"/>
    <w:rsid w:val="5B2611E5"/>
    <w:rsid w:val="5B2F9F4C"/>
    <w:rsid w:val="5B8E7B46"/>
    <w:rsid w:val="5B9B8680"/>
    <w:rsid w:val="5BBF5FAC"/>
    <w:rsid w:val="5BEBCDE8"/>
    <w:rsid w:val="5BEF4058"/>
    <w:rsid w:val="5BF9F152"/>
    <w:rsid w:val="5BFEAC49"/>
    <w:rsid w:val="5BFFCAB8"/>
    <w:rsid w:val="5C791CAA"/>
    <w:rsid w:val="5C7FD6AE"/>
    <w:rsid w:val="5CBC1ADB"/>
    <w:rsid w:val="5CFD2682"/>
    <w:rsid w:val="5CFD6DAB"/>
    <w:rsid w:val="5CFEAEDC"/>
    <w:rsid w:val="5CFF0C5F"/>
    <w:rsid w:val="5CFFD139"/>
    <w:rsid w:val="5DBE4A5C"/>
    <w:rsid w:val="5DCBCADC"/>
    <w:rsid w:val="5DDFBB47"/>
    <w:rsid w:val="5DE679DB"/>
    <w:rsid w:val="5DE7EEAF"/>
    <w:rsid w:val="5DEF9852"/>
    <w:rsid w:val="5DFE755D"/>
    <w:rsid w:val="5E9952F3"/>
    <w:rsid w:val="5EA828E9"/>
    <w:rsid w:val="5EDF4A2E"/>
    <w:rsid w:val="5EEEFEE8"/>
    <w:rsid w:val="5EEF839F"/>
    <w:rsid w:val="5EF71958"/>
    <w:rsid w:val="5EF9755F"/>
    <w:rsid w:val="5EFE6ABE"/>
    <w:rsid w:val="5EFF2A96"/>
    <w:rsid w:val="5EFF3D9A"/>
    <w:rsid w:val="5F4F1453"/>
    <w:rsid w:val="5F67433F"/>
    <w:rsid w:val="5F77ED58"/>
    <w:rsid w:val="5F7D0395"/>
    <w:rsid w:val="5F7FD2F3"/>
    <w:rsid w:val="5F9DDA49"/>
    <w:rsid w:val="5F9F77CD"/>
    <w:rsid w:val="5FBD580A"/>
    <w:rsid w:val="5FBF078E"/>
    <w:rsid w:val="5FBF7598"/>
    <w:rsid w:val="5FCDCBF1"/>
    <w:rsid w:val="5FDFC75E"/>
    <w:rsid w:val="5FDFF04D"/>
    <w:rsid w:val="5FF2B7B3"/>
    <w:rsid w:val="5FF63E80"/>
    <w:rsid w:val="5FFA12B4"/>
    <w:rsid w:val="5FFA60A5"/>
    <w:rsid w:val="5FFB6C3A"/>
    <w:rsid w:val="5FFBA897"/>
    <w:rsid w:val="5FFD1BF8"/>
    <w:rsid w:val="5FFD57F7"/>
    <w:rsid w:val="5FFDCCDB"/>
    <w:rsid w:val="5FFE51AD"/>
    <w:rsid w:val="5FFED7B2"/>
    <w:rsid w:val="5FFEE26C"/>
    <w:rsid w:val="5FFF6A81"/>
    <w:rsid w:val="5FFF79D4"/>
    <w:rsid w:val="5FFF918A"/>
    <w:rsid w:val="6057113F"/>
    <w:rsid w:val="60CC7A26"/>
    <w:rsid w:val="619F78B3"/>
    <w:rsid w:val="61BD3765"/>
    <w:rsid w:val="61E7D63D"/>
    <w:rsid w:val="61F68ED4"/>
    <w:rsid w:val="622A33CC"/>
    <w:rsid w:val="63EBE787"/>
    <w:rsid w:val="63F5E8AB"/>
    <w:rsid w:val="63F6BD3E"/>
    <w:rsid w:val="64DF3C0F"/>
    <w:rsid w:val="65551C8F"/>
    <w:rsid w:val="658F1A76"/>
    <w:rsid w:val="65AF6877"/>
    <w:rsid w:val="65BBE108"/>
    <w:rsid w:val="65C57E4D"/>
    <w:rsid w:val="65FE7FDC"/>
    <w:rsid w:val="666AB2A7"/>
    <w:rsid w:val="667F3DA1"/>
    <w:rsid w:val="66D5FB4F"/>
    <w:rsid w:val="66FFC62B"/>
    <w:rsid w:val="677A9DCE"/>
    <w:rsid w:val="677F88D1"/>
    <w:rsid w:val="67F2D6AA"/>
    <w:rsid w:val="67FB0353"/>
    <w:rsid w:val="67FF2755"/>
    <w:rsid w:val="67FF7418"/>
    <w:rsid w:val="67FFF123"/>
    <w:rsid w:val="696AD71A"/>
    <w:rsid w:val="697E77B5"/>
    <w:rsid w:val="69BA397D"/>
    <w:rsid w:val="69DFCC05"/>
    <w:rsid w:val="6A3D00DC"/>
    <w:rsid w:val="6A4F07D1"/>
    <w:rsid w:val="6A73759C"/>
    <w:rsid w:val="6A8A174C"/>
    <w:rsid w:val="6AD82761"/>
    <w:rsid w:val="6B2D143F"/>
    <w:rsid w:val="6B7CD9E1"/>
    <w:rsid w:val="6B7EAFD3"/>
    <w:rsid w:val="6B8BDDC3"/>
    <w:rsid w:val="6BCC1AEC"/>
    <w:rsid w:val="6BCD53C7"/>
    <w:rsid w:val="6BD5D42B"/>
    <w:rsid w:val="6BDF3052"/>
    <w:rsid w:val="6BEEFB2D"/>
    <w:rsid w:val="6BEF73BC"/>
    <w:rsid w:val="6BF7587C"/>
    <w:rsid w:val="6BFA61B7"/>
    <w:rsid w:val="6BFBCC4E"/>
    <w:rsid w:val="6BFC78DE"/>
    <w:rsid w:val="6C7312DC"/>
    <w:rsid w:val="6CFE4243"/>
    <w:rsid w:val="6D2E7F99"/>
    <w:rsid w:val="6D57B36B"/>
    <w:rsid w:val="6D57EA19"/>
    <w:rsid w:val="6D7BD351"/>
    <w:rsid w:val="6D9745DB"/>
    <w:rsid w:val="6DBB5FAF"/>
    <w:rsid w:val="6DBBBE76"/>
    <w:rsid w:val="6DEB5E60"/>
    <w:rsid w:val="6DEDC19A"/>
    <w:rsid w:val="6DEF24D2"/>
    <w:rsid w:val="6DF7A860"/>
    <w:rsid w:val="6DFC5D02"/>
    <w:rsid w:val="6DFE9F33"/>
    <w:rsid w:val="6E7FAD1B"/>
    <w:rsid w:val="6E9FCB7F"/>
    <w:rsid w:val="6EBFAACC"/>
    <w:rsid w:val="6EBFE7AD"/>
    <w:rsid w:val="6ECFBD2E"/>
    <w:rsid w:val="6EEF4AED"/>
    <w:rsid w:val="6EF8E177"/>
    <w:rsid w:val="6EFC2830"/>
    <w:rsid w:val="6F1ADE14"/>
    <w:rsid w:val="6F1F97A2"/>
    <w:rsid w:val="6F27C473"/>
    <w:rsid w:val="6F31FEFC"/>
    <w:rsid w:val="6F3759A3"/>
    <w:rsid w:val="6F3FD75E"/>
    <w:rsid w:val="6F6C7AED"/>
    <w:rsid w:val="6F6D2A44"/>
    <w:rsid w:val="6F6DB72F"/>
    <w:rsid w:val="6F772C99"/>
    <w:rsid w:val="6F77F806"/>
    <w:rsid w:val="6F7FC268"/>
    <w:rsid w:val="6F87C6FA"/>
    <w:rsid w:val="6F9C8931"/>
    <w:rsid w:val="6FA7262F"/>
    <w:rsid w:val="6FB2B869"/>
    <w:rsid w:val="6FBD197D"/>
    <w:rsid w:val="6FBFC6F9"/>
    <w:rsid w:val="6FCF7711"/>
    <w:rsid w:val="6FCFF766"/>
    <w:rsid w:val="6FED4951"/>
    <w:rsid w:val="6FEF6C3C"/>
    <w:rsid w:val="6FEFC133"/>
    <w:rsid w:val="6FF14ABA"/>
    <w:rsid w:val="6FFD17BC"/>
    <w:rsid w:val="6FFF82B5"/>
    <w:rsid w:val="6FFF8505"/>
    <w:rsid w:val="703C5FE9"/>
    <w:rsid w:val="70DFFBA6"/>
    <w:rsid w:val="70EE8021"/>
    <w:rsid w:val="713F36BA"/>
    <w:rsid w:val="71EEDE8A"/>
    <w:rsid w:val="71F4B69E"/>
    <w:rsid w:val="71FEE236"/>
    <w:rsid w:val="728F00F7"/>
    <w:rsid w:val="72EFBF60"/>
    <w:rsid w:val="72FFD213"/>
    <w:rsid w:val="73DED2A1"/>
    <w:rsid w:val="73E7E4E7"/>
    <w:rsid w:val="73FDD660"/>
    <w:rsid w:val="73FEBB37"/>
    <w:rsid w:val="73FF2699"/>
    <w:rsid w:val="73FFFB10"/>
    <w:rsid w:val="743FFD2F"/>
    <w:rsid w:val="7457DF06"/>
    <w:rsid w:val="747F994B"/>
    <w:rsid w:val="74A424BE"/>
    <w:rsid w:val="74F64A9A"/>
    <w:rsid w:val="750F5994"/>
    <w:rsid w:val="757F6815"/>
    <w:rsid w:val="75ADAD6A"/>
    <w:rsid w:val="75B310A7"/>
    <w:rsid w:val="75BF5849"/>
    <w:rsid w:val="75C770B4"/>
    <w:rsid w:val="75DF5C89"/>
    <w:rsid w:val="75EA4A1E"/>
    <w:rsid w:val="75FF9717"/>
    <w:rsid w:val="760DB771"/>
    <w:rsid w:val="7638117A"/>
    <w:rsid w:val="765FE16A"/>
    <w:rsid w:val="76717BF0"/>
    <w:rsid w:val="769FA815"/>
    <w:rsid w:val="76BD95D1"/>
    <w:rsid w:val="76BDB5EA"/>
    <w:rsid w:val="76D23F5B"/>
    <w:rsid w:val="76DCB23B"/>
    <w:rsid w:val="76E183AA"/>
    <w:rsid w:val="76F5F0B5"/>
    <w:rsid w:val="771377E0"/>
    <w:rsid w:val="775E4BF6"/>
    <w:rsid w:val="775F4DCF"/>
    <w:rsid w:val="77670160"/>
    <w:rsid w:val="777FB8B7"/>
    <w:rsid w:val="77850EA1"/>
    <w:rsid w:val="778BB494"/>
    <w:rsid w:val="779A96B9"/>
    <w:rsid w:val="779DB80C"/>
    <w:rsid w:val="779EB331"/>
    <w:rsid w:val="77B2BE8E"/>
    <w:rsid w:val="77E7A646"/>
    <w:rsid w:val="77E7B948"/>
    <w:rsid w:val="77EE81FA"/>
    <w:rsid w:val="77F5A6A8"/>
    <w:rsid w:val="77F65A64"/>
    <w:rsid w:val="77F7B6A6"/>
    <w:rsid w:val="77FF32F1"/>
    <w:rsid w:val="77FFE77E"/>
    <w:rsid w:val="78FF40B5"/>
    <w:rsid w:val="796532FF"/>
    <w:rsid w:val="797BA4E3"/>
    <w:rsid w:val="799C5854"/>
    <w:rsid w:val="79CBDB21"/>
    <w:rsid w:val="79DF7FB4"/>
    <w:rsid w:val="79EBC953"/>
    <w:rsid w:val="79F769E9"/>
    <w:rsid w:val="79FBAC1F"/>
    <w:rsid w:val="79FDEA39"/>
    <w:rsid w:val="7A5A33D0"/>
    <w:rsid w:val="7A898170"/>
    <w:rsid w:val="7A971EE5"/>
    <w:rsid w:val="7AA67271"/>
    <w:rsid w:val="7AA74DCB"/>
    <w:rsid w:val="7AF17E5E"/>
    <w:rsid w:val="7AFB3BB2"/>
    <w:rsid w:val="7AFF0780"/>
    <w:rsid w:val="7AFF12B0"/>
    <w:rsid w:val="7B3E5C62"/>
    <w:rsid w:val="7B537873"/>
    <w:rsid w:val="7B7BCE67"/>
    <w:rsid w:val="7B7FB3E8"/>
    <w:rsid w:val="7B848BDD"/>
    <w:rsid w:val="7B9764F9"/>
    <w:rsid w:val="7BB754AD"/>
    <w:rsid w:val="7BB9857A"/>
    <w:rsid w:val="7BBD937D"/>
    <w:rsid w:val="7BBECFD4"/>
    <w:rsid w:val="7BC782D4"/>
    <w:rsid w:val="7BCB7C82"/>
    <w:rsid w:val="7BCE86F8"/>
    <w:rsid w:val="7BD7D30E"/>
    <w:rsid w:val="7BDCE045"/>
    <w:rsid w:val="7BDE6D38"/>
    <w:rsid w:val="7BDFAD63"/>
    <w:rsid w:val="7BEBBEB0"/>
    <w:rsid w:val="7BED4BC1"/>
    <w:rsid w:val="7BEF7106"/>
    <w:rsid w:val="7BF4A863"/>
    <w:rsid w:val="7BFEEEBF"/>
    <w:rsid w:val="7BFF05A7"/>
    <w:rsid w:val="7BFFC355"/>
    <w:rsid w:val="7BFFDE50"/>
    <w:rsid w:val="7C7BFAE3"/>
    <w:rsid w:val="7CBCF99F"/>
    <w:rsid w:val="7CC9D63D"/>
    <w:rsid w:val="7CD94377"/>
    <w:rsid w:val="7CDD9C16"/>
    <w:rsid w:val="7CEF1038"/>
    <w:rsid w:val="7CFFBD3A"/>
    <w:rsid w:val="7D1F93A0"/>
    <w:rsid w:val="7D596752"/>
    <w:rsid w:val="7D6B978F"/>
    <w:rsid w:val="7D730AD5"/>
    <w:rsid w:val="7D7F3CED"/>
    <w:rsid w:val="7DAD47CB"/>
    <w:rsid w:val="7DAE3FAC"/>
    <w:rsid w:val="7DAF0CEA"/>
    <w:rsid w:val="7DB57D8E"/>
    <w:rsid w:val="7DB7AB4D"/>
    <w:rsid w:val="7DB7EBF2"/>
    <w:rsid w:val="7DBB0324"/>
    <w:rsid w:val="7DBB2941"/>
    <w:rsid w:val="7DD66770"/>
    <w:rsid w:val="7DDF56FE"/>
    <w:rsid w:val="7DDFAB0B"/>
    <w:rsid w:val="7DDFB141"/>
    <w:rsid w:val="7DE9ACBE"/>
    <w:rsid w:val="7DEB609F"/>
    <w:rsid w:val="7DF3940A"/>
    <w:rsid w:val="7DFACD60"/>
    <w:rsid w:val="7DFBE6E2"/>
    <w:rsid w:val="7DFE9C77"/>
    <w:rsid w:val="7DFEA521"/>
    <w:rsid w:val="7DFEF2DB"/>
    <w:rsid w:val="7DFF4C45"/>
    <w:rsid w:val="7DFF55DA"/>
    <w:rsid w:val="7DFF662E"/>
    <w:rsid w:val="7DFF6E1D"/>
    <w:rsid w:val="7DFFFB6C"/>
    <w:rsid w:val="7E371FE1"/>
    <w:rsid w:val="7E3D6A1E"/>
    <w:rsid w:val="7E4BC41B"/>
    <w:rsid w:val="7E4BC6D3"/>
    <w:rsid w:val="7E5FED51"/>
    <w:rsid w:val="7E76AD6A"/>
    <w:rsid w:val="7E77D1D7"/>
    <w:rsid w:val="7E7FDE9C"/>
    <w:rsid w:val="7E9EEC1D"/>
    <w:rsid w:val="7EAF561C"/>
    <w:rsid w:val="7EB62C29"/>
    <w:rsid w:val="7EBA1F4D"/>
    <w:rsid w:val="7EBB4A7B"/>
    <w:rsid w:val="7EBFB69B"/>
    <w:rsid w:val="7ECFD9E5"/>
    <w:rsid w:val="7ED970EB"/>
    <w:rsid w:val="7EDBE74F"/>
    <w:rsid w:val="7EDEB759"/>
    <w:rsid w:val="7EE37C05"/>
    <w:rsid w:val="7EEDB261"/>
    <w:rsid w:val="7EEFBD7C"/>
    <w:rsid w:val="7EF53185"/>
    <w:rsid w:val="7EFAAFF9"/>
    <w:rsid w:val="7EFBAE55"/>
    <w:rsid w:val="7EFDE5F4"/>
    <w:rsid w:val="7EFE1AB3"/>
    <w:rsid w:val="7EFF3397"/>
    <w:rsid w:val="7EFFDF8F"/>
    <w:rsid w:val="7F17297B"/>
    <w:rsid w:val="7F314713"/>
    <w:rsid w:val="7F3537F3"/>
    <w:rsid w:val="7F377D9A"/>
    <w:rsid w:val="7F37C7A1"/>
    <w:rsid w:val="7F39482C"/>
    <w:rsid w:val="7F3E8A72"/>
    <w:rsid w:val="7F5F4B34"/>
    <w:rsid w:val="7F6B95BE"/>
    <w:rsid w:val="7F6D80ED"/>
    <w:rsid w:val="7F6F4441"/>
    <w:rsid w:val="7F6F8374"/>
    <w:rsid w:val="7F76EF3C"/>
    <w:rsid w:val="7F77B727"/>
    <w:rsid w:val="7F7A87D4"/>
    <w:rsid w:val="7F7B223B"/>
    <w:rsid w:val="7F7D2C9E"/>
    <w:rsid w:val="7F7D9F40"/>
    <w:rsid w:val="7F7E8EA9"/>
    <w:rsid w:val="7F7F2A5A"/>
    <w:rsid w:val="7F7F988F"/>
    <w:rsid w:val="7F7FA166"/>
    <w:rsid w:val="7F7FAA71"/>
    <w:rsid w:val="7F7FAD3B"/>
    <w:rsid w:val="7F7FB47C"/>
    <w:rsid w:val="7F8FA302"/>
    <w:rsid w:val="7F977B69"/>
    <w:rsid w:val="7F9E9279"/>
    <w:rsid w:val="7FAAD2C3"/>
    <w:rsid w:val="7FADE86D"/>
    <w:rsid w:val="7FAF7DAB"/>
    <w:rsid w:val="7FB1F0E8"/>
    <w:rsid w:val="7FB78D5F"/>
    <w:rsid w:val="7FBB43F3"/>
    <w:rsid w:val="7FBBC988"/>
    <w:rsid w:val="7FBF533A"/>
    <w:rsid w:val="7FBFA463"/>
    <w:rsid w:val="7FBFB4A7"/>
    <w:rsid w:val="7FBFCFEF"/>
    <w:rsid w:val="7FCE22D3"/>
    <w:rsid w:val="7FCF472B"/>
    <w:rsid w:val="7FD6A274"/>
    <w:rsid w:val="7FD90071"/>
    <w:rsid w:val="7FD9E9C8"/>
    <w:rsid w:val="7FDBA381"/>
    <w:rsid w:val="7FDD1B06"/>
    <w:rsid w:val="7FDF5859"/>
    <w:rsid w:val="7FDF7AAB"/>
    <w:rsid w:val="7FDFD95F"/>
    <w:rsid w:val="7FDFDD14"/>
    <w:rsid w:val="7FE63EA7"/>
    <w:rsid w:val="7FE74686"/>
    <w:rsid w:val="7FE7AE50"/>
    <w:rsid w:val="7FEB2549"/>
    <w:rsid w:val="7FEB284B"/>
    <w:rsid w:val="7FEB455F"/>
    <w:rsid w:val="7FED4F17"/>
    <w:rsid w:val="7FED6AAF"/>
    <w:rsid w:val="7FEED9C1"/>
    <w:rsid w:val="7FEF3211"/>
    <w:rsid w:val="7FEF5173"/>
    <w:rsid w:val="7FEF8F31"/>
    <w:rsid w:val="7FF31FF5"/>
    <w:rsid w:val="7FF3AE2C"/>
    <w:rsid w:val="7FF4774F"/>
    <w:rsid w:val="7FF58BCC"/>
    <w:rsid w:val="7FF623EE"/>
    <w:rsid w:val="7FF6520B"/>
    <w:rsid w:val="7FF71212"/>
    <w:rsid w:val="7FF76ACF"/>
    <w:rsid w:val="7FF77430"/>
    <w:rsid w:val="7FF7CC08"/>
    <w:rsid w:val="7FF85AEC"/>
    <w:rsid w:val="7FF9DDFE"/>
    <w:rsid w:val="7FFA4EAC"/>
    <w:rsid w:val="7FFA6C9A"/>
    <w:rsid w:val="7FFB8495"/>
    <w:rsid w:val="7FFB874A"/>
    <w:rsid w:val="7FFB948F"/>
    <w:rsid w:val="7FFC6F55"/>
    <w:rsid w:val="7FFD1E7C"/>
    <w:rsid w:val="7FFD2C5C"/>
    <w:rsid w:val="7FFEBCD4"/>
    <w:rsid w:val="7FFEDB04"/>
    <w:rsid w:val="7FFF0B97"/>
    <w:rsid w:val="7FFF0D02"/>
    <w:rsid w:val="7FFF79A7"/>
    <w:rsid w:val="7FFF8332"/>
    <w:rsid w:val="7FFF8C46"/>
    <w:rsid w:val="7FFFBD59"/>
    <w:rsid w:val="7FFFC1DB"/>
    <w:rsid w:val="7FFFC414"/>
    <w:rsid w:val="87CDED8C"/>
    <w:rsid w:val="8AAD2B6B"/>
    <w:rsid w:val="8B7F38E6"/>
    <w:rsid w:val="8BB7F2D5"/>
    <w:rsid w:val="8D9B5692"/>
    <w:rsid w:val="8DFEF0E2"/>
    <w:rsid w:val="8F5E1B42"/>
    <w:rsid w:val="8F5F28B9"/>
    <w:rsid w:val="8FEF25DC"/>
    <w:rsid w:val="8FF7F822"/>
    <w:rsid w:val="92DD1731"/>
    <w:rsid w:val="92EEAD87"/>
    <w:rsid w:val="93FE0B11"/>
    <w:rsid w:val="95EFE606"/>
    <w:rsid w:val="967F2970"/>
    <w:rsid w:val="972F505B"/>
    <w:rsid w:val="977F0A00"/>
    <w:rsid w:val="97CE1729"/>
    <w:rsid w:val="98DF2F32"/>
    <w:rsid w:val="9B3F6A30"/>
    <w:rsid w:val="9B6B7E30"/>
    <w:rsid w:val="9BA7FFC0"/>
    <w:rsid w:val="9BE900CD"/>
    <w:rsid w:val="9CB6A095"/>
    <w:rsid w:val="9CFA7C8F"/>
    <w:rsid w:val="9DF84D4B"/>
    <w:rsid w:val="9DFD58A8"/>
    <w:rsid w:val="9EAF78C8"/>
    <w:rsid w:val="9EC28362"/>
    <w:rsid w:val="9F6F2903"/>
    <w:rsid w:val="9F8B5EBC"/>
    <w:rsid w:val="9FBF9282"/>
    <w:rsid w:val="9FDB5BC0"/>
    <w:rsid w:val="9FDFC445"/>
    <w:rsid w:val="9FE76BBE"/>
    <w:rsid w:val="9FE8EC60"/>
    <w:rsid w:val="9FF75386"/>
    <w:rsid w:val="9FF9CB81"/>
    <w:rsid w:val="9FFFAA39"/>
    <w:rsid w:val="A3FFA4E0"/>
    <w:rsid w:val="A54EF574"/>
    <w:rsid w:val="A5D7EA69"/>
    <w:rsid w:val="A637EEF3"/>
    <w:rsid w:val="A6FF08C0"/>
    <w:rsid w:val="A7B9261A"/>
    <w:rsid w:val="A7FB2E54"/>
    <w:rsid w:val="A7FC18BF"/>
    <w:rsid w:val="A9BF0D85"/>
    <w:rsid w:val="ABFB492B"/>
    <w:rsid w:val="ACFEDC3F"/>
    <w:rsid w:val="ADBBCAF5"/>
    <w:rsid w:val="ADD3F098"/>
    <w:rsid w:val="AE7F001A"/>
    <w:rsid w:val="AEF37C9E"/>
    <w:rsid w:val="AEF61A0E"/>
    <w:rsid w:val="AEF65B5E"/>
    <w:rsid w:val="AEF76E45"/>
    <w:rsid w:val="AF57A337"/>
    <w:rsid w:val="AF5B0039"/>
    <w:rsid w:val="AF5D4049"/>
    <w:rsid w:val="AF7A187C"/>
    <w:rsid w:val="AF7D913E"/>
    <w:rsid w:val="AF7F565B"/>
    <w:rsid w:val="AF7FD841"/>
    <w:rsid w:val="AF96C992"/>
    <w:rsid w:val="AFBBDA3C"/>
    <w:rsid w:val="AFD8B802"/>
    <w:rsid w:val="AFDA1242"/>
    <w:rsid w:val="AFF5815B"/>
    <w:rsid w:val="AFFD2C03"/>
    <w:rsid w:val="AFFF0C03"/>
    <w:rsid w:val="B0FF56FF"/>
    <w:rsid w:val="B0FFFA06"/>
    <w:rsid w:val="B1DDF555"/>
    <w:rsid w:val="B3AFD9E6"/>
    <w:rsid w:val="B3C95455"/>
    <w:rsid w:val="B5FFB189"/>
    <w:rsid w:val="B65FC793"/>
    <w:rsid w:val="B6DFA934"/>
    <w:rsid w:val="B6FF6157"/>
    <w:rsid w:val="B706853D"/>
    <w:rsid w:val="B7554D11"/>
    <w:rsid w:val="B77A67EF"/>
    <w:rsid w:val="B7A7D715"/>
    <w:rsid w:val="B7AEB0BA"/>
    <w:rsid w:val="B7DDE142"/>
    <w:rsid w:val="B7EE36FF"/>
    <w:rsid w:val="B7F59844"/>
    <w:rsid w:val="B7FB2802"/>
    <w:rsid w:val="B7FE0825"/>
    <w:rsid w:val="B7FFC22F"/>
    <w:rsid w:val="B7FFE602"/>
    <w:rsid w:val="B87DCCD5"/>
    <w:rsid w:val="B9A0E383"/>
    <w:rsid w:val="B9EF4A34"/>
    <w:rsid w:val="B9EFB665"/>
    <w:rsid w:val="B9F3870E"/>
    <w:rsid w:val="BAAEA2C7"/>
    <w:rsid w:val="BAAFECB9"/>
    <w:rsid w:val="BB4354B2"/>
    <w:rsid w:val="BB5AE5B8"/>
    <w:rsid w:val="BB69E599"/>
    <w:rsid w:val="BB7C4042"/>
    <w:rsid w:val="BB9E9B6F"/>
    <w:rsid w:val="BB9F9FBE"/>
    <w:rsid w:val="BBAFB655"/>
    <w:rsid w:val="BBB72CC6"/>
    <w:rsid w:val="BBFE6773"/>
    <w:rsid w:val="BCA34BC9"/>
    <w:rsid w:val="BD69D573"/>
    <w:rsid w:val="BD6AAE2B"/>
    <w:rsid w:val="BD73EE6F"/>
    <w:rsid w:val="BD7FC1E5"/>
    <w:rsid w:val="BDC6EEDF"/>
    <w:rsid w:val="BE578699"/>
    <w:rsid w:val="BE973C58"/>
    <w:rsid w:val="BEBEFDF0"/>
    <w:rsid w:val="BEBF7083"/>
    <w:rsid w:val="BEFF3ACE"/>
    <w:rsid w:val="BF3EEB53"/>
    <w:rsid w:val="BF6A612C"/>
    <w:rsid w:val="BF6E0891"/>
    <w:rsid w:val="BF7F1BDE"/>
    <w:rsid w:val="BFB1D1EF"/>
    <w:rsid w:val="BFB3B29E"/>
    <w:rsid w:val="BFB4E4F1"/>
    <w:rsid w:val="BFBBCAF9"/>
    <w:rsid w:val="BFC72013"/>
    <w:rsid w:val="BFC9B447"/>
    <w:rsid w:val="BFCFFED6"/>
    <w:rsid w:val="BFDF3464"/>
    <w:rsid w:val="BFE7F55D"/>
    <w:rsid w:val="BFE9DB6C"/>
    <w:rsid w:val="BFEEB4F6"/>
    <w:rsid w:val="BFEED832"/>
    <w:rsid w:val="BFEF6212"/>
    <w:rsid w:val="BFF5DE3D"/>
    <w:rsid w:val="BFF71333"/>
    <w:rsid w:val="BFF7989E"/>
    <w:rsid w:val="BFF7AA74"/>
    <w:rsid w:val="BFFBEB28"/>
    <w:rsid w:val="BFFC0534"/>
    <w:rsid w:val="BFFE21B3"/>
    <w:rsid w:val="BFFE2A81"/>
    <w:rsid w:val="BFFF66AC"/>
    <w:rsid w:val="BFFF8B4E"/>
    <w:rsid w:val="C13F335E"/>
    <w:rsid w:val="C47D713E"/>
    <w:rsid w:val="C4FF33AD"/>
    <w:rsid w:val="C5FD53BD"/>
    <w:rsid w:val="C79210DE"/>
    <w:rsid w:val="C7DD030B"/>
    <w:rsid w:val="C7EBA26C"/>
    <w:rsid w:val="C7EDD23D"/>
    <w:rsid w:val="C7FBE903"/>
    <w:rsid w:val="C7FC16C8"/>
    <w:rsid w:val="C7FF4123"/>
    <w:rsid w:val="CBCE6601"/>
    <w:rsid w:val="CBDF55B4"/>
    <w:rsid w:val="CBFF718C"/>
    <w:rsid w:val="CD4CBCF6"/>
    <w:rsid w:val="CE1FF1B5"/>
    <w:rsid w:val="CE3C1398"/>
    <w:rsid w:val="CE4FA820"/>
    <w:rsid w:val="CF1FE4AE"/>
    <w:rsid w:val="CF5A1608"/>
    <w:rsid w:val="CFBD6379"/>
    <w:rsid w:val="CFD603B9"/>
    <w:rsid w:val="CFED1F31"/>
    <w:rsid w:val="CFED632E"/>
    <w:rsid w:val="CFEDC9C1"/>
    <w:rsid w:val="CFFF8CF6"/>
    <w:rsid w:val="CFFFAC48"/>
    <w:rsid w:val="CFFFBA44"/>
    <w:rsid w:val="D19764F0"/>
    <w:rsid w:val="D1DD6B2D"/>
    <w:rsid w:val="D1FD35E7"/>
    <w:rsid w:val="D26DDC20"/>
    <w:rsid w:val="D33BC0A8"/>
    <w:rsid w:val="D3B52032"/>
    <w:rsid w:val="D3BDB09F"/>
    <w:rsid w:val="D3EEB1D7"/>
    <w:rsid w:val="D3FD651B"/>
    <w:rsid w:val="D3FFDBE4"/>
    <w:rsid w:val="D3FFE05C"/>
    <w:rsid w:val="D49D2B9F"/>
    <w:rsid w:val="D4FDE932"/>
    <w:rsid w:val="D56F3005"/>
    <w:rsid w:val="D5DD0D1F"/>
    <w:rsid w:val="D5ED67DB"/>
    <w:rsid w:val="D60945D8"/>
    <w:rsid w:val="D64E97AC"/>
    <w:rsid w:val="D6E9239C"/>
    <w:rsid w:val="D6F7D2F8"/>
    <w:rsid w:val="D737DB78"/>
    <w:rsid w:val="D7772046"/>
    <w:rsid w:val="D777F8D9"/>
    <w:rsid w:val="D77DB511"/>
    <w:rsid w:val="D77ED477"/>
    <w:rsid w:val="D7A754AF"/>
    <w:rsid w:val="D7B298DD"/>
    <w:rsid w:val="D7DB5CFF"/>
    <w:rsid w:val="D7DBC5A1"/>
    <w:rsid w:val="D7EBA218"/>
    <w:rsid w:val="D7EF757A"/>
    <w:rsid w:val="D7F2E638"/>
    <w:rsid w:val="D7F70955"/>
    <w:rsid w:val="D9673B57"/>
    <w:rsid w:val="D9BF3076"/>
    <w:rsid w:val="D9E15330"/>
    <w:rsid w:val="D9FEC5DB"/>
    <w:rsid w:val="DAAF7F94"/>
    <w:rsid w:val="DADF0CEA"/>
    <w:rsid w:val="DAF7EB77"/>
    <w:rsid w:val="DAFF5C5B"/>
    <w:rsid w:val="DB3E8B1E"/>
    <w:rsid w:val="DB6C3354"/>
    <w:rsid w:val="DB9C821B"/>
    <w:rsid w:val="DB9EEE63"/>
    <w:rsid w:val="DBB3BB9B"/>
    <w:rsid w:val="DBBC6C3C"/>
    <w:rsid w:val="DBDCF3C0"/>
    <w:rsid w:val="DBF7B56C"/>
    <w:rsid w:val="DC6FE6F4"/>
    <w:rsid w:val="DCB70A7D"/>
    <w:rsid w:val="DCDA5025"/>
    <w:rsid w:val="DD13FB94"/>
    <w:rsid w:val="DD6E4323"/>
    <w:rsid w:val="DD6E4B29"/>
    <w:rsid w:val="DD7BECE5"/>
    <w:rsid w:val="DD7F6FB1"/>
    <w:rsid w:val="DD9FDF57"/>
    <w:rsid w:val="DDBF9E9B"/>
    <w:rsid w:val="DDDF2604"/>
    <w:rsid w:val="DDF61B95"/>
    <w:rsid w:val="DDFF1564"/>
    <w:rsid w:val="DE5604BE"/>
    <w:rsid w:val="DE59F406"/>
    <w:rsid w:val="DE7AFC57"/>
    <w:rsid w:val="DE9B1DAF"/>
    <w:rsid w:val="DEBBA7BD"/>
    <w:rsid w:val="DEBF2B68"/>
    <w:rsid w:val="DECB0D18"/>
    <w:rsid w:val="DED1F620"/>
    <w:rsid w:val="DEDF3EF7"/>
    <w:rsid w:val="DEEFA889"/>
    <w:rsid w:val="DEFBCA68"/>
    <w:rsid w:val="DEFEAE09"/>
    <w:rsid w:val="DF3A7A95"/>
    <w:rsid w:val="DF3BCC3D"/>
    <w:rsid w:val="DF3DDC6A"/>
    <w:rsid w:val="DF3E3BEB"/>
    <w:rsid w:val="DF5F8487"/>
    <w:rsid w:val="DF5FDC80"/>
    <w:rsid w:val="DF6DC717"/>
    <w:rsid w:val="DF6FE660"/>
    <w:rsid w:val="DF7EED32"/>
    <w:rsid w:val="DF9AA27C"/>
    <w:rsid w:val="DFB75031"/>
    <w:rsid w:val="DFBF6140"/>
    <w:rsid w:val="DFCB3CF0"/>
    <w:rsid w:val="DFD3CC64"/>
    <w:rsid w:val="DFDF8C0C"/>
    <w:rsid w:val="DFDFAEFA"/>
    <w:rsid w:val="DFDFFD15"/>
    <w:rsid w:val="DFEB6BFD"/>
    <w:rsid w:val="DFEB7F51"/>
    <w:rsid w:val="DFEF9DD4"/>
    <w:rsid w:val="DFF68AE5"/>
    <w:rsid w:val="DFF78A7C"/>
    <w:rsid w:val="DFF7A183"/>
    <w:rsid w:val="DFF966BC"/>
    <w:rsid w:val="DFFBC824"/>
    <w:rsid w:val="DFFBD8B3"/>
    <w:rsid w:val="DFFD250A"/>
    <w:rsid w:val="DFFD28F0"/>
    <w:rsid w:val="DFFE3A71"/>
    <w:rsid w:val="E2DF165B"/>
    <w:rsid w:val="E3BFBAD0"/>
    <w:rsid w:val="E3DAF88B"/>
    <w:rsid w:val="E3EEE5A4"/>
    <w:rsid w:val="E4BECB17"/>
    <w:rsid w:val="E56B096D"/>
    <w:rsid w:val="E5F77854"/>
    <w:rsid w:val="E63FB7DC"/>
    <w:rsid w:val="E65E3F41"/>
    <w:rsid w:val="E68F3B01"/>
    <w:rsid w:val="E69D0436"/>
    <w:rsid w:val="E6C72124"/>
    <w:rsid w:val="E6DF84E4"/>
    <w:rsid w:val="E78FF3E3"/>
    <w:rsid w:val="E7961EE9"/>
    <w:rsid w:val="E7CB8D82"/>
    <w:rsid w:val="E7DE2D3F"/>
    <w:rsid w:val="E7E53D1F"/>
    <w:rsid w:val="E7EBBE9B"/>
    <w:rsid w:val="E7FD6EEA"/>
    <w:rsid w:val="E7FFD454"/>
    <w:rsid w:val="E8BF62F5"/>
    <w:rsid w:val="E8FBC34C"/>
    <w:rsid w:val="E9F788A7"/>
    <w:rsid w:val="EABFB050"/>
    <w:rsid w:val="EABFD83A"/>
    <w:rsid w:val="EB0E5838"/>
    <w:rsid w:val="EB2FF39C"/>
    <w:rsid w:val="EB7F2F24"/>
    <w:rsid w:val="EBDE48A7"/>
    <w:rsid w:val="EBFF95A5"/>
    <w:rsid w:val="EC6EAFE9"/>
    <w:rsid w:val="ECAFB932"/>
    <w:rsid w:val="ECDD6C34"/>
    <w:rsid w:val="ED7F4A67"/>
    <w:rsid w:val="ED9777B8"/>
    <w:rsid w:val="EDAF0380"/>
    <w:rsid w:val="EDBD48F8"/>
    <w:rsid w:val="EDDF36AC"/>
    <w:rsid w:val="EDE64BC6"/>
    <w:rsid w:val="EDEE8EA7"/>
    <w:rsid w:val="EDFB223C"/>
    <w:rsid w:val="EDFBF44C"/>
    <w:rsid w:val="EDFBF551"/>
    <w:rsid w:val="EDFD24EE"/>
    <w:rsid w:val="EDFED5B3"/>
    <w:rsid w:val="EDFF3FDD"/>
    <w:rsid w:val="EE2D6BD9"/>
    <w:rsid w:val="EE9F732E"/>
    <w:rsid w:val="EEB65D03"/>
    <w:rsid w:val="EEB72B97"/>
    <w:rsid w:val="EEBB5AE6"/>
    <w:rsid w:val="EEBE7A20"/>
    <w:rsid w:val="EECA6A44"/>
    <w:rsid w:val="EEDD26F6"/>
    <w:rsid w:val="EEDDBBC2"/>
    <w:rsid w:val="EEEF4858"/>
    <w:rsid w:val="EEF32766"/>
    <w:rsid w:val="EF27DC33"/>
    <w:rsid w:val="EF2E04A8"/>
    <w:rsid w:val="EF2FA822"/>
    <w:rsid w:val="EF6F43BF"/>
    <w:rsid w:val="EF793335"/>
    <w:rsid w:val="EF7A0E19"/>
    <w:rsid w:val="EF7F67BA"/>
    <w:rsid w:val="EF95344D"/>
    <w:rsid w:val="EF9F8580"/>
    <w:rsid w:val="EF9FA967"/>
    <w:rsid w:val="EFB20B01"/>
    <w:rsid w:val="EFBE37E6"/>
    <w:rsid w:val="EFBEF638"/>
    <w:rsid w:val="EFCFEC03"/>
    <w:rsid w:val="EFD16464"/>
    <w:rsid w:val="EFDDE91A"/>
    <w:rsid w:val="EFDEEE7F"/>
    <w:rsid w:val="EFE21BF9"/>
    <w:rsid w:val="EFE40E0E"/>
    <w:rsid w:val="EFE9BB3A"/>
    <w:rsid w:val="EFE9DDDC"/>
    <w:rsid w:val="EFEE5295"/>
    <w:rsid w:val="EFEFDC1B"/>
    <w:rsid w:val="EFF1559D"/>
    <w:rsid w:val="EFF674A3"/>
    <w:rsid w:val="EFFE560E"/>
    <w:rsid w:val="EFFE5B3F"/>
    <w:rsid w:val="EFFEB452"/>
    <w:rsid w:val="EFFF14E0"/>
    <w:rsid w:val="EFFF5351"/>
    <w:rsid w:val="F1FF357C"/>
    <w:rsid w:val="F273EF74"/>
    <w:rsid w:val="F33F5504"/>
    <w:rsid w:val="F35650BC"/>
    <w:rsid w:val="F37B8CEB"/>
    <w:rsid w:val="F37E067B"/>
    <w:rsid w:val="F3E71A61"/>
    <w:rsid w:val="F3EB3D90"/>
    <w:rsid w:val="F3EF84B6"/>
    <w:rsid w:val="F3F3EC9E"/>
    <w:rsid w:val="F3FD5C6C"/>
    <w:rsid w:val="F3FDB2DC"/>
    <w:rsid w:val="F3FE6DDD"/>
    <w:rsid w:val="F43F3D5D"/>
    <w:rsid w:val="F47ACC5B"/>
    <w:rsid w:val="F47DEA5A"/>
    <w:rsid w:val="F47FF28C"/>
    <w:rsid w:val="F4FA61C4"/>
    <w:rsid w:val="F4FADD39"/>
    <w:rsid w:val="F57F05E7"/>
    <w:rsid w:val="F57FD4F3"/>
    <w:rsid w:val="F58F2F6E"/>
    <w:rsid w:val="F5BE289E"/>
    <w:rsid w:val="F5BFFAB2"/>
    <w:rsid w:val="F5D74AA2"/>
    <w:rsid w:val="F5EBC006"/>
    <w:rsid w:val="F5EDB3AE"/>
    <w:rsid w:val="F5EFEA2C"/>
    <w:rsid w:val="F5F789D3"/>
    <w:rsid w:val="F5FF56B8"/>
    <w:rsid w:val="F5FFADF9"/>
    <w:rsid w:val="F6345BC8"/>
    <w:rsid w:val="F63FAD42"/>
    <w:rsid w:val="F6AE9D88"/>
    <w:rsid w:val="F6BECE62"/>
    <w:rsid w:val="F6CB6AB2"/>
    <w:rsid w:val="F6DE3C0A"/>
    <w:rsid w:val="F6FA87DD"/>
    <w:rsid w:val="F6FE9B39"/>
    <w:rsid w:val="F724A658"/>
    <w:rsid w:val="F73CCFED"/>
    <w:rsid w:val="F74729A3"/>
    <w:rsid w:val="F74E59D9"/>
    <w:rsid w:val="F759FBE9"/>
    <w:rsid w:val="F75FB36D"/>
    <w:rsid w:val="F76D9BB6"/>
    <w:rsid w:val="F77513E6"/>
    <w:rsid w:val="F77A4917"/>
    <w:rsid w:val="F77B8019"/>
    <w:rsid w:val="F77E6928"/>
    <w:rsid w:val="F77E870A"/>
    <w:rsid w:val="F77F6052"/>
    <w:rsid w:val="F78F306E"/>
    <w:rsid w:val="F79BBB0E"/>
    <w:rsid w:val="F79F2FCE"/>
    <w:rsid w:val="F7AB53D9"/>
    <w:rsid w:val="F7B6313D"/>
    <w:rsid w:val="F7BB48AD"/>
    <w:rsid w:val="F7BDC24A"/>
    <w:rsid w:val="F7BDD1F3"/>
    <w:rsid w:val="F7BDDC6E"/>
    <w:rsid w:val="F7D34DA1"/>
    <w:rsid w:val="F7D70DF3"/>
    <w:rsid w:val="F7DD57EA"/>
    <w:rsid w:val="F7DF0C1B"/>
    <w:rsid w:val="F7DFE850"/>
    <w:rsid w:val="F7E30A7D"/>
    <w:rsid w:val="F7E7E86B"/>
    <w:rsid w:val="F7E7F454"/>
    <w:rsid w:val="F7ED2868"/>
    <w:rsid w:val="F7EFA260"/>
    <w:rsid w:val="F7FB1ACA"/>
    <w:rsid w:val="F7FEA358"/>
    <w:rsid w:val="F7FECD89"/>
    <w:rsid w:val="F7FEF300"/>
    <w:rsid w:val="F7FF1FFC"/>
    <w:rsid w:val="F7FF99BD"/>
    <w:rsid w:val="F8B9B622"/>
    <w:rsid w:val="F8BF470E"/>
    <w:rsid w:val="F8CD7784"/>
    <w:rsid w:val="F8D7877F"/>
    <w:rsid w:val="F8F36739"/>
    <w:rsid w:val="F9DBE269"/>
    <w:rsid w:val="F9EE41BF"/>
    <w:rsid w:val="F9F49980"/>
    <w:rsid w:val="F9F7BA0D"/>
    <w:rsid w:val="F9FE9F2A"/>
    <w:rsid w:val="FA6F0548"/>
    <w:rsid w:val="FA7AA8EB"/>
    <w:rsid w:val="FA7F7C42"/>
    <w:rsid w:val="FA993B0D"/>
    <w:rsid w:val="FAE31A7F"/>
    <w:rsid w:val="FAF2C08A"/>
    <w:rsid w:val="FAFDBD21"/>
    <w:rsid w:val="FB0E76BE"/>
    <w:rsid w:val="FB0FA569"/>
    <w:rsid w:val="FB3ECC84"/>
    <w:rsid w:val="FB47F217"/>
    <w:rsid w:val="FB7DD29A"/>
    <w:rsid w:val="FB7E6799"/>
    <w:rsid w:val="FB8FD105"/>
    <w:rsid w:val="FBAA712B"/>
    <w:rsid w:val="FBB79211"/>
    <w:rsid w:val="FBBF3C4D"/>
    <w:rsid w:val="FBD30D4F"/>
    <w:rsid w:val="FBDB9A3F"/>
    <w:rsid w:val="FBDBE99D"/>
    <w:rsid w:val="FBDFC339"/>
    <w:rsid w:val="FBEB9B03"/>
    <w:rsid w:val="FBEE410D"/>
    <w:rsid w:val="FBEE7BD3"/>
    <w:rsid w:val="FBEFBE58"/>
    <w:rsid w:val="FBF51B4E"/>
    <w:rsid w:val="FBFA4C62"/>
    <w:rsid w:val="FBFB0656"/>
    <w:rsid w:val="FBFB281E"/>
    <w:rsid w:val="FBFE02C5"/>
    <w:rsid w:val="FBFEDE3A"/>
    <w:rsid w:val="FBFF2384"/>
    <w:rsid w:val="FBFF5412"/>
    <w:rsid w:val="FBFF919D"/>
    <w:rsid w:val="FBFFA5DB"/>
    <w:rsid w:val="FBFFDBCA"/>
    <w:rsid w:val="FC797E68"/>
    <w:rsid w:val="FC7B543D"/>
    <w:rsid w:val="FC7B89AD"/>
    <w:rsid w:val="FC934FED"/>
    <w:rsid w:val="FCBB9DDA"/>
    <w:rsid w:val="FCDFC704"/>
    <w:rsid w:val="FCEFEB4B"/>
    <w:rsid w:val="FD044F6E"/>
    <w:rsid w:val="FD37E427"/>
    <w:rsid w:val="FD5552ED"/>
    <w:rsid w:val="FD5F39A1"/>
    <w:rsid w:val="FD6F5184"/>
    <w:rsid w:val="FD77160C"/>
    <w:rsid w:val="FD7D22F8"/>
    <w:rsid w:val="FD9BBDDC"/>
    <w:rsid w:val="FDB7116C"/>
    <w:rsid w:val="FDB98816"/>
    <w:rsid w:val="FDBB480E"/>
    <w:rsid w:val="FDBBA5C4"/>
    <w:rsid w:val="FDBF44C0"/>
    <w:rsid w:val="FDC59B4F"/>
    <w:rsid w:val="FDD73262"/>
    <w:rsid w:val="FDDC60C0"/>
    <w:rsid w:val="FDDF9DCB"/>
    <w:rsid w:val="FDDFAA0F"/>
    <w:rsid w:val="FDEF3500"/>
    <w:rsid w:val="FDEF51F8"/>
    <w:rsid w:val="FDEF89D0"/>
    <w:rsid w:val="FDFB3D79"/>
    <w:rsid w:val="FDFB9F52"/>
    <w:rsid w:val="FDFEBFE6"/>
    <w:rsid w:val="FDFF9D54"/>
    <w:rsid w:val="FDFFC377"/>
    <w:rsid w:val="FDFFC6F0"/>
    <w:rsid w:val="FDFFFDF1"/>
    <w:rsid w:val="FE6F3EF3"/>
    <w:rsid w:val="FE6F7651"/>
    <w:rsid w:val="FE7DA8C3"/>
    <w:rsid w:val="FE7FBAEB"/>
    <w:rsid w:val="FE8FBF47"/>
    <w:rsid w:val="FEBA9DC9"/>
    <w:rsid w:val="FEBBEA90"/>
    <w:rsid w:val="FEBF9E70"/>
    <w:rsid w:val="FEC85DCB"/>
    <w:rsid w:val="FED52247"/>
    <w:rsid w:val="FEDFA9B9"/>
    <w:rsid w:val="FEE801C0"/>
    <w:rsid w:val="FEE906A3"/>
    <w:rsid w:val="FEEA4C0C"/>
    <w:rsid w:val="FEEBCD5E"/>
    <w:rsid w:val="FEF2DA12"/>
    <w:rsid w:val="FEF61564"/>
    <w:rsid w:val="FEF70688"/>
    <w:rsid w:val="FEF72A2D"/>
    <w:rsid w:val="FEF8CB0D"/>
    <w:rsid w:val="FEF9032D"/>
    <w:rsid w:val="FEFC1620"/>
    <w:rsid w:val="FEFCD293"/>
    <w:rsid w:val="FEFD2A01"/>
    <w:rsid w:val="FEFF4782"/>
    <w:rsid w:val="FEFF51B3"/>
    <w:rsid w:val="FEFF892C"/>
    <w:rsid w:val="FEFF9CD7"/>
    <w:rsid w:val="FF18DCBC"/>
    <w:rsid w:val="FF1A3764"/>
    <w:rsid w:val="FF1F3B75"/>
    <w:rsid w:val="FF2B1897"/>
    <w:rsid w:val="FF373672"/>
    <w:rsid w:val="FF3DA1A1"/>
    <w:rsid w:val="FF3F9A53"/>
    <w:rsid w:val="FF475DEE"/>
    <w:rsid w:val="FF53F6BD"/>
    <w:rsid w:val="FF567762"/>
    <w:rsid w:val="FF57B6DA"/>
    <w:rsid w:val="FF5E6CC7"/>
    <w:rsid w:val="FF6DD796"/>
    <w:rsid w:val="FF73E0D0"/>
    <w:rsid w:val="FF75B45D"/>
    <w:rsid w:val="FF79EBB9"/>
    <w:rsid w:val="FF7A8D74"/>
    <w:rsid w:val="FF7F2198"/>
    <w:rsid w:val="FF7F68AB"/>
    <w:rsid w:val="FF7F9C00"/>
    <w:rsid w:val="FF7FFF02"/>
    <w:rsid w:val="FF873CFF"/>
    <w:rsid w:val="FF8E5844"/>
    <w:rsid w:val="FF9D6B12"/>
    <w:rsid w:val="FF9D9C47"/>
    <w:rsid w:val="FFA59557"/>
    <w:rsid w:val="FFBBB763"/>
    <w:rsid w:val="FFBD0215"/>
    <w:rsid w:val="FFCF07FB"/>
    <w:rsid w:val="FFCFEC86"/>
    <w:rsid w:val="FFD0B3EA"/>
    <w:rsid w:val="FFD3E335"/>
    <w:rsid w:val="FFD7244E"/>
    <w:rsid w:val="FFD76C21"/>
    <w:rsid w:val="FFDB4381"/>
    <w:rsid w:val="FFDC128B"/>
    <w:rsid w:val="FFDD45BE"/>
    <w:rsid w:val="FFDEF16F"/>
    <w:rsid w:val="FFDF0292"/>
    <w:rsid w:val="FFDF1216"/>
    <w:rsid w:val="FFDFE074"/>
    <w:rsid w:val="FFEB1A44"/>
    <w:rsid w:val="FFEBE56A"/>
    <w:rsid w:val="FFEC2C10"/>
    <w:rsid w:val="FFECC054"/>
    <w:rsid w:val="FFEF955F"/>
    <w:rsid w:val="FFF11009"/>
    <w:rsid w:val="FFF31A6C"/>
    <w:rsid w:val="FFF4299B"/>
    <w:rsid w:val="FFF559AE"/>
    <w:rsid w:val="FFF78943"/>
    <w:rsid w:val="FFF7B779"/>
    <w:rsid w:val="FFF7D516"/>
    <w:rsid w:val="FFF92F23"/>
    <w:rsid w:val="FFFA4D8E"/>
    <w:rsid w:val="FFFBA7D2"/>
    <w:rsid w:val="FFFBE753"/>
    <w:rsid w:val="FFFE122B"/>
    <w:rsid w:val="FFFE46AC"/>
    <w:rsid w:val="FFFE62FF"/>
    <w:rsid w:val="FFFE9178"/>
    <w:rsid w:val="FFFEABD2"/>
    <w:rsid w:val="FFFEF628"/>
    <w:rsid w:val="FFFF1492"/>
    <w:rsid w:val="FFFF5731"/>
    <w:rsid w:val="FFFF6394"/>
    <w:rsid w:val="FFFF6694"/>
    <w:rsid w:val="FFFF89DC"/>
    <w:rsid w:val="FFFF9617"/>
    <w:rsid w:val="FFFF97DF"/>
    <w:rsid w:val="FFFFBDFF"/>
    <w:rsid w:val="FFFFC82F"/>
    <w:rsid w:val="FFFFCABF"/>
    <w:rsid w:val="FFFFE488"/>
    <w:rsid w:val="FFFFE7CB"/>
    <w:rsid w:val="FFFFF422"/>
    <w:rsid w:val="FFFFFA31"/>
    <w:rsid w:val="FFFFFC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6"/>
    <w:autoRedefine/>
    <w:qFormat/>
    <w:uiPriority w:val="99"/>
    <w:pPr>
      <w:jc w:val="left"/>
      <w:outlineLvl w:val="0"/>
    </w:pPr>
    <w:rPr>
      <w:rFonts w:ascii="宋体" w:hAnsi="宋体" w:cs="宋体"/>
      <w:b/>
      <w:bCs/>
      <w:color w:val="333333"/>
      <w:kern w:val="44"/>
      <w:sz w:val="30"/>
      <w:szCs w:val="30"/>
    </w:rPr>
  </w:style>
  <w:style w:type="paragraph" w:styleId="4">
    <w:name w:val="heading 4"/>
    <w:basedOn w:val="1"/>
    <w:next w:val="1"/>
    <w:autoRedefine/>
    <w:qFormat/>
    <w:locked/>
    <w:uiPriority w:val="1"/>
    <w:pPr>
      <w:spacing w:before="7"/>
      <w:ind w:left="148"/>
      <w:jc w:val="left"/>
      <w:outlineLvl w:val="3"/>
    </w:pPr>
    <w:rPr>
      <w:rFonts w:ascii="宋体" w:hAnsi="宋体"/>
      <w:b/>
      <w:bCs/>
      <w:kern w:val="0"/>
      <w:lang w:eastAsia="en-US"/>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napToGrid w:val="0"/>
      <w:spacing w:line="440" w:lineRule="exact"/>
    </w:pPr>
    <w:rPr>
      <w:rFonts w:ascii="宋体" w:hAnsi="宋体"/>
      <w:color w:val="FF0000"/>
      <w:sz w:val="18"/>
    </w:rPr>
  </w:style>
  <w:style w:type="paragraph" w:styleId="5">
    <w:name w:val="annotation text"/>
    <w:basedOn w:val="1"/>
    <w:link w:val="51"/>
    <w:autoRedefine/>
    <w:semiHidden/>
    <w:qFormat/>
    <w:uiPriority w:val="99"/>
    <w:pPr>
      <w:jc w:val="left"/>
    </w:pPr>
  </w:style>
  <w:style w:type="paragraph" w:styleId="6">
    <w:name w:val="Balloon Text"/>
    <w:basedOn w:val="1"/>
    <w:link w:val="49"/>
    <w:autoRedefine/>
    <w:semiHidden/>
    <w:qFormat/>
    <w:uiPriority w:val="99"/>
    <w:rPr>
      <w:sz w:val="18"/>
      <w:szCs w:val="18"/>
    </w:rPr>
  </w:style>
  <w:style w:type="paragraph" w:styleId="7">
    <w:name w:val="footer"/>
    <w:basedOn w:val="1"/>
    <w:link w:val="53"/>
    <w:autoRedefine/>
    <w:qFormat/>
    <w:uiPriority w:val="99"/>
    <w:pPr>
      <w:tabs>
        <w:tab w:val="center" w:pos="4153"/>
        <w:tab w:val="right" w:pos="8306"/>
      </w:tabs>
      <w:snapToGrid w:val="0"/>
      <w:jc w:val="left"/>
    </w:pPr>
    <w:rPr>
      <w:sz w:val="18"/>
      <w:szCs w:val="18"/>
    </w:rPr>
  </w:style>
  <w:style w:type="paragraph" w:styleId="8">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52"/>
    <w:autoRedefine/>
    <w:semiHidden/>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99"/>
    <w:rPr>
      <w:b/>
      <w:bCs/>
    </w:rPr>
  </w:style>
  <w:style w:type="character" w:styleId="14">
    <w:name w:val="page number"/>
    <w:basedOn w:val="12"/>
    <w:autoRedefine/>
    <w:qFormat/>
    <w:uiPriority w:val="99"/>
  </w:style>
  <w:style w:type="character" w:styleId="15">
    <w:name w:val="FollowedHyperlink"/>
    <w:basedOn w:val="12"/>
    <w:autoRedefine/>
    <w:qFormat/>
    <w:uiPriority w:val="99"/>
    <w:rPr>
      <w:color w:val="auto"/>
      <w:u w:val="none"/>
    </w:rPr>
  </w:style>
  <w:style w:type="character" w:styleId="16">
    <w:name w:val="Emphasis"/>
    <w:basedOn w:val="12"/>
    <w:autoRedefine/>
    <w:qFormat/>
    <w:uiPriority w:val="99"/>
    <w:rPr>
      <w:i/>
      <w:iCs/>
    </w:rPr>
  </w:style>
  <w:style w:type="character" w:styleId="17">
    <w:name w:val="HTML Definition"/>
    <w:basedOn w:val="12"/>
    <w:autoRedefine/>
    <w:qFormat/>
    <w:uiPriority w:val="99"/>
  </w:style>
  <w:style w:type="character" w:styleId="18">
    <w:name w:val="HTML Acronym"/>
    <w:basedOn w:val="12"/>
    <w:autoRedefine/>
    <w:qFormat/>
    <w:uiPriority w:val="99"/>
  </w:style>
  <w:style w:type="character" w:styleId="19">
    <w:name w:val="HTML Variable"/>
    <w:basedOn w:val="12"/>
    <w:autoRedefine/>
    <w:qFormat/>
    <w:uiPriority w:val="99"/>
  </w:style>
  <w:style w:type="character" w:styleId="20">
    <w:name w:val="Hyperlink"/>
    <w:basedOn w:val="12"/>
    <w:autoRedefine/>
    <w:qFormat/>
    <w:uiPriority w:val="99"/>
    <w:rPr>
      <w:color w:val="auto"/>
      <w:u w:val="none"/>
    </w:rPr>
  </w:style>
  <w:style w:type="character" w:styleId="21">
    <w:name w:val="HTML Code"/>
    <w:basedOn w:val="12"/>
    <w:autoRedefine/>
    <w:qFormat/>
    <w:uiPriority w:val="99"/>
    <w:rPr>
      <w:rFonts w:ascii="monospace" w:hAnsi="monospace" w:eastAsia="Times New Roman" w:cs="monospace"/>
      <w:sz w:val="24"/>
      <w:szCs w:val="24"/>
    </w:rPr>
  </w:style>
  <w:style w:type="character" w:styleId="22">
    <w:name w:val="annotation reference"/>
    <w:basedOn w:val="12"/>
    <w:autoRedefine/>
    <w:semiHidden/>
    <w:qFormat/>
    <w:uiPriority w:val="99"/>
    <w:rPr>
      <w:sz w:val="21"/>
      <w:szCs w:val="21"/>
    </w:rPr>
  </w:style>
  <w:style w:type="character" w:styleId="23">
    <w:name w:val="HTML Cite"/>
    <w:basedOn w:val="12"/>
    <w:autoRedefine/>
    <w:qFormat/>
    <w:uiPriority w:val="99"/>
  </w:style>
  <w:style w:type="character" w:styleId="24">
    <w:name w:val="HTML Keyboard"/>
    <w:basedOn w:val="12"/>
    <w:autoRedefine/>
    <w:qFormat/>
    <w:uiPriority w:val="99"/>
    <w:rPr>
      <w:rFonts w:ascii="monospace" w:hAnsi="monospace" w:eastAsia="Times New Roman" w:cs="monospace"/>
      <w:sz w:val="24"/>
      <w:szCs w:val="24"/>
    </w:rPr>
  </w:style>
  <w:style w:type="character" w:styleId="25">
    <w:name w:val="HTML Sample"/>
    <w:basedOn w:val="12"/>
    <w:autoRedefine/>
    <w:qFormat/>
    <w:uiPriority w:val="99"/>
    <w:rPr>
      <w:rFonts w:ascii="monospace" w:hAnsi="monospace" w:eastAsia="Times New Roman" w:cs="monospace"/>
      <w:sz w:val="24"/>
      <w:szCs w:val="24"/>
    </w:rPr>
  </w:style>
  <w:style w:type="character" w:customStyle="1" w:styleId="26">
    <w:name w:val="标题 1 Char"/>
    <w:basedOn w:val="12"/>
    <w:link w:val="3"/>
    <w:autoRedefine/>
    <w:qFormat/>
    <w:uiPriority w:val="9"/>
    <w:rPr>
      <w:b/>
      <w:bCs/>
      <w:kern w:val="44"/>
      <w:sz w:val="44"/>
      <w:szCs w:val="44"/>
    </w:rPr>
  </w:style>
  <w:style w:type="character" w:customStyle="1" w:styleId="27">
    <w:name w:val="bds_more1"/>
    <w:basedOn w:val="12"/>
    <w:autoRedefine/>
    <w:qFormat/>
    <w:uiPriority w:val="99"/>
  </w:style>
  <w:style w:type="character" w:customStyle="1" w:styleId="28">
    <w:name w:val="org_name2"/>
    <w:basedOn w:val="12"/>
    <w:autoRedefine/>
    <w:qFormat/>
    <w:uiPriority w:val="99"/>
  </w:style>
  <w:style w:type="character" w:customStyle="1" w:styleId="29">
    <w:name w:val="no5"/>
    <w:basedOn w:val="12"/>
    <w:autoRedefine/>
    <w:qFormat/>
    <w:uiPriority w:val="99"/>
  </w:style>
  <w:style w:type="character" w:customStyle="1" w:styleId="30">
    <w:name w:val="Comment Text Char"/>
    <w:basedOn w:val="12"/>
    <w:autoRedefine/>
    <w:qFormat/>
    <w:locked/>
    <w:uiPriority w:val="99"/>
    <w:rPr>
      <w:kern w:val="2"/>
      <w:sz w:val="24"/>
      <w:szCs w:val="24"/>
    </w:rPr>
  </w:style>
  <w:style w:type="character" w:customStyle="1" w:styleId="31">
    <w:name w:val="bds_nopic"/>
    <w:basedOn w:val="12"/>
    <w:autoRedefine/>
    <w:qFormat/>
    <w:uiPriority w:val="99"/>
  </w:style>
  <w:style w:type="character" w:customStyle="1" w:styleId="32">
    <w:name w:val="bds_more"/>
    <w:basedOn w:val="12"/>
    <w:autoRedefine/>
    <w:qFormat/>
    <w:uiPriority w:val="99"/>
  </w:style>
  <w:style w:type="character" w:customStyle="1" w:styleId="33">
    <w:name w:val="ui-bz-bg-hover"/>
    <w:basedOn w:val="12"/>
    <w:autoRedefine/>
    <w:qFormat/>
    <w:uiPriority w:val="99"/>
    <w:rPr>
      <w:shd w:val="clear" w:color="auto" w:fill="000000"/>
    </w:rPr>
  </w:style>
  <w:style w:type="character" w:customStyle="1" w:styleId="34">
    <w:name w:val="f-star"/>
    <w:basedOn w:val="12"/>
    <w:autoRedefine/>
    <w:qFormat/>
    <w:uiPriority w:val="99"/>
    <w:rPr>
      <w:color w:val="auto"/>
      <w:sz w:val="21"/>
      <w:szCs w:val="21"/>
    </w:rPr>
  </w:style>
  <w:style w:type="character" w:customStyle="1" w:styleId="35">
    <w:name w:val="ui-bz-bg-hover1"/>
    <w:basedOn w:val="12"/>
    <w:autoRedefine/>
    <w:qFormat/>
    <w:uiPriority w:val="99"/>
  </w:style>
  <w:style w:type="character" w:customStyle="1" w:styleId="36">
    <w:name w:val="my-class2"/>
    <w:basedOn w:val="12"/>
    <w:autoRedefine/>
    <w:qFormat/>
    <w:uiPriority w:val="99"/>
  </w:style>
  <w:style w:type="character" w:customStyle="1" w:styleId="37">
    <w:name w:val="orange"/>
    <w:basedOn w:val="12"/>
    <w:autoRedefine/>
    <w:qFormat/>
    <w:uiPriority w:val="99"/>
    <w:rPr>
      <w:color w:val="auto"/>
    </w:rPr>
  </w:style>
  <w:style w:type="character" w:customStyle="1" w:styleId="38">
    <w:name w:val="no42"/>
    <w:basedOn w:val="12"/>
    <w:autoRedefine/>
    <w:qFormat/>
    <w:uiPriority w:val="99"/>
  </w:style>
  <w:style w:type="character" w:customStyle="1" w:styleId="39">
    <w:name w:val="bds_nopic2"/>
    <w:basedOn w:val="12"/>
    <w:autoRedefine/>
    <w:qFormat/>
    <w:uiPriority w:val="99"/>
  </w:style>
  <w:style w:type="character" w:customStyle="1" w:styleId="40">
    <w:name w:val="no72"/>
    <w:basedOn w:val="12"/>
    <w:autoRedefine/>
    <w:qFormat/>
    <w:uiPriority w:val="99"/>
  </w:style>
  <w:style w:type="character" w:customStyle="1" w:styleId="41">
    <w:name w:val="tip"/>
    <w:basedOn w:val="12"/>
    <w:autoRedefine/>
    <w:qFormat/>
    <w:uiPriority w:val="99"/>
    <w:rPr>
      <w:vanish/>
      <w:color w:val="FF0000"/>
      <w:sz w:val="18"/>
      <w:szCs w:val="18"/>
    </w:rPr>
  </w:style>
  <w:style w:type="character" w:customStyle="1" w:styleId="42">
    <w:name w:val="bds_nopic1"/>
    <w:basedOn w:val="12"/>
    <w:autoRedefine/>
    <w:qFormat/>
    <w:uiPriority w:val="99"/>
  </w:style>
  <w:style w:type="character" w:customStyle="1" w:styleId="43">
    <w:name w:val="no62"/>
    <w:basedOn w:val="12"/>
    <w:autoRedefine/>
    <w:qFormat/>
    <w:uiPriority w:val="99"/>
  </w:style>
  <w:style w:type="character" w:customStyle="1" w:styleId="44">
    <w:name w:val="my-notice1"/>
    <w:basedOn w:val="12"/>
    <w:autoRedefine/>
    <w:qFormat/>
    <w:uiPriority w:val="99"/>
  </w:style>
  <w:style w:type="character" w:customStyle="1" w:styleId="45">
    <w:name w:val="Comment Subject Char"/>
    <w:basedOn w:val="30"/>
    <w:autoRedefine/>
    <w:qFormat/>
    <w:locked/>
    <w:uiPriority w:val="99"/>
    <w:rPr>
      <w:b/>
      <w:bCs/>
      <w:kern w:val="2"/>
      <w:sz w:val="24"/>
      <w:szCs w:val="24"/>
    </w:rPr>
  </w:style>
  <w:style w:type="character" w:customStyle="1" w:styleId="46">
    <w:name w:val="top-icon"/>
    <w:basedOn w:val="12"/>
    <w:autoRedefine/>
    <w:qFormat/>
    <w:uiPriority w:val="99"/>
  </w:style>
  <w:style w:type="character" w:customStyle="1" w:styleId="47">
    <w:name w:val="t-tag"/>
    <w:basedOn w:val="12"/>
    <w:autoRedefine/>
    <w:qFormat/>
    <w:uiPriority w:val="99"/>
    <w:rPr>
      <w:color w:val="FFFFFF"/>
      <w:sz w:val="18"/>
      <w:szCs w:val="18"/>
      <w:shd w:val="clear" w:color="auto" w:fill="auto"/>
    </w:rPr>
  </w:style>
  <w:style w:type="character" w:customStyle="1" w:styleId="48">
    <w:name w:val="Balloon Text Char"/>
    <w:basedOn w:val="12"/>
    <w:autoRedefine/>
    <w:qFormat/>
    <w:locked/>
    <w:uiPriority w:val="99"/>
    <w:rPr>
      <w:kern w:val="2"/>
      <w:sz w:val="18"/>
      <w:szCs w:val="18"/>
    </w:rPr>
  </w:style>
  <w:style w:type="character" w:customStyle="1" w:styleId="49">
    <w:name w:val="批注框文本 Char"/>
    <w:basedOn w:val="12"/>
    <w:link w:val="6"/>
    <w:autoRedefine/>
    <w:semiHidden/>
    <w:qFormat/>
    <w:uiPriority w:val="99"/>
    <w:rPr>
      <w:sz w:val="0"/>
      <w:szCs w:val="0"/>
    </w:rPr>
  </w:style>
  <w:style w:type="character" w:customStyle="1" w:styleId="50">
    <w:name w:val="页眉 Char"/>
    <w:basedOn w:val="12"/>
    <w:link w:val="8"/>
    <w:autoRedefine/>
    <w:semiHidden/>
    <w:qFormat/>
    <w:uiPriority w:val="99"/>
    <w:rPr>
      <w:sz w:val="18"/>
      <w:szCs w:val="18"/>
    </w:rPr>
  </w:style>
  <w:style w:type="character" w:customStyle="1" w:styleId="51">
    <w:name w:val="批注文字 Char"/>
    <w:basedOn w:val="12"/>
    <w:link w:val="5"/>
    <w:autoRedefine/>
    <w:semiHidden/>
    <w:qFormat/>
    <w:uiPriority w:val="99"/>
    <w:rPr>
      <w:szCs w:val="21"/>
    </w:rPr>
  </w:style>
  <w:style w:type="character" w:customStyle="1" w:styleId="52">
    <w:name w:val="批注主题 Char"/>
    <w:basedOn w:val="30"/>
    <w:link w:val="9"/>
    <w:autoRedefine/>
    <w:semiHidden/>
    <w:qFormat/>
    <w:uiPriority w:val="99"/>
    <w:rPr>
      <w:b/>
      <w:bCs/>
      <w:kern w:val="2"/>
      <w:sz w:val="24"/>
      <w:szCs w:val="21"/>
    </w:rPr>
  </w:style>
  <w:style w:type="character" w:customStyle="1" w:styleId="53">
    <w:name w:val="页脚 Char"/>
    <w:basedOn w:val="12"/>
    <w:link w:val="7"/>
    <w:autoRedefine/>
    <w:semiHidden/>
    <w:qFormat/>
    <w:uiPriority w:val="99"/>
    <w:rPr>
      <w:sz w:val="18"/>
      <w:szCs w:val="18"/>
    </w:rPr>
  </w:style>
  <w:style w:type="paragraph" w:customStyle="1" w:styleId="54">
    <w:name w:val="Char"/>
    <w:basedOn w:val="1"/>
    <w:autoRedefine/>
    <w:qFormat/>
    <w:uiPriority w:val="99"/>
    <w:pPr>
      <w:widowControl/>
      <w:spacing w:after="160" w:line="240" w:lineRule="exact"/>
      <w:jc w:val="left"/>
    </w:pPr>
  </w:style>
  <w:style w:type="paragraph" w:customStyle="1" w:styleId="55">
    <w:name w:val="Char1"/>
    <w:basedOn w:val="1"/>
    <w:autoRedefine/>
    <w:qFormat/>
    <w:uiPriority w:val="99"/>
    <w:pPr>
      <w:widowControl/>
      <w:spacing w:after="160" w:line="240" w:lineRule="exact"/>
      <w:jc w:val="left"/>
    </w:pPr>
  </w:style>
  <w:style w:type="paragraph" w:customStyle="1" w:styleId="56">
    <w:name w:val="Table Paragraph"/>
    <w:basedOn w:val="1"/>
    <w:autoRedefine/>
    <w:qFormat/>
    <w:uiPriority w:val="1"/>
    <w:pPr>
      <w:jc w:val="left"/>
    </w:pPr>
    <w:rPr>
      <w:rFonts w:ascii="Calibri" w:hAnsi="Calibri"/>
      <w:kern w:val="0"/>
      <w:sz w:val="22"/>
      <w:szCs w:val="22"/>
      <w:lang w:eastAsia="en-US"/>
    </w:rPr>
  </w:style>
  <w:style w:type="paragraph" w:customStyle="1" w:styleId="57">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1217</Words>
  <Characters>1454</Characters>
  <Lines>26</Lines>
  <Paragraphs>7</Paragraphs>
  <TotalTime>0</TotalTime>
  <ScaleCrop>false</ScaleCrop>
  <LinksUpToDate>false</LinksUpToDate>
  <CharactersWithSpaces>1476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2019-01-26T09:06:00Z</dcterms:created>
  <dc:creator>User</dc:creator>
  <cp:lastModifiedBy>小魔仙</cp:lastModifiedBy>
  <cp:lastPrinted>2019-01-29T15:39:00Z</cp:lastPrinted>
  <dcterms:modified xsi:type="dcterms:W3CDTF">2025-09-29T08:10:10Z</dcterms:modified>
  <dc:title>资料一：送审稿</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29C84D936BEC4C2FAB0787B66279C436_13</vt:lpwstr>
  </property>
  <property fmtid="{D5CDD505-2E9C-101B-9397-08002B2CF9AE}" pid="4" name="KSOTemplateDocerSaveRecord">
    <vt:lpwstr>eyJoZGlkIjoiMmVjMmM0MGQ5MTYwYTdmMzlhNTI4MTY2NWNhNzg3MTIiLCJ1c2VySWQiOiIyNTU3MjczMDYifQ==</vt:lpwstr>
  </property>
</Properties>
</file>