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ind w:firstLine="562" w:firstLineChars="200"/>
        <w:rPr>
          <w:rFonts w:hint="eastAsia"/>
          <w:b/>
          <w:bCs/>
          <w:sz w:val="28"/>
          <w:szCs w:val="28"/>
          <w:lang w:val="en-US" w:eastAsia="zh-CN"/>
        </w:rPr>
      </w:pPr>
      <w:r>
        <w:rPr>
          <w:rFonts w:hint="eastAsia"/>
          <w:b/>
          <w:bCs/>
          <w:sz w:val="28"/>
          <w:szCs w:val="28"/>
          <w:lang w:val="en-US" w:eastAsia="zh-CN"/>
        </w:rPr>
        <w:t xml:space="preserve"> 概况</w:t>
      </w:r>
    </w:p>
    <w:p>
      <w:pPr>
        <w:numPr>
          <w:ilvl w:val="0"/>
          <w:numId w:val="2"/>
        </w:numPr>
        <w:rPr>
          <w:rFonts w:hint="eastAsia"/>
          <w:sz w:val="28"/>
          <w:szCs w:val="28"/>
          <w:lang w:val="en-US" w:eastAsia="zh-CN"/>
        </w:rPr>
      </w:pPr>
      <w:r>
        <w:rPr>
          <w:rFonts w:hint="eastAsia"/>
          <w:sz w:val="28"/>
          <w:szCs w:val="28"/>
          <w:lang w:val="en-US" w:eastAsia="zh-CN"/>
        </w:rPr>
        <w:t>本部门职责</w:t>
      </w:r>
    </w:p>
    <w:p>
      <w:pPr>
        <w:pStyle w:val="4"/>
        <w:keepNext w:val="0"/>
        <w:keepLines w:val="0"/>
        <w:widowControl/>
        <w:suppressLineNumbers w:val="0"/>
        <w:spacing w:before="0" w:beforeAutospacing="0" w:line="30" w:lineRule="atLeast"/>
        <w:ind w:left="0" w:firstLine="420"/>
        <w:rPr>
          <w:rFonts w:hint="eastAsia" w:ascii="宋体" w:hAnsi="宋体" w:eastAsia="宋体" w:cs="宋体"/>
          <w:sz w:val="28"/>
          <w:szCs w:val="28"/>
        </w:rPr>
      </w:pPr>
      <w:r>
        <w:rPr>
          <w:rFonts w:hint="eastAsia" w:ascii="宋体" w:hAnsi="宋体" w:eastAsia="宋体" w:cs="宋体"/>
          <w:sz w:val="28"/>
          <w:szCs w:val="28"/>
        </w:rPr>
        <w:t>第一条大同市应急管理局是市人民政府工作部门，为正处级，加挂市地方煤矿安全监督管理局牌子。</w:t>
      </w:r>
    </w:p>
    <w:p>
      <w:pPr>
        <w:pStyle w:val="4"/>
        <w:keepNext w:val="0"/>
        <w:keepLines w:val="0"/>
        <w:widowControl/>
        <w:suppressLineNumbers w:val="0"/>
        <w:spacing w:before="0" w:beforeAutospacing="0" w:line="30" w:lineRule="atLeast"/>
        <w:ind w:left="0" w:firstLine="420"/>
        <w:rPr>
          <w:rFonts w:hint="eastAsia" w:ascii="宋体" w:hAnsi="宋体" w:eastAsia="宋体" w:cs="宋体"/>
          <w:sz w:val="28"/>
          <w:szCs w:val="28"/>
        </w:rPr>
      </w:pPr>
      <w:r>
        <w:rPr>
          <w:rFonts w:hint="eastAsia" w:ascii="宋体" w:hAnsi="宋体" w:eastAsia="宋体" w:cs="宋体"/>
          <w:sz w:val="28"/>
          <w:szCs w:val="28"/>
        </w:rPr>
        <w:t>第二条大同市应急管理局的主要职责是：大同市应急管理局贯彻落实党中央，省委、省政府和市委、市政府关于应急工作的方针政策和决策部署，在履行职责过程中坚持和加强党对应急工作的集中统一领导。主要职责是：</w:t>
      </w:r>
    </w:p>
    <w:p>
      <w:pPr>
        <w:pStyle w:val="4"/>
        <w:keepNext w:val="0"/>
        <w:keepLines w:val="0"/>
        <w:widowControl/>
        <w:suppressLineNumbers w:val="0"/>
        <w:spacing w:before="0" w:beforeAutospacing="0" w:line="30" w:lineRule="atLeast"/>
        <w:ind w:left="0" w:firstLine="420"/>
        <w:rPr>
          <w:rFonts w:hint="eastAsia" w:ascii="宋体" w:hAnsi="宋体" w:eastAsia="宋体" w:cs="宋体"/>
          <w:sz w:val="28"/>
          <w:szCs w:val="28"/>
        </w:rPr>
      </w:pPr>
      <w:r>
        <w:rPr>
          <w:rFonts w:hint="eastAsia" w:ascii="宋体" w:hAnsi="宋体" w:eastAsia="宋体" w:cs="宋体"/>
          <w:sz w:val="28"/>
          <w:szCs w:val="28"/>
        </w:rPr>
        <w:t>（一）负责应急管理工作，指导各县（区）各部门应对安全生产类、自然灾害类等突发事件和综合防灾减灾救灾工作。负责安全生产综合监督管理和工矿商贸行业安全生产监督管理工作。</w:t>
      </w:r>
    </w:p>
    <w:p>
      <w:pPr>
        <w:pStyle w:val="4"/>
        <w:keepNext w:val="0"/>
        <w:keepLines w:val="0"/>
        <w:widowControl/>
        <w:suppressLineNumbers w:val="0"/>
        <w:spacing w:before="0" w:beforeAutospacing="0" w:line="30" w:lineRule="atLeast"/>
        <w:ind w:left="0" w:firstLine="420"/>
        <w:rPr>
          <w:rFonts w:hint="eastAsia" w:ascii="宋体" w:hAnsi="宋体" w:eastAsia="宋体" w:cs="宋体"/>
          <w:sz w:val="28"/>
          <w:szCs w:val="28"/>
        </w:rPr>
      </w:pPr>
      <w:r>
        <w:rPr>
          <w:rFonts w:hint="eastAsia" w:ascii="宋体" w:hAnsi="宋体" w:eastAsia="宋体" w:cs="宋体"/>
          <w:sz w:val="28"/>
          <w:szCs w:val="28"/>
        </w:rPr>
        <w:t>（二）贯彻执行应急管理、安全生产等方针政策、法律法规和标准规范，起草相关地方性法规、规章草案，组织编制应急体系建设、安全生产和综合防灾减灾规划并监督实施。</w:t>
      </w:r>
    </w:p>
    <w:p>
      <w:pPr>
        <w:pStyle w:val="4"/>
        <w:keepNext w:val="0"/>
        <w:keepLines w:val="0"/>
        <w:widowControl/>
        <w:suppressLineNumbers w:val="0"/>
        <w:spacing w:before="0" w:beforeAutospacing="0" w:line="30" w:lineRule="atLeast"/>
        <w:ind w:left="0" w:firstLine="420"/>
        <w:rPr>
          <w:rFonts w:hint="eastAsia" w:ascii="宋体" w:hAnsi="宋体" w:eastAsia="宋体" w:cs="宋体"/>
          <w:sz w:val="28"/>
          <w:szCs w:val="28"/>
        </w:rPr>
      </w:pPr>
      <w:r>
        <w:rPr>
          <w:rFonts w:hint="eastAsia" w:ascii="宋体" w:hAnsi="宋体" w:eastAsia="宋体" w:cs="宋体"/>
          <w:sz w:val="28"/>
          <w:szCs w:val="28"/>
        </w:rPr>
        <w:t>（三）指导应急预案体系建设，建立完善事故灾难和自然灾害分级应对制度，组织编制市级总体应急预案和安全生产类、自然灾害类专项预案，综合协调应急预案衔接工作，组织开展预案演练，推动应急避难设施建设。</w:t>
      </w:r>
    </w:p>
    <w:p>
      <w:pPr>
        <w:pStyle w:val="4"/>
        <w:keepNext w:val="0"/>
        <w:keepLines w:val="0"/>
        <w:widowControl/>
        <w:suppressLineNumbers w:val="0"/>
        <w:spacing w:before="0" w:beforeAutospacing="0" w:line="30" w:lineRule="atLeast"/>
        <w:ind w:left="0" w:firstLine="420"/>
        <w:rPr>
          <w:rFonts w:hint="eastAsia" w:ascii="宋体" w:hAnsi="宋体" w:eastAsia="宋体" w:cs="宋体"/>
          <w:sz w:val="28"/>
          <w:szCs w:val="28"/>
        </w:rPr>
      </w:pPr>
      <w:r>
        <w:rPr>
          <w:rFonts w:hint="eastAsia" w:ascii="宋体" w:hAnsi="宋体" w:eastAsia="宋体" w:cs="宋体"/>
          <w:sz w:val="28"/>
          <w:szCs w:val="28"/>
        </w:rPr>
        <w:t>（四）牵头建立统一的应急管理信息系统，负责信息传递渠道的规划和布局，建立监测预警和灾情报告制度，健全自然灾害信息资源获取和共享机制，依法统一发布灾情。</w:t>
      </w:r>
    </w:p>
    <w:p>
      <w:pPr>
        <w:pStyle w:val="4"/>
        <w:keepNext w:val="0"/>
        <w:keepLines w:val="0"/>
        <w:widowControl/>
        <w:suppressLineNumbers w:val="0"/>
        <w:spacing w:before="0" w:beforeAutospacing="0" w:line="30" w:lineRule="atLeast"/>
        <w:ind w:left="0" w:firstLine="420"/>
        <w:rPr>
          <w:rFonts w:hint="eastAsia" w:ascii="宋体" w:hAnsi="宋体" w:eastAsia="宋体" w:cs="宋体"/>
          <w:sz w:val="28"/>
          <w:szCs w:val="28"/>
        </w:rPr>
      </w:pPr>
      <w:r>
        <w:rPr>
          <w:rFonts w:hint="eastAsia" w:ascii="宋体" w:hAnsi="宋体" w:eastAsia="宋体" w:cs="宋体"/>
          <w:sz w:val="28"/>
          <w:szCs w:val="28"/>
        </w:rPr>
        <w:t>（五）组织指导协调安全生产类、自然灾害类等突发事件应急救援，承担大同市应对重大灾害指挥部工作，综合研判突发事件发展态势并提出应对建议，协助市委、市人民政府指定的负责同志组织重大灾害应急处置工作。</w:t>
      </w:r>
    </w:p>
    <w:p>
      <w:pPr>
        <w:pStyle w:val="4"/>
        <w:keepNext w:val="0"/>
        <w:keepLines w:val="0"/>
        <w:widowControl/>
        <w:suppressLineNumbers w:val="0"/>
        <w:spacing w:before="0" w:beforeAutospacing="0" w:line="30" w:lineRule="atLeast"/>
        <w:ind w:left="0" w:firstLine="420"/>
        <w:rPr>
          <w:rFonts w:hint="eastAsia" w:ascii="宋体" w:hAnsi="宋体" w:eastAsia="宋体" w:cs="宋体"/>
          <w:sz w:val="28"/>
          <w:szCs w:val="28"/>
        </w:rPr>
      </w:pPr>
      <w:r>
        <w:rPr>
          <w:rFonts w:hint="eastAsia" w:ascii="宋体" w:hAnsi="宋体" w:eastAsia="宋体" w:cs="宋体"/>
          <w:sz w:val="28"/>
          <w:szCs w:val="28"/>
        </w:rPr>
        <w:t>（六）统一协调指挥各类应急专业队伍，建立应急协调联动机制，推进指挥平台对接，衔接驻同解放军和武警部队参与应急救援工作。</w:t>
      </w:r>
    </w:p>
    <w:p>
      <w:pPr>
        <w:pStyle w:val="4"/>
        <w:keepNext w:val="0"/>
        <w:keepLines w:val="0"/>
        <w:widowControl/>
        <w:suppressLineNumbers w:val="0"/>
        <w:spacing w:before="0" w:beforeAutospacing="0" w:line="30" w:lineRule="atLeast"/>
        <w:ind w:left="0" w:firstLine="420"/>
        <w:rPr>
          <w:rFonts w:hint="eastAsia" w:ascii="宋体" w:hAnsi="宋体" w:eastAsia="宋体" w:cs="宋体"/>
          <w:sz w:val="28"/>
          <w:szCs w:val="28"/>
        </w:rPr>
      </w:pPr>
      <w:r>
        <w:rPr>
          <w:rFonts w:hint="eastAsia" w:ascii="宋体" w:hAnsi="宋体" w:eastAsia="宋体" w:cs="宋体"/>
          <w:sz w:val="28"/>
          <w:szCs w:val="28"/>
        </w:rPr>
        <w:t>（七）统筹消防、森林和草原火灾扑救、抗洪抢险、地震和地质灾害救援、生产安全事故救援等专业应急救援力量建设，管理市级应急救援队伍，指导各县（区）及社会应急救援力量建设。</w:t>
      </w:r>
    </w:p>
    <w:p>
      <w:pPr>
        <w:pStyle w:val="4"/>
        <w:keepNext w:val="0"/>
        <w:keepLines w:val="0"/>
        <w:widowControl/>
        <w:suppressLineNumbers w:val="0"/>
        <w:spacing w:before="0" w:beforeAutospacing="0" w:line="30" w:lineRule="atLeast"/>
        <w:ind w:left="0" w:firstLine="420"/>
        <w:rPr>
          <w:rFonts w:hint="eastAsia" w:ascii="宋体" w:hAnsi="宋体" w:eastAsia="宋体" w:cs="宋体"/>
          <w:sz w:val="28"/>
          <w:szCs w:val="28"/>
        </w:rPr>
      </w:pPr>
      <w:r>
        <w:rPr>
          <w:rFonts w:hint="eastAsia" w:ascii="宋体" w:hAnsi="宋体" w:eastAsia="宋体" w:cs="宋体"/>
          <w:sz w:val="28"/>
          <w:szCs w:val="28"/>
        </w:rPr>
        <w:t>（八）组织指导消防监督、火灾预防、火灾扑救等工作。</w:t>
      </w:r>
    </w:p>
    <w:p>
      <w:pPr>
        <w:pStyle w:val="4"/>
        <w:keepNext w:val="0"/>
        <w:keepLines w:val="0"/>
        <w:widowControl/>
        <w:suppressLineNumbers w:val="0"/>
        <w:spacing w:before="0" w:beforeAutospacing="0" w:line="30" w:lineRule="atLeast"/>
        <w:ind w:left="0" w:firstLine="420"/>
        <w:rPr>
          <w:rFonts w:hint="eastAsia" w:ascii="宋体" w:hAnsi="宋体" w:eastAsia="宋体" w:cs="宋体"/>
          <w:sz w:val="28"/>
          <w:szCs w:val="28"/>
        </w:rPr>
      </w:pPr>
      <w:r>
        <w:rPr>
          <w:rFonts w:hint="eastAsia" w:ascii="宋体" w:hAnsi="宋体" w:eastAsia="宋体" w:cs="宋体"/>
          <w:sz w:val="28"/>
          <w:szCs w:val="28"/>
        </w:rPr>
        <w:t>（九）指导协调森林和草原火灾、水旱灾害、地震和地质灾害等防治工作，负责自然灾害综合监测预警工作，指导开展自然灾害综合风险评估工作。</w:t>
      </w:r>
    </w:p>
    <w:p>
      <w:pPr>
        <w:pStyle w:val="4"/>
        <w:keepNext w:val="0"/>
        <w:keepLines w:val="0"/>
        <w:widowControl/>
        <w:suppressLineNumbers w:val="0"/>
        <w:spacing w:before="0" w:beforeAutospacing="0" w:line="30" w:lineRule="atLeast"/>
        <w:ind w:left="0" w:firstLine="420"/>
        <w:rPr>
          <w:rFonts w:hint="eastAsia" w:ascii="宋体" w:hAnsi="宋体" w:eastAsia="宋体" w:cs="宋体"/>
          <w:sz w:val="28"/>
          <w:szCs w:val="28"/>
        </w:rPr>
      </w:pPr>
      <w:r>
        <w:rPr>
          <w:rFonts w:hint="eastAsia" w:ascii="宋体" w:hAnsi="宋体" w:eastAsia="宋体" w:cs="宋体"/>
          <w:sz w:val="28"/>
          <w:szCs w:val="28"/>
        </w:rPr>
        <w:t>（十）组织协调灾害救助工作，组织指导灾情核查、损失评估、救灾捐赠工作，管理、分配省划拨和市级救灾款物并监督使用。</w:t>
      </w:r>
    </w:p>
    <w:p>
      <w:pPr>
        <w:pStyle w:val="4"/>
        <w:keepNext w:val="0"/>
        <w:keepLines w:val="0"/>
        <w:widowControl/>
        <w:suppressLineNumbers w:val="0"/>
        <w:spacing w:before="0" w:beforeAutospacing="0" w:line="30" w:lineRule="atLeast"/>
        <w:ind w:left="0" w:firstLine="420"/>
        <w:rPr>
          <w:rFonts w:hint="eastAsia" w:ascii="宋体" w:hAnsi="宋体" w:eastAsia="宋体" w:cs="宋体"/>
          <w:sz w:val="28"/>
          <w:szCs w:val="28"/>
        </w:rPr>
      </w:pPr>
      <w:r>
        <w:rPr>
          <w:rFonts w:hint="eastAsia" w:ascii="宋体" w:hAnsi="宋体" w:eastAsia="宋体" w:cs="宋体"/>
          <w:sz w:val="28"/>
          <w:szCs w:val="28"/>
        </w:rPr>
        <w:t>（十一）依法行使安全生产综合监督管理职权，指导协调、监督检查市有关部门、单位和县（区）人民政府安全生产工作，组织开展安全生产巡查、考核工作。</w:t>
      </w:r>
    </w:p>
    <w:p>
      <w:pPr>
        <w:pStyle w:val="4"/>
        <w:keepNext w:val="0"/>
        <w:keepLines w:val="0"/>
        <w:widowControl/>
        <w:suppressLineNumbers w:val="0"/>
        <w:spacing w:before="0" w:beforeAutospacing="0" w:line="30" w:lineRule="atLeast"/>
        <w:ind w:left="0" w:firstLine="420"/>
        <w:rPr>
          <w:rFonts w:hint="eastAsia" w:ascii="宋体" w:hAnsi="宋体" w:eastAsia="宋体" w:cs="宋体"/>
          <w:sz w:val="28"/>
          <w:szCs w:val="28"/>
        </w:rPr>
      </w:pPr>
      <w:r>
        <w:rPr>
          <w:rFonts w:hint="eastAsia" w:ascii="宋体" w:hAnsi="宋体" w:eastAsia="宋体" w:cs="宋体"/>
          <w:sz w:val="28"/>
          <w:szCs w:val="28"/>
        </w:rPr>
        <w:t>（十二）按照分级、属地原则，负责监督管理工矿商贸行业企业安全生产工作，依法监督检查工矿商贸生产经营单位贯彻执行安全生产法律法规标准情况及其安全生产条件和有关设备（特种设备除外）、材料、劳动防护用品的安全生产管理工作。负责煤矿安全监督管理工作。负责全市洗（选）煤厂，配煤、型煤加工企业的安全监督管理工作。承担职责范围内煤矿附属洗（选）煤厂的安全监督管理职责。负责危险化学品安全监督管理综合工作和烟花爆竹安全生产监督管理工作。依法组织并指导监督实施安全生产准入制度。</w:t>
      </w:r>
    </w:p>
    <w:p>
      <w:pPr>
        <w:pStyle w:val="4"/>
        <w:keepNext w:val="0"/>
        <w:keepLines w:val="0"/>
        <w:widowControl/>
        <w:suppressLineNumbers w:val="0"/>
        <w:spacing w:before="0" w:beforeAutospacing="0" w:line="30" w:lineRule="atLeast"/>
        <w:ind w:left="0" w:firstLine="420"/>
        <w:rPr>
          <w:rFonts w:hint="eastAsia" w:ascii="宋体" w:hAnsi="宋体" w:eastAsia="宋体" w:cs="宋体"/>
          <w:sz w:val="28"/>
          <w:szCs w:val="28"/>
        </w:rPr>
      </w:pPr>
      <w:r>
        <w:rPr>
          <w:rFonts w:hint="eastAsia" w:ascii="宋体" w:hAnsi="宋体" w:eastAsia="宋体" w:cs="宋体"/>
          <w:sz w:val="28"/>
          <w:szCs w:val="28"/>
        </w:rPr>
        <w:t>（十三）依法组织指导生产安全事故调查处理，监督事故查处和责任追究落实情况。组织开展自然灾害类突发事件的调查评估工作。</w:t>
      </w:r>
    </w:p>
    <w:p>
      <w:pPr>
        <w:pStyle w:val="4"/>
        <w:keepNext w:val="0"/>
        <w:keepLines w:val="0"/>
        <w:widowControl/>
        <w:suppressLineNumbers w:val="0"/>
        <w:spacing w:before="0" w:beforeAutospacing="0" w:line="30" w:lineRule="atLeast"/>
        <w:ind w:left="0" w:firstLine="420"/>
        <w:rPr>
          <w:rFonts w:hint="eastAsia" w:ascii="宋体" w:hAnsi="宋体" w:eastAsia="宋体" w:cs="宋体"/>
          <w:sz w:val="28"/>
          <w:szCs w:val="28"/>
        </w:rPr>
      </w:pPr>
      <w:r>
        <w:rPr>
          <w:rFonts w:hint="eastAsia" w:ascii="宋体" w:hAnsi="宋体" w:eastAsia="宋体" w:cs="宋体"/>
          <w:sz w:val="28"/>
          <w:szCs w:val="28"/>
        </w:rPr>
        <w:t>（十四）开展应急管理方面的对外合作与交流，参与安全生产类、自然灾害类等突发事件的省际救援工作和市际之间应急救援合作。</w:t>
      </w:r>
    </w:p>
    <w:p>
      <w:pPr>
        <w:pStyle w:val="4"/>
        <w:keepNext w:val="0"/>
        <w:keepLines w:val="0"/>
        <w:widowControl/>
        <w:suppressLineNumbers w:val="0"/>
        <w:spacing w:before="0" w:beforeAutospacing="0" w:line="30" w:lineRule="atLeast"/>
        <w:ind w:left="0" w:firstLine="420"/>
        <w:rPr>
          <w:rFonts w:hint="eastAsia" w:ascii="宋体" w:hAnsi="宋体" w:eastAsia="宋体" w:cs="宋体"/>
          <w:sz w:val="28"/>
          <w:szCs w:val="28"/>
        </w:rPr>
      </w:pPr>
      <w:r>
        <w:rPr>
          <w:rFonts w:hint="eastAsia" w:ascii="宋体" w:hAnsi="宋体" w:eastAsia="宋体" w:cs="宋体"/>
          <w:sz w:val="28"/>
          <w:szCs w:val="28"/>
        </w:rPr>
        <w:t>（十五）制定应急物资储备和应急救援装备规划并组织实施，会同市发展和改革委员会等部门建立健全全市应急物资信息平台和调拨制度，在救灾时统一调度。</w:t>
      </w:r>
    </w:p>
    <w:p>
      <w:pPr>
        <w:pStyle w:val="4"/>
        <w:keepNext w:val="0"/>
        <w:keepLines w:val="0"/>
        <w:widowControl/>
        <w:suppressLineNumbers w:val="0"/>
        <w:spacing w:before="0" w:beforeAutospacing="0" w:line="30" w:lineRule="atLeast"/>
        <w:ind w:left="0" w:firstLine="420"/>
        <w:rPr>
          <w:rFonts w:hint="eastAsia" w:ascii="宋体" w:hAnsi="宋体" w:eastAsia="宋体" w:cs="宋体"/>
          <w:sz w:val="28"/>
          <w:szCs w:val="28"/>
        </w:rPr>
      </w:pPr>
      <w:r>
        <w:rPr>
          <w:rFonts w:hint="eastAsia" w:ascii="宋体" w:hAnsi="宋体" w:eastAsia="宋体" w:cs="宋体"/>
          <w:sz w:val="28"/>
          <w:szCs w:val="28"/>
        </w:rPr>
        <w:t>（十六）负责应急管理、安全生产宣传教育和培训工作，组织指导应急管理、安全生产的科学技术研究、推广应用和信息化建设工作。</w:t>
      </w:r>
    </w:p>
    <w:p>
      <w:pPr>
        <w:pStyle w:val="4"/>
        <w:keepNext w:val="0"/>
        <w:keepLines w:val="0"/>
        <w:widowControl/>
        <w:suppressLineNumbers w:val="0"/>
        <w:spacing w:before="0" w:beforeAutospacing="0" w:line="30" w:lineRule="atLeast"/>
        <w:ind w:left="0" w:firstLine="420"/>
        <w:rPr>
          <w:rFonts w:hint="eastAsia" w:ascii="宋体" w:hAnsi="宋体" w:eastAsia="宋体" w:cs="宋体"/>
          <w:sz w:val="28"/>
          <w:szCs w:val="28"/>
        </w:rPr>
      </w:pPr>
      <w:r>
        <w:rPr>
          <w:rFonts w:hint="eastAsia" w:ascii="宋体" w:hAnsi="宋体" w:eastAsia="宋体" w:cs="宋体"/>
          <w:sz w:val="28"/>
          <w:szCs w:val="28"/>
        </w:rPr>
        <w:t>（十七）完成市委、市人民政府交办的其他任务。</w:t>
      </w:r>
    </w:p>
    <w:p>
      <w:pPr>
        <w:pStyle w:val="4"/>
        <w:keepNext w:val="0"/>
        <w:keepLines w:val="0"/>
        <w:widowControl/>
        <w:suppressLineNumbers w:val="0"/>
        <w:spacing w:before="0" w:beforeAutospacing="0" w:line="30" w:lineRule="atLeast"/>
        <w:rPr>
          <w:rFonts w:hint="eastAsia" w:ascii="宋体" w:hAnsi="宋体" w:cs="宋体"/>
          <w:sz w:val="28"/>
          <w:szCs w:val="28"/>
          <w:lang w:eastAsia="zh-CN"/>
        </w:rPr>
      </w:pPr>
      <w:r>
        <w:rPr>
          <w:rFonts w:hint="eastAsia" w:ascii="宋体" w:hAnsi="宋体" w:cs="宋体"/>
          <w:sz w:val="28"/>
          <w:szCs w:val="28"/>
          <w:lang w:eastAsia="zh-CN"/>
        </w:rPr>
        <w:t>二、机构设置情况</w:t>
      </w:r>
    </w:p>
    <w:p>
      <w:pPr>
        <w:pStyle w:val="4"/>
        <w:keepNext w:val="0"/>
        <w:keepLines w:val="0"/>
        <w:widowControl/>
        <w:suppressLineNumbers w:val="0"/>
        <w:spacing w:before="0" w:beforeAutospacing="0" w:line="30" w:lineRule="atLeas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大同市应急管理局设下列内设机构：办公室（党</w:t>
      </w:r>
      <w:r>
        <w:rPr>
          <w:rFonts w:hint="eastAsia" w:ascii="宋体" w:hAnsi="宋体" w:eastAsia="宋体" w:cs="宋体"/>
          <w:sz w:val="28"/>
          <w:szCs w:val="28"/>
          <w:lang w:eastAsia="zh-CN"/>
        </w:rPr>
        <w:t>委</w:t>
      </w:r>
      <w:r>
        <w:rPr>
          <w:rFonts w:hint="eastAsia" w:ascii="宋体" w:hAnsi="宋体" w:eastAsia="宋体" w:cs="宋体"/>
          <w:sz w:val="28"/>
          <w:szCs w:val="28"/>
        </w:rPr>
        <w:t>办公室）、应急指挥中心、人事教育训练科、政策法规和新闻宣传科、风险监测和综合减灾科、救援协调和预案管理科、火灾防治管理科、防汛抗旱科、地震和地质灾害救援科、煤矿安全综合科、煤矿安全执法科、煤矿通风安全监督管理科、煤矿地质和机电安全监督管理科、危险化学品安全监督管理科</w:t>
      </w:r>
      <w:r>
        <w:rPr>
          <w:rFonts w:hint="eastAsia" w:ascii="宋体" w:hAnsi="宋体" w:eastAsia="宋体" w:cs="宋体"/>
          <w:sz w:val="28"/>
          <w:szCs w:val="28"/>
          <w:lang w:eastAsia="zh-CN"/>
        </w:rPr>
        <w:t>一科</w:t>
      </w:r>
      <w:r>
        <w:rPr>
          <w:rFonts w:hint="eastAsia" w:ascii="宋体" w:hAnsi="宋体" w:eastAsia="宋体" w:cs="宋体"/>
          <w:sz w:val="28"/>
          <w:szCs w:val="28"/>
        </w:rPr>
        <w:t>、危险化学品安全监督管理科</w:t>
      </w:r>
      <w:r>
        <w:rPr>
          <w:rFonts w:hint="eastAsia" w:ascii="宋体" w:hAnsi="宋体" w:eastAsia="宋体" w:cs="宋体"/>
          <w:sz w:val="28"/>
          <w:szCs w:val="28"/>
          <w:lang w:eastAsia="zh-CN"/>
        </w:rPr>
        <w:t>二科、</w:t>
      </w:r>
      <w:r>
        <w:rPr>
          <w:rFonts w:hint="eastAsia" w:ascii="宋体" w:hAnsi="宋体" w:eastAsia="宋体" w:cs="宋体"/>
          <w:sz w:val="28"/>
          <w:szCs w:val="28"/>
        </w:rPr>
        <w:t>非煤矿山安全监督管理科、冶金工贸安全监督管理科、安全生产综合协调科、救灾和物资保障科、规划科、财务科、调查评估和统计科、科技和信息化科、行政审批管理科、</w:t>
      </w:r>
      <w:r>
        <w:rPr>
          <w:rFonts w:hint="eastAsia" w:ascii="宋体" w:hAnsi="宋体" w:eastAsia="宋体" w:cs="宋体"/>
          <w:sz w:val="28"/>
          <w:szCs w:val="28"/>
          <w:lang w:eastAsia="zh-CN"/>
        </w:rPr>
        <w:t>党建办</w:t>
      </w:r>
    </w:p>
    <w:p>
      <w:pPr>
        <w:numPr>
          <w:ilvl w:val="0"/>
          <w:numId w:val="1"/>
        </w:numPr>
        <w:ind w:firstLine="562" w:firstLineChars="200"/>
        <w:rPr>
          <w:rFonts w:hint="eastAsia"/>
          <w:b/>
          <w:bCs/>
          <w:sz w:val="28"/>
          <w:szCs w:val="28"/>
          <w:lang w:val="en-US" w:eastAsia="zh-CN"/>
        </w:rPr>
      </w:pPr>
      <w:r>
        <w:rPr>
          <w:rFonts w:hint="eastAsia"/>
          <w:b/>
          <w:bCs/>
          <w:sz w:val="28"/>
          <w:szCs w:val="28"/>
          <w:lang w:val="en-US" w:eastAsia="zh-CN"/>
        </w:rPr>
        <w:t xml:space="preserve"> 2021年度部门决算报表</w:t>
      </w:r>
    </w:p>
    <w:p>
      <w:pPr>
        <w:pStyle w:val="2"/>
        <w:rPr>
          <w:rFonts w:hint="eastAsia"/>
          <w:lang w:val="en-US" w:eastAsia="zh-CN"/>
        </w:rPr>
      </w:pPr>
      <w:r>
        <w:rPr>
          <w:rFonts w:hint="eastAsia"/>
          <w:lang w:val="en-US" w:eastAsia="zh-CN"/>
        </w:rPr>
        <w:object>
          <v:shape id="_x0000_i1025" o:spt="75" type="#_x0000_t75" style="height:42.75pt;width:237.75pt;" o:ole="t" filled="f" o:preferrelative="t" stroked="f" coordsize="21600,21600">
            <v:fill on="f" focussize="0,0"/>
            <v:stroke on="f"/>
            <v:imagedata r:id="rId5" o:title=""/>
            <o:lock v:ext="edit" aspectratio="t"/>
            <w10:wrap type="none"/>
            <w10:anchorlock/>
          </v:shape>
          <o:OLEObject Type="Embed" ProgID="Package" ShapeID="_x0000_i1025" DrawAspect="Content" ObjectID="_1468075725" r:id="rId4">
            <o:LockedField>false</o:LockedField>
          </o:OLEObject>
        </w:object>
      </w:r>
      <w:bookmarkStart w:id="4" w:name="_GoBack"/>
      <w:bookmarkEnd w:id="4"/>
    </w:p>
    <w:p>
      <w:pPr>
        <w:numPr>
          <w:ilvl w:val="0"/>
          <w:numId w:val="1"/>
        </w:numPr>
        <w:ind w:firstLine="562" w:firstLineChars="200"/>
        <w:rPr>
          <w:rFonts w:hint="eastAsia"/>
          <w:b/>
          <w:bCs/>
          <w:sz w:val="28"/>
          <w:szCs w:val="28"/>
          <w:lang w:val="en-US" w:eastAsia="zh-CN"/>
        </w:rPr>
      </w:pPr>
      <w:r>
        <w:rPr>
          <w:rFonts w:hint="eastAsia"/>
          <w:b/>
          <w:bCs/>
          <w:sz w:val="28"/>
          <w:szCs w:val="28"/>
          <w:lang w:val="en-US" w:eastAsia="zh-CN"/>
        </w:rPr>
        <w:t xml:space="preserve"> 2021年度部门决算情况说明</w:t>
      </w:r>
    </w:p>
    <w:p>
      <w:pPr>
        <w:numPr>
          <w:ilvl w:val="0"/>
          <w:numId w:val="0"/>
        </w:numPr>
        <w:ind w:firstLine="560" w:firstLineChars="200"/>
        <w:rPr>
          <w:rFonts w:hint="eastAsia"/>
          <w:sz w:val="28"/>
          <w:szCs w:val="28"/>
        </w:rPr>
      </w:pPr>
      <w:r>
        <w:rPr>
          <w:rFonts w:hint="eastAsia"/>
          <w:sz w:val="28"/>
          <w:szCs w:val="28"/>
        </w:rPr>
        <w:t>一、收入支出决算总体情况说明</w:t>
      </w:r>
    </w:p>
    <w:p>
      <w:pPr>
        <w:rPr>
          <w:rFonts w:hint="eastAsia" w:eastAsia="宋体"/>
          <w:sz w:val="28"/>
          <w:szCs w:val="28"/>
          <w:lang w:eastAsia="zh-CN"/>
        </w:rPr>
      </w:pPr>
      <w:r>
        <w:rPr>
          <w:rFonts w:hint="eastAsia"/>
          <w:sz w:val="28"/>
          <w:szCs w:val="28"/>
        </w:rPr>
        <w:t xml:space="preserve"> </w:t>
      </w:r>
      <w:r>
        <w:rPr>
          <w:rFonts w:hint="default"/>
          <w:sz w:val="28"/>
          <w:szCs w:val="28"/>
          <w:lang w:val="en"/>
        </w:rPr>
        <w:t xml:space="preserve">   </w:t>
      </w:r>
      <w:r>
        <w:rPr>
          <w:rFonts w:hint="eastAsia"/>
          <w:sz w:val="28"/>
          <w:szCs w:val="28"/>
          <w:lang w:val="en-US" w:eastAsia="zh-CN"/>
        </w:rPr>
        <w:t>2021</w:t>
      </w:r>
      <w:r>
        <w:rPr>
          <w:rFonts w:hint="eastAsia"/>
          <w:sz w:val="28"/>
          <w:szCs w:val="28"/>
        </w:rPr>
        <w:t>年度收入总计</w:t>
      </w:r>
      <w:r>
        <w:rPr>
          <w:rFonts w:hint="eastAsia"/>
          <w:sz w:val="28"/>
          <w:szCs w:val="28"/>
          <w:lang w:val="en-US" w:eastAsia="zh-CN"/>
        </w:rPr>
        <w:t>2268.01</w:t>
      </w:r>
      <w:r>
        <w:rPr>
          <w:rFonts w:hint="eastAsia"/>
          <w:sz w:val="28"/>
          <w:szCs w:val="28"/>
        </w:rPr>
        <w:t>万元、支出总计</w:t>
      </w:r>
      <w:r>
        <w:rPr>
          <w:rFonts w:hint="eastAsia"/>
          <w:sz w:val="28"/>
          <w:szCs w:val="28"/>
          <w:lang w:val="en-US" w:eastAsia="zh-CN"/>
        </w:rPr>
        <w:t>2303.51</w:t>
      </w:r>
      <w:r>
        <w:rPr>
          <w:rFonts w:hint="eastAsia"/>
          <w:sz w:val="28"/>
          <w:szCs w:val="28"/>
        </w:rPr>
        <w:t>万元。与上年相比，收入总计</w:t>
      </w:r>
      <w:r>
        <w:rPr>
          <w:rFonts w:hint="eastAsia"/>
          <w:sz w:val="28"/>
          <w:szCs w:val="28"/>
          <w:lang w:eastAsia="zh-CN"/>
        </w:rPr>
        <w:t>减少</w:t>
      </w:r>
      <w:r>
        <w:rPr>
          <w:rFonts w:hint="eastAsia"/>
          <w:sz w:val="28"/>
          <w:szCs w:val="28"/>
        </w:rPr>
        <w:t xml:space="preserve"> </w:t>
      </w:r>
      <w:r>
        <w:rPr>
          <w:rFonts w:hint="eastAsia"/>
          <w:sz w:val="28"/>
          <w:szCs w:val="28"/>
          <w:lang w:val="en-US" w:eastAsia="zh-CN"/>
        </w:rPr>
        <w:t>218.16</w:t>
      </w:r>
      <w:r>
        <w:rPr>
          <w:rFonts w:hint="eastAsia"/>
          <w:sz w:val="28"/>
          <w:szCs w:val="28"/>
        </w:rPr>
        <w:t>万元，</w:t>
      </w:r>
      <w:r>
        <w:rPr>
          <w:rFonts w:hint="eastAsia"/>
          <w:sz w:val="28"/>
          <w:szCs w:val="28"/>
          <w:lang w:eastAsia="zh-CN"/>
        </w:rPr>
        <w:t>下降</w:t>
      </w:r>
      <w:r>
        <w:rPr>
          <w:rFonts w:hint="eastAsia"/>
          <w:sz w:val="28"/>
          <w:szCs w:val="28"/>
          <w:lang w:val="en-US" w:eastAsia="zh-CN"/>
        </w:rPr>
        <w:t>8.77</w:t>
      </w:r>
      <w:r>
        <w:rPr>
          <w:rFonts w:hint="eastAsia"/>
          <w:sz w:val="28"/>
          <w:szCs w:val="28"/>
        </w:rPr>
        <w:t>%，支出总计</w:t>
      </w:r>
      <w:r>
        <w:rPr>
          <w:rFonts w:hint="eastAsia"/>
          <w:sz w:val="28"/>
          <w:szCs w:val="28"/>
          <w:lang w:eastAsia="zh-CN"/>
        </w:rPr>
        <w:t>减少</w:t>
      </w:r>
      <w:r>
        <w:rPr>
          <w:rFonts w:hint="eastAsia"/>
          <w:sz w:val="28"/>
          <w:szCs w:val="28"/>
          <w:lang w:val="en-US" w:eastAsia="zh-CN"/>
        </w:rPr>
        <w:t>253.64</w:t>
      </w:r>
      <w:r>
        <w:rPr>
          <w:rFonts w:hint="eastAsia"/>
          <w:sz w:val="28"/>
          <w:szCs w:val="28"/>
        </w:rPr>
        <w:t xml:space="preserve">万元，下降 </w:t>
      </w:r>
      <w:r>
        <w:rPr>
          <w:rFonts w:hint="eastAsia"/>
          <w:sz w:val="28"/>
          <w:szCs w:val="28"/>
          <w:lang w:val="en-US" w:eastAsia="zh-CN"/>
        </w:rPr>
        <w:t>9.92</w:t>
      </w:r>
      <w:r>
        <w:rPr>
          <w:rFonts w:hint="eastAsia"/>
          <w:sz w:val="28"/>
          <w:szCs w:val="28"/>
        </w:rPr>
        <w:t>%</w:t>
      </w:r>
      <w:r>
        <w:rPr>
          <w:rFonts w:hint="eastAsia"/>
          <w:sz w:val="28"/>
          <w:szCs w:val="28"/>
          <w:lang w:eastAsia="zh-CN"/>
        </w:rPr>
        <w:t>，</w:t>
      </w:r>
      <w:r>
        <w:rPr>
          <w:rFonts w:hint="eastAsia"/>
          <w:sz w:val="28"/>
          <w:szCs w:val="28"/>
        </w:rPr>
        <w:t>主要原因是</w:t>
      </w:r>
      <w:r>
        <w:rPr>
          <w:rFonts w:hint="eastAsia"/>
          <w:sz w:val="28"/>
          <w:szCs w:val="28"/>
          <w:lang w:eastAsia="zh-CN"/>
        </w:rPr>
        <w:t>减少了项目资金支出。</w:t>
      </w:r>
    </w:p>
    <w:p>
      <w:pPr>
        <w:ind w:firstLine="420" w:firstLineChars="150"/>
        <w:rPr>
          <w:rFonts w:hint="eastAsia"/>
          <w:sz w:val="28"/>
          <w:szCs w:val="28"/>
        </w:rPr>
      </w:pPr>
      <w:r>
        <w:rPr>
          <w:rFonts w:hint="eastAsia"/>
          <w:sz w:val="28"/>
          <w:szCs w:val="28"/>
        </w:rPr>
        <w:t>二、收入决算情况说明</w:t>
      </w:r>
    </w:p>
    <w:p>
      <w:pPr>
        <w:rPr>
          <w:rFonts w:hint="eastAsia"/>
          <w:sz w:val="28"/>
          <w:szCs w:val="28"/>
        </w:rPr>
      </w:pPr>
      <w:r>
        <w:rPr>
          <w:rFonts w:hint="eastAsia"/>
          <w:sz w:val="28"/>
          <w:szCs w:val="28"/>
        </w:rPr>
        <w:t xml:space="preserve"> </w:t>
      </w:r>
      <w:r>
        <w:rPr>
          <w:rFonts w:hint="default"/>
          <w:sz w:val="28"/>
          <w:szCs w:val="28"/>
          <w:lang w:val="en"/>
        </w:rPr>
        <w:t xml:space="preserve"> </w:t>
      </w:r>
      <w:r>
        <w:rPr>
          <w:rFonts w:hint="eastAsia"/>
          <w:sz w:val="28"/>
          <w:szCs w:val="28"/>
          <w:lang w:val="en-US" w:eastAsia="zh-CN"/>
        </w:rPr>
        <w:t>2021年度年初结转和结余35.5万元，</w:t>
      </w:r>
      <w:r>
        <w:rPr>
          <w:rFonts w:hint="default"/>
          <w:sz w:val="28"/>
          <w:szCs w:val="28"/>
          <w:lang w:val="en"/>
        </w:rPr>
        <w:t xml:space="preserve"> </w:t>
      </w:r>
      <w:r>
        <w:rPr>
          <w:rFonts w:hint="eastAsia"/>
          <w:sz w:val="28"/>
          <w:szCs w:val="28"/>
          <w:lang w:val="en-US" w:eastAsia="zh-CN"/>
        </w:rPr>
        <w:t>2021</w:t>
      </w:r>
      <w:r>
        <w:rPr>
          <w:rFonts w:hint="eastAsia"/>
          <w:sz w:val="28"/>
          <w:szCs w:val="28"/>
        </w:rPr>
        <w:t>年度收入合计</w:t>
      </w:r>
      <w:r>
        <w:rPr>
          <w:rFonts w:hint="eastAsia"/>
          <w:sz w:val="28"/>
          <w:szCs w:val="28"/>
          <w:lang w:val="en-US" w:eastAsia="zh-CN"/>
        </w:rPr>
        <w:t>2268.01</w:t>
      </w:r>
      <w:r>
        <w:rPr>
          <w:rFonts w:hint="eastAsia"/>
          <w:sz w:val="28"/>
          <w:szCs w:val="28"/>
        </w:rPr>
        <w:t>万元，其中：财政拨款收入</w:t>
      </w:r>
      <w:r>
        <w:rPr>
          <w:rFonts w:hint="eastAsia"/>
          <w:sz w:val="28"/>
          <w:szCs w:val="28"/>
          <w:lang w:val="en-US" w:eastAsia="zh-CN"/>
        </w:rPr>
        <w:t>2268.01</w:t>
      </w:r>
      <w:r>
        <w:rPr>
          <w:rFonts w:hint="eastAsia"/>
          <w:sz w:val="28"/>
          <w:szCs w:val="28"/>
        </w:rPr>
        <w:t>万元，占比</w:t>
      </w:r>
      <w:r>
        <w:rPr>
          <w:rFonts w:hint="eastAsia"/>
          <w:sz w:val="28"/>
          <w:szCs w:val="28"/>
          <w:lang w:val="en-US" w:eastAsia="zh-CN"/>
        </w:rPr>
        <w:t>100</w:t>
      </w:r>
      <w:r>
        <w:rPr>
          <w:rFonts w:hint="eastAsia"/>
          <w:sz w:val="28"/>
          <w:szCs w:val="28"/>
        </w:rPr>
        <w:t>%。</w:t>
      </w:r>
    </w:p>
    <w:p>
      <w:pPr>
        <w:ind w:firstLine="560" w:firstLineChars="200"/>
        <w:rPr>
          <w:rFonts w:hint="eastAsia"/>
          <w:sz w:val="28"/>
          <w:szCs w:val="28"/>
        </w:rPr>
      </w:pPr>
      <w:r>
        <w:rPr>
          <w:rFonts w:hint="eastAsia"/>
          <w:sz w:val="28"/>
          <w:szCs w:val="28"/>
        </w:rPr>
        <w:t>三、支出决算情况说明</w:t>
      </w:r>
    </w:p>
    <w:p>
      <w:pPr>
        <w:ind w:firstLine="420" w:firstLineChars="150"/>
        <w:rPr>
          <w:rFonts w:hint="eastAsia" w:eastAsia="宋体"/>
          <w:sz w:val="28"/>
          <w:szCs w:val="28"/>
          <w:lang w:val="en-US" w:eastAsia="zh-CN"/>
        </w:rPr>
      </w:pPr>
      <w:r>
        <w:rPr>
          <w:rFonts w:hint="eastAsia"/>
          <w:sz w:val="28"/>
          <w:szCs w:val="28"/>
        </w:rPr>
        <w:t xml:space="preserve"> </w:t>
      </w:r>
      <w:r>
        <w:rPr>
          <w:rFonts w:hint="eastAsia"/>
          <w:sz w:val="28"/>
          <w:szCs w:val="28"/>
          <w:lang w:val="en-US" w:eastAsia="zh-CN"/>
        </w:rPr>
        <w:t>2021</w:t>
      </w:r>
      <w:r>
        <w:rPr>
          <w:rFonts w:hint="eastAsia"/>
          <w:sz w:val="28"/>
          <w:szCs w:val="28"/>
        </w:rPr>
        <w:t>年度支出合计</w:t>
      </w:r>
      <w:r>
        <w:rPr>
          <w:rFonts w:hint="eastAsia"/>
          <w:sz w:val="28"/>
          <w:szCs w:val="28"/>
          <w:lang w:val="en-US" w:eastAsia="zh-CN"/>
        </w:rPr>
        <w:t>2303.51</w:t>
      </w:r>
      <w:r>
        <w:rPr>
          <w:rFonts w:hint="eastAsia"/>
          <w:sz w:val="28"/>
          <w:szCs w:val="28"/>
        </w:rPr>
        <w:t>万元，其中：基本支出</w:t>
      </w:r>
      <w:r>
        <w:rPr>
          <w:rFonts w:hint="eastAsia"/>
          <w:sz w:val="28"/>
          <w:szCs w:val="28"/>
          <w:lang w:val="en-US" w:eastAsia="zh-CN"/>
        </w:rPr>
        <w:t>1292.67</w:t>
      </w:r>
      <w:r>
        <w:rPr>
          <w:rFonts w:hint="eastAsia"/>
          <w:sz w:val="28"/>
          <w:szCs w:val="28"/>
        </w:rPr>
        <w:t>万元，占比</w:t>
      </w:r>
      <w:r>
        <w:rPr>
          <w:rFonts w:hint="eastAsia"/>
          <w:sz w:val="28"/>
          <w:szCs w:val="28"/>
          <w:lang w:val="en-US" w:eastAsia="zh-CN"/>
        </w:rPr>
        <w:t>56.12</w:t>
      </w:r>
      <w:r>
        <w:rPr>
          <w:rFonts w:hint="eastAsia"/>
          <w:sz w:val="28"/>
          <w:szCs w:val="28"/>
        </w:rPr>
        <w:t xml:space="preserve"> %；项目支出 </w:t>
      </w:r>
      <w:r>
        <w:rPr>
          <w:rFonts w:hint="eastAsia"/>
          <w:sz w:val="28"/>
          <w:szCs w:val="28"/>
          <w:lang w:val="en-US" w:eastAsia="zh-CN"/>
        </w:rPr>
        <w:t>1010.84</w:t>
      </w:r>
      <w:r>
        <w:rPr>
          <w:rFonts w:hint="eastAsia"/>
          <w:sz w:val="28"/>
          <w:szCs w:val="28"/>
        </w:rPr>
        <w:t xml:space="preserve">万元，占比 </w:t>
      </w:r>
      <w:r>
        <w:rPr>
          <w:rFonts w:hint="eastAsia"/>
          <w:sz w:val="28"/>
          <w:szCs w:val="28"/>
          <w:lang w:val="en-US" w:eastAsia="zh-CN"/>
        </w:rPr>
        <w:t>43.88</w:t>
      </w:r>
      <w:r>
        <w:rPr>
          <w:rFonts w:hint="eastAsia"/>
          <w:sz w:val="28"/>
          <w:szCs w:val="28"/>
        </w:rPr>
        <w:t>%</w:t>
      </w:r>
      <w:r>
        <w:rPr>
          <w:rFonts w:hint="eastAsia"/>
          <w:sz w:val="28"/>
          <w:szCs w:val="28"/>
          <w:lang w:val="en-US" w:eastAsia="zh-CN"/>
        </w:rPr>
        <w:t>.</w:t>
      </w:r>
    </w:p>
    <w:p>
      <w:pPr>
        <w:ind w:firstLine="560" w:firstLineChars="200"/>
        <w:rPr>
          <w:rFonts w:hint="eastAsia"/>
          <w:sz w:val="28"/>
          <w:szCs w:val="28"/>
        </w:rPr>
      </w:pPr>
      <w:r>
        <w:rPr>
          <w:rFonts w:hint="eastAsia"/>
          <w:sz w:val="28"/>
          <w:szCs w:val="28"/>
        </w:rPr>
        <w:t>四、财政拨款收入支出决算总体情况说明</w:t>
      </w:r>
    </w:p>
    <w:p>
      <w:pPr>
        <w:ind w:firstLine="420" w:firstLineChars="150"/>
        <w:rPr>
          <w:rFonts w:hint="eastAsia" w:eastAsia="宋体"/>
          <w:sz w:val="28"/>
          <w:szCs w:val="28"/>
          <w:lang w:eastAsia="zh-CN"/>
        </w:rPr>
      </w:pPr>
      <w:r>
        <w:rPr>
          <w:rFonts w:hint="eastAsia"/>
          <w:sz w:val="28"/>
          <w:szCs w:val="28"/>
        </w:rPr>
        <w:t xml:space="preserve"> </w:t>
      </w:r>
      <w:r>
        <w:rPr>
          <w:rFonts w:hint="eastAsia"/>
          <w:sz w:val="28"/>
          <w:szCs w:val="28"/>
          <w:lang w:val="en-US" w:eastAsia="zh-CN"/>
        </w:rPr>
        <w:t>2021</w:t>
      </w:r>
      <w:r>
        <w:rPr>
          <w:rFonts w:hint="eastAsia"/>
          <w:sz w:val="28"/>
          <w:szCs w:val="28"/>
        </w:rPr>
        <w:t xml:space="preserve">年度财政拨款收入总计 </w:t>
      </w:r>
      <w:r>
        <w:rPr>
          <w:rFonts w:hint="eastAsia"/>
          <w:sz w:val="28"/>
          <w:szCs w:val="28"/>
          <w:lang w:val="en-US" w:eastAsia="zh-CN"/>
        </w:rPr>
        <w:t>2248.89</w:t>
      </w:r>
      <w:r>
        <w:rPr>
          <w:rFonts w:hint="eastAsia"/>
          <w:sz w:val="28"/>
          <w:szCs w:val="28"/>
        </w:rPr>
        <w:t>万元、支出总计</w:t>
      </w:r>
      <w:r>
        <w:rPr>
          <w:rFonts w:hint="eastAsia"/>
          <w:sz w:val="28"/>
          <w:szCs w:val="28"/>
          <w:lang w:val="en-US" w:eastAsia="zh-CN"/>
        </w:rPr>
        <w:t>2284.39</w:t>
      </w:r>
      <w:r>
        <w:rPr>
          <w:rFonts w:hint="eastAsia"/>
          <w:sz w:val="28"/>
          <w:szCs w:val="28"/>
        </w:rPr>
        <w:t>万元。与上年相比，财政拨款收入总计减少</w:t>
      </w:r>
      <w:r>
        <w:rPr>
          <w:rFonts w:hint="eastAsia"/>
          <w:sz w:val="28"/>
          <w:szCs w:val="28"/>
          <w:lang w:val="en-US" w:eastAsia="zh-CN"/>
        </w:rPr>
        <w:t>210.17</w:t>
      </w:r>
      <w:r>
        <w:rPr>
          <w:rFonts w:hint="eastAsia"/>
          <w:sz w:val="28"/>
          <w:szCs w:val="28"/>
        </w:rPr>
        <w:t>万元，下降</w:t>
      </w:r>
      <w:r>
        <w:rPr>
          <w:rFonts w:hint="eastAsia"/>
          <w:sz w:val="28"/>
          <w:szCs w:val="28"/>
          <w:lang w:val="en-US" w:eastAsia="zh-CN"/>
        </w:rPr>
        <w:t>8.55</w:t>
      </w:r>
      <w:r>
        <w:rPr>
          <w:rFonts w:hint="eastAsia"/>
          <w:sz w:val="28"/>
          <w:szCs w:val="28"/>
        </w:rPr>
        <w:t xml:space="preserve">%，财政拨款支出总计减少 </w:t>
      </w:r>
      <w:r>
        <w:rPr>
          <w:rFonts w:hint="eastAsia"/>
          <w:sz w:val="28"/>
          <w:szCs w:val="28"/>
          <w:lang w:val="en-US" w:eastAsia="zh-CN"/>
        </w:rPr>
        <w:t>245.66</w:t>
      </w:r>
      <w:r>
        <w:rPr>
          <w:rFonts w:hint="eastAsia"/>
          <w:sz w:val="28"/>
          <w:szCs w:val="28"/>
        </w:rPr>
        <w:t xml:space="preserve">万元，下降 </w:t>
      </w:r>
      <w:r>
        <w:rPr>
          <w:rFonts w:hint="eastAsia"/>
          <w:sz w:val="28"/>
          <w:szCs w:val="28"/>
          <w:lang w:val="en-US" w:eastAsia="zh-CN"/>
        </w:rPr>
        <w:t>9.71</w:t>
      </w:r>
      <w:r>
        <w:rPr>
          <w:rFonts w:hint="eastAsia"/>
          <w:sz w:val="28"/>
          <w:szCs w:val="28"/>
        </w:rPr>
        <w:t xml:space="preserve"> %。主要原因是</w:t>
      </w:r>
      <w:r>
        <w:rPr>
          <w:rFonts w:hint="eastAsia"/>
          <w:sz w:val="28"/>
          <w:szCs w:val="28"/>
          <w:lang w:eastAsia="zh-CN"/>
        </w:rPr>
        <w:t>减少了项目资金的支出。</w:t>
      </w:r>
    </w:p>
    <w:p>
      <w:pPr>
        <w:numPr>
          <w:ilvl w:val="0"/>
          <w:numId w:val="3"/>
        </w:numPr>
        <w:ind w:firstLine="560" w:firstLineChars="200"/>
        <w:rPr>
          <w:rFonts w:hint="eastAsia"/>
          <w:sz w:val="28"/>
          <w:szCs w:val="28"/>
        </w:rPr>
      </w:pPr>
      <w:r>
        <w:rPr>
          <w:rFonts w:hint="eastAsia"/>
          <w:sz w:val="28"/>
          <w:szCs w:val="28"/>
        </w:rPr>
        <w:t>一般公共预算财政拨款支出决算情况说明</w:t>
      </w:r>
    </w:p>
    <w:p>
      <w:pPr>
        <w:numPr>
          <w:ilvl w:val="0"/>
          <w:numId w:val="0"/>
        </w:numPr>
        <w:ind w:firstLine="280" w:firstLineChars="100"/>
        <w:rPr>
          <w:rFonts w:hint="eastAsia"/>
          <w:sz w:val="28"/>
          <w:szCs w:val="28"/>
        </w:rPr>
      </w:pPr>
      <w:r>
        <w:rPr>
          <w:rFonts w:hint="eastAsia"/>
          <w:sz w:val="28"/>
          <w:szCs w:val="28"/>
        </w:rPr>
        <w:t>（一）财政拨款支出决算总体情况</w:t>
      </w:r>
    </w:p>
    <w:p>
      <w:pPr>
        <w:ind w:firstLine="420" w:firstLineChars="150"/>
        <w:rPr>
          <w:rFonts w:hint="eastAsia"/>
          <w:sz w:val="28"/>
          <w:szCs w:val="28"/>
          <w:lang w:eastAsia="zh-CN"/>
        </w:rPr>
      </w:pPr>
      <w:r>
        <w:rPr>
          <w:rFonts w:hint="eastAsia"/>
          <w:sz w:val="28"/>
          <w:szCs w:val="28"/>
        </w:rPr>
        <w:t xml:space="preserve"> </w:t>
      </w:r>
      <w:r>
        <w:rPr>
          <w:rFonts w:hint="eastAsia"/>
          <w:sz w:val="28"/>
          <w:szCs w:val="28"/>
          <w:lang w:val="en-US" w:eastAsia="zh-CN"/>
        </w:rPr>
        <w:t>2021</w:t>
      </w:r>
      <w:r>
        <w:rPr>
          <w:rFonts w:hint="eastAsia"/>
          <w:sz w:val="28"/>
          <w:szCs w:val="28"/>
        </w:rPr>
        <w:t>年度财政拨款支出</w:t>
      </w:r>
      <w:r>
        <w:rPr>
          <w:rFonts w:hint="eastAsia"/>
          <w:sz w:val="28"/>
          <w:szCs w:val="28"/>
          <w:lang w:val="en-US" w:eastAsia="zh-CN"/>
        </w:rPr>
        <w:t>2303.51</w:t>
      </w:r>
      <w:r>
        <w:rPr>
          <w:rFonts w:hint="eastAsia"/>
          <w:sz w:val="28"/>
          <w:szCs w:val="28"/>
        </w:rPr>
        <w:t>万元。与上年相比，财政拨款支出</w:t>
      </w:r>
      <w:r>
        <w:rPr>
          <w:rFonts w:hint="eastAsia"/>
          <w:sz w:val="28"/>
          <w:szCs w:val="28"/>
          <w:lang w:eastAsia="zh-CN"/>
        </w:rPr>
        <w:t>减少</w:t>
      </w:r>
      <w:r>
        <w:rPr>
          <w:rFonts w:hint="eastAsia"/>
          <w:sz w:val="28"/>
          <w:szCs w:val="28"/>
          <w:lang w:val="en-US" w:eastAsia="zh-CN"/>
        </w:rPr>
        <w:t>253.64</w:t>
      </w:r>
      <w:r>
        <w:rPr>
          <w:rFonts w:hint="eastAsia"/>
          <w:sz w:val="28"/>
          <w:szCs w:val="28"/>
        </w:rPr>
        <w:t>万元，</w:t>
      </w:r>
      <w:r>
        <w:rPr>
          <w:rFonts w:hint="eastAsia"/>
          <w:sz w:val="28"/>
          <w:szCs w:val="28"/>
          <w:lang w:eastAsia="zh-CN"/>
        </w:rPr>
        <w:t>下降</w:t>
      </w:r>
      <w:r>
        <w:rPr>
          <w:rFonts w:hint="eastAsia"/>
          <w:sz w:val="28"/>
          <w:szCs w:val="28"/>
        </w:rPr>
        <w:t xml:space="preserve"> </w:t>
      </w:r>
      <w:r>
        <w:rPr>
          <w:rFonts w:hint="eastAsia"/>
          <w:sz w:val="28"/>
          <w:szCs w:val="28"/>
          <w:lang w:val="en-US" w:eastAsia="zh-CN"/>
        </w:rPr>
        <w:t>9.92</w:t>
      </w:r>
      <w:r>
        <w:rPr>
          <w:rFonts w:hint="eastAsia"/>
          <w:sz w:val="28"/>
          <w:szCs w:val="28"/>
        </w:rPr>
        <w:t>%。主要原因是</w:t>
      </w:r>
      <w:r>
        <w:rPr>
          <w:rFonts w:hint="eastAsia"/>
          <w:sz w:val="28"/>
          <w:szCs w:val="28"/>
          <w:lang w:eastAsia="zh-CN"/>
        </w:rPr>
        <w:t>减少了项目经费的支出。</w:t>
      </w:r>
    </w:p>
    <w:p>
      <w:pPr>
        <w:ind w:firstLine="420" w:firstLineChars="150"/>
        <w:rPr>
          <w:rFonts w:hint="eastAsia"/>
          <w:sz w:val="28"/>
          <w:szCs w:val="28"/>
        </w:rPr>
      </w:pPr>
      <w:r>
        <w:rPr>
          <w:rFonts w:hint="eastAsia"/>
          <w:sz w:val="28"/>
          <w:szCs w:val="28"/>
        </w:rPr>
        <w:t>（二）财政拨款支出决算结构情况</w:t>
      </w:r>
    </w:p>
    <w:p>
      <w:pPr>
        <w:ind w:firstLine="420" w:firstLineChars="150"/>
        <w:rPr>
          <w:rFonts w:hint="eastAsia" w:eastAsia="宋体"/>
          <w:sz w:val="28"/>
          <w:szCs w:val="28"/>
          <w:lang w:eastAsia="zh-CN"/>
        </w:rPr>
      </w:pPr>
      <w:r>
        <w:rPr>
          <w:rFonts w:hint="eastAsia"/>
          <w:sz w:val="28"/>
          <w:szCs w:val="28"/>
        </w:rPr>
        <w:t xml:space="preserve"> </w:t>
      </w:r>
      <w:r>
        <w:rPr>
          <w:rFonts w:hint="eastAsia"/>
          <w:sz w:val="28"/>
          <w:szCs w:val="28"/>
          <w:lang w:val="en-US" w:eastAsia="zh-CN"/>
        </w:rPr>
        <w:t>2021</w:t>
      </w:r>
      <w:r>
        <w:rPr>
          <w:rFonts w:hint="eastAsia"/>
          <w:sz w:val="28"/>
          <w:szCs w:val="28"/>
        </w:rPr>
        <w:t>年度财政拨款支出</w:t>
      </w:r>
      <w:r>
        <w:rPr>
          <w:rFonts w:hint="eastAsia"/>
          <w:sz w:val="28"/>
          <w:szCs w:val="28"/>
          <w:lang w:val="en-US" w:eastAsia="zh-CN"/>
        </w:rPr>
        <w:t>2303.51</w:t>
      </w:r>
      <w:r>
        <w:rPr>
          <w:rFonts w:hint="eastAsia"/>
          <w:sz w:val="28"/>
          <w:szCs w:val="28"/>
        </w:rPr>
        <w:t>万元，主要用于以下方面：社会保障和就业（类）支出</w:t>
      </w:r>
      <w:r>
        <w:rPr>
          <w:rFonts w:hint="eastAsia"/>
          <w:sz w:val="28"/>
          <w:szCs w:val="28"/>
          <w:lang w:val="en-US" w:eastAsia="zh-CN"/>
        </w:rPr>
        <w:t>137.19</w:t>
      </w:r>
      <w:r>
        <w:rPr>
          <w:rFonts w:hint="eastAsia"/>
          <w:sz w:val="28"/>
          <w:szCs w:val="28"/>
        </w:rPr>
        <w:t xml:space="preserve">万元，占 </w:t>
      </w:r>
      <w:r>
        <w:rPr>
          <w:rFonts w:hint="eastAsia"/>
          <w:sz w:val="28"/>
          <w:szCs w:val="28"/>
          <w:lang w:val="en-US" w:eastAsia="zh-CN"/>
        </w:rPr>
        <w:t>5.96</w:t>
      </w:r>
      <w:r>
        <w:rPr>
          <w:rFonts w:hint="eastAsia"/>
          <w:sz w:val="28"/>
          <w:szCs w:val="28"/>
        </w:rPr>
        <w:t xml:space="preserve">%；卫生健康（类）支出 </w:t>
      </w:r>
      <w:r>
        <w:rPr>
          <w:rFonts w:hint="eastAsia"/>
          <w:sz w:val="28"/>
          <w:szCs w:val="28"/>
          <w:lang w:val="en-US" w:eastAsia="zh-CN"/>
        </w:rPr>
        <w:t>44.59</w:t>
      </w:r>
      <w:r>
        <w:rPr>
          <w:rFonts w:hint="eastAsia"/>
          <w:sz w:val="28"/>
          <w:szCs w:val="28"/>
        </w:rPr>
        <w:t>万元，占</w:t>
      </w:r>
      <w:r>
        <w:rPr>
          <w:rFonts w:hint="eastAsia"/>
          <w:sz w:val="28"/>
          <w:szCs w:val="28"/>
          <w:lang w:val="en-US" w:eastAsia="zh-CN"/>
        </w:rPr>
        <w:t>1.94%</w:t>
      </w:r>
      <w:r>
        <w:rPr>
          <w:rFonts w:hint="eastAsia"/>
          <w:sz w:val="28"/>
          <w:szCs w:val="28"/>
        </w:rPr>
        <w:t>；</w:t>
      </w:r>
      <w:r>
        <w:rPr>
          <w:rFonts w:hint="eastAsia"/>
          <w:sz w:val="28"/>
          <w:szCs w:val="28"/>
          <w:lang w:eastAsia="zh-CN"/>
        </w:rPr>
        <w:t>城乡社区支出</w:t>
      </w:r>
      <w:r>
        <w:rPr>
          <w:rFonts w:hint="eastAsia"/>
          <w:sz w:val="28"/>
          <w:szCs w:val="28"/>
          <w:lang w:val="en-US" w:eastAsia="zh-CN"/>
        </w:rPr>
        <w:t>19.13万元，占0.83%，</w:t>
      </w:r>
      <w:r>
        <w:rPr>
          <w:rFonts w:hint="eastAsia"/>
          <w:sz w:val="28"/>
          <w:szCs w:val="28"/>
        </w:rPr>
        <w:t xml:space="preserve">农林水（类）支出 </w:t>
      </w:r>
      <w:r>
        <w:rPr>
          <w:rFonts w:hint="eastAsia"/>
          <w:sz w:val="28"/>
          <w:szCs w:val="28"/>
          <w:lang w:val="en-US" w:eastAsia="zh-CN"/>
        </w:rPr>
        <w:t>341.91</w:t>
      </w:r>
      <w:r>
        <w:rPr>
          <w:rFonts w:hint="eastAsia"/>
          <w:sz w:val="28"/>
          <w:szCs w:val="28"/>
        </w:rPr>
        <w:t xml:space="preserve">万元，占 </w:t>
      </w:r>
      <w:r>
        <w:rPr>
          <w:rFonts w:hint="eastAsia"/>
          <w:sz w:val="28"/>
          <w:szCs w:val="28"/>
          <w:lang w:val="en-US" w:eastAsia="zh-CN"/>
        </w:rPr>
        <w:t>14.84</w:t>
      </w:r>
      <w:r>
        <w:rPr>
          <w:rFonts w:hint="eastAsia"/>
          <w:sz w:val="28"/>
          <w:szCs w:val="28"/>
        </w:rPr>
        <w:t>%;住房保障（类）支出</w:t>
      </w:r>
      <w:r>
        <w:rPr>
          <w:rFonts w:hint="eastAsia"/>
          <w:sz w:val="28"/>
          <w:szCs w:val="28"/>
          <w:lang w:val="en-US" w:eastAsia="zh-CN"/>
        </w:rPr>
        <w:t>95.94</w:t>
      </w:r>
      <w:r>
        <w:rPr>
          <w:rFonts w:hint="eastAsia"/>
          <w:sz w:val="28"/>
          <w:szCs w:val="28"/>
        </w:rPr>
        <w:t>万元，占</w:t>
      </w:r>
      <w:r>
        <w:rPr>
          <w:rFonts w:hint="eastAsia"/>
          <w:sz w:val="28"/>
          <w:szCs w:val="28"/>
          <w:lang w:val="en-US" w:eastAsia="zh-CN"/>
        </w:rPr>
        <w:t>4.16</w:t>
      </w:r>
      <w:r>
        <w:rPr>
          <w:rFonts w:hint="eastAsia"/>
          <w:sz w:val="28"/>
          <w:szCs w:val="28"/>
        </w:rPr>
        <w:t xml:space="preserve">%；灾害防治及应急管理（类）支出 </w:t>
      </w:r>
      <w:r>
        <w:rPr>
          <w:rFonts w:hint="eastAsia"/>
          <w:sz w:val="28"/>
          <w:szCs w:val="28"/>
          <w:lang w:val="en-US" w:eastAsia="zh-CN"/>
        </w:rPr>
        <w:t>1637.4</w:t>
      </w:r>
      <w:r>
        <w:rPr>
          <w:rFonts w:hint="eastAsia"/>
          <w:sz w:val="28"/>
          <w:szCs w:val="28"/>
        </w:rPr>
        <w:t xml:space="preserve">万元，占 </w:t>
      </w:r>
      <w:r>
        <w:rPr>
          <w:rFonts w:hint="eastAsia"/>
          <w:sz w:val="28"/>
          <w:szCs w:val="28"/>
          <w:lang w:val="en-US" w:eastAsia="zh-CN"/>
        </w:rPr>
        <w:t>71.08</w:t>
      </w:r>
      <w:r>
        <w:rPr>
          <w:rFonts w:hint="eastAsia"/>
          <w:sz w:val="28"/>
          <w:szCs w:val="28"/>
        </w:rPr>
        <w:t xml:space="preserve"> %；其他（类）支出 </w:t>
      </w:r>
      <w:r>
        <w:rPr>
          <w:rFonts w:hint="eastAsia"/>
          <w:sz w:val="28"/>
          <w:szCs w:val="28"/>
          <w:lang w:val="en-US" w:eastAsia="zh-CN"/>
        </w:rPr>
        <w:t>27.35</w:t>
      </w:r>
      <w:r>
        <w:rPr>
          <w:rFonts w:hint="eastAsia"/>
          <w:sz w:val="28"/>
          <w:szCs w:val="28"/>
        </w:rPr>
        <w:t xml:space="preserve">万元，占 </w:t>
      </w:r>
      <w:r>
        <w:rPr>
          <w:rFonts w:hint="eastAsia"/>
          <w:sz w:val="28"/>
          <w:szCs w:val="28"/>
          <w:lang w:val="en-US" w:eastAsia="zh-CN"/>
        </w:rPr>
        <w:t>1.19</w:t>
      </w:r>
      <w:r>
        <w:rPr>
          <w:rFonts w:hint="eastAsia"/>
          <w:sz w:val="28"/>
          <w:szCs w:val="28"/>
        </w:rPr>
        <w:t xml:space="preserve"> %</w:t>
      </w:r>
      <w:r>
        <w:rPr>
          <w:rFonts w:hint="eastAsia"/>
          <w:sz w:val="28"/>
          <w:szCs w:val="28"/>
          <w:lang w:eastAsia="zh-CN"/>
        </w:rPr>
        <w:t>。</w:t>
      </w:r>
    </w:p>
    <w:p>
      <w:pPr>
        <w:ind w:firstLine="560" w:firstLineChars="200"/>
        <w:rPr>
          <w:rFonts w:hint="eastAsia"/>
          <w:sz w:val="28"/>
          <w:szCs w:val="28"/>
        </w:rPr>
      </w:pPr>
      <w:r>
        <w:rPr>
          <w:rFonts w:hint="eastAsia"/>
          <w:sz w:val="28"/>
          <w:szCs w:val="28"/>
        </w:rPr>
        <w:t>（三）财政拨款支出决算具体情况</w:t>
      </w:r>
    </w:p>
    <w:p>
      <w:pPr>
        <w:rPr>
          <w:rFonts w:hint="eastAsia"/>
          <w:sz w:val="28"/>
          <w:szCs w:val="28"/>
        </w:rPr>
      </w:pPr>
      <w:r>
        <w:rPr>
          <w:rFonts w:hint="eastAsia"/>
          <w:sz w:val="28"/>
          <w:szCs w:val="28"/>
        </w:rPr>
        <w:t xml:space="preserve"> </w:t>
      </w:r>
      <w:r>
        <w:rPr>
          <w:rFonts w:hint="default"/>
          <w:sz w:val="28"/>
          <w:szCs w:val="28"/>
          <w:lang w:val="en"/>
        </w:rPr>
        <w:t xml:space="preserve">    </w:t>
      </w:r>
      <w:r>
        <w:rPr>
          <w:rFonts w:hint="eastAsia"/>
          <w:sz w:val="28"/>
          <w:szCs w:val="28"/>
          <w:lang w:val="en-US" w:eastAsia="zh-CN"/>
        </w:rPr>
        <w:t>2021</w:t>
      </w:r>
      <w:r>
        <w:rPr>
          <w:rFonts w:hint="eastAsia"/>
          <w:sz w:val="28"/>
          <w:szCs w:val="28"/>
        </w:rPr>
        <w:t>年度财政拨款支出年初预算</w:t>
      </w:r>
      <w:r>
        <w:rPr>
          <w:rFonts w:hint="eastAsia"/>
          <w:sz w:val="28"/>
          <w:szCs w:val="28"/>
          <w:lang w:val="en-US" w:eastAsia="zh-CN"/>
        </w:rPr>
        <w:t>2399.75</w:t>
      </w:r>
      <w:r>
        <w:rPr>
          <w:rFonts w:hint="eastAsia"/>
          <w:sz w:val="28"/>
          <w:szCs w:val="28"/>
        </w:rPr>
        <w:t>万元，支出决算</w:t>
      </w:r>
      <w:r>
        <w:rPr>
          <w:rFonts w:hint="eastAsia"/>
          <w:sz w:val="28"/>
          <w:szCs w:val="28"/>
          <w:lang w:val="en-US" w:eastAsia="zh-CN"/>
        </w:rPr>
        <w:t>2303.51</w:t>
      </w:r>
      <w:r>
        <w:rPr>
          <w:rFonts w:hint="eastAsia"/>
          <w:sz w:val="28"/>
          <w:szCs w:val="28"/>
        </w:rPr>
        <w:t xml:space="preserve">万元，完成年初预算的 </w:t>
      </w:r>
      <w:r>
        <w:rPr>
          <w:rFonts w:hint="eastAsia"/>
          <w:sz w:val="28"/>
          <w:szCs w:val="28"/>
          <w:lang w:val="en-US" w:eastAsia="zh-CN"/>
        </w:rPr>
        <w:t>96.8</w:t>
      </w:r>
      <w:r>
        <w:rPr>
          <w:rFonts w:hint="eastAsia"/>
          <w:sz w:val="28"/>
          <w:szCs w:val="28"/>
        </w:rPr>
        <w:t>%。其中：</w:t>
      </w:r>
    </w:p>
    <w:p>
      <w:pPr>
        <w:ind w:firstLine="420" w:firstLineChars="150"/>
        <w:rPr>
          <w:rFonts w:hint="eastAsia" w:eastAsia="宋体"/>
          <w:sz w:val="28"/>
          <w:szCs w:val="28"/>
          <w:lang w:eastAsia="zh-CN"/>
        </w:rPr>
      </w:pPr>
      <w:r>
        <w:rPr>
          <w:rFonts w:hint="eastAsia"/>
          <w:sz w:val="28"/>
          <w:szCs w:val="28"/>
        </w:rPr>
        <w:t>社会保障和就业（类）支出</w:t>
      </w:r>
      <w:r>
        <w:rPr>
          <w:rFonts w:hint="eastAsia"/>
          <w:sz w:val="28"/>
          <w:szCs w:val="28"/>
          <w:lang w:eastAsia="zh-CN"/>
        </w:rPr>
        <w:t>年初预算</w:t>
      </w:r>
      <w:r>
        <w:rPr>
          <w:rFonts w:hint="eastAsia"/>
          <w:sz w:val="28"/>
          <w:szCs w:val="28"/>
          <w:lang w:val="en-US" w:eastAsia="zh-CN"/>
        </w:rPr>
        <w:t>149.06万元，</w:t>
      </w:r>
      <w:r>
        <w:rPr>
          <w:rFonts w:hint="eastAsia"/>
          <w:sz w:val="28"/>
          <w:szCs w:val="28"/>
          <w:lang w:eastAsia="zh-CN"/>
        </w:rPr>
        <w:t>支出决算</w:t>
      </w:r>
      <w:r>
        <w:rPr>
          <w:rFonts w:hint="eastAsia"/>
          <w:sz w:val="28"/>
          <w:szCs w:val="28"/>
          <w:lang w:val="en-US" w:eastAsia="zh-CN"/>
        </w:rPr>
        <w:t>137.19</w:t>
      </w:r>
      <w:r>
        <w:rPr>
          <w:rFonts w:hint="eastAsia"/>
          <w:sz w:val="28"/>
          <w:szCs w:val="28"/>
        </w:rPr>
        <w:t>万元，</w:t>
      </w:r>
      <w:r>
        <w:rPr>
          <w:rFonts w:hint="eastAsia"/>
          <w:sz w:val="28"/>
          <w:szCs w:val="28"/>
          <w:lang w:eastAsia="zh-CN"/>
        </w:rPr>
        <w:t>完成年初预算的</w:t>
      </w:r>
      <w:r>
        <w:rPr>
          <w:rFonts w:hint="eastAsia"/>
          <w:sz w:val="28"/>
          <w:szCs w:val="28"/>
          <w:lang w:val="en-US" w:eastAsia="zh-CN"/>
        </w:rPr>
        <w:t>92.04</w:t>
      </w:r>
      <w:r>
        <w:rPr>
          <w:rFonts w:hint="eastAsia"/>
          <w:sz w:val="28"/>
          <w:szCs w:val="28"/>
        </w:rPr>
        <w:t xml:space="preserve"> %；卫生健康（类）支出</w:t>
      </w:r>
      <w:r>
        <w:rPr>
          <w:rFonts w:hint="eastAsia"/>
          <w:sz w:val="28"/>
          <w:szCs w:val="28"/>
          <w:lang w:eastAsia="zh-CN"/>
        </w:rPr>
        <w:t>年初预算</w:t>
      </w:r>
      <w:r>
        <w:rPr>
          <w:rFonts w:hint="eastAsia"/>
          <w:sz w:val="28"/>
          <w:szCs w:val="28"/>
          <w:lang w:val="en-US" w:eastAsia="zh-CN"/>
        </w:rPr>
        <w:t>49.37万元，支出</w:t>
      </w:r>
      <w:r>
        <w:rPr>
          <w:rFonts w:hint="eastAsia"/>
          <w:sz w:val="28"/>
          <w:szCs w:val="28"/>
          <w:lang w:eastAsia="zh-CN"/>
        </w:rPr>
        <w:t>决算</w:t>
      </w:r>
      <w:r>
        <w:rPr>
          <w:rFonts w:hint="eastAsia"/>
          <w:sz w:val="28"/>
          <w:szCs w:val="28"/>
        </w:rPr>
        <w:t xml:space="preserve"> </w:t>
      </w:r>
      <w:r>
        <w:rPr>
          <w:rFonts w:hint="eastAsia"/>
          <w:sz w:val="28"/>
          <w:szCs w:val="28"/>
          <w:lang w:val="en-US" w:eastAsia="zh-CN"/>
        </w:rPr>
        <w:t>44.59</w:t>
      </w:r>
      <w:r>
        <w:rPr>
          <w:rFonts w:hint="eastAsia"/>
          <w:sz w:val="28"/>
          <w:szCs w:val="28"/>
        </w:rPr>
        <w:t>万元，</w:t>
      </w:r>
      <w:r>
        <w:rPr>
          <w:rFonts w:hint="eastAsia"/>
          <w:sz w:val="28"/>
          <w:szCs w:val="28"/>
          <w:lang w:eastAsia="zh-CN"/>
        </w:rPr>
        <w:t>完成年初预算的</w:t>
      </w:r>
      <w:r>
        <w:rPr>
          <w:rFonts w:hint="eastAsia"/>
          <w:sz w:val="28"/>
          <w:szCs w:val="28"/>
          <w:lang w:val="en-US" w:eastAsia="zh-CN"/>
        </w:rPr>
        <w:t>90.32</w:t>
      </w:r>
      <w:r>
        <w:rPr>
          <w:rFonts w:hint="eastAsia"/>
          <w:sz w:val="28"/>
          <w:szCs w:val="28"/>
        </w:rPr>
        <w:t>%；</w:t>
      </w:r>
      <w:r>
        <w:rPr>
          <w:rFonts w:hint="eastAsia"/>
          <w:sz w:val="28"/>
          <w:szCs w:val="28"/>
          <w:lang w:eastAsia="zh-CN"/>
        </w:rPr>
        <w:t>农林水支出年初预算</w:t>
      </w:r>
      <w:r>
        <w:rPr>
          <w:rFonts w:hint="eastAsia"/>
          <w:sz w:val="28"/>
          <w:szCs w:val="28"/>
          <w:lang w:val="en-US" w:eastAsia="zh-CN"/>
        </w:rPr>
        <w:t>350万元，支出决算341.91万元，完成年初预算的97.69%，城乡社区支出年初预算0，支出决算19.13万元，</w:t>
      </w:r>
      <w:r>
        <w:rPr>
          <w:rFonts w:hint="eastAsia"/>
          <w:sz w:val="28"/>
          <w:szCs w:val="28"/>
        </w:rPr>
        <w:t>住房保障（类）</w:t>
      </w:r>
      <w:r>
        <w:rPr>
          <w:rFonts w:hint="eastAsia"/>
          <w:sz w:val="28"/>
          <w:szCs w:val="28"/>
          <w:lang w:eastAsia="zh-CN"/>
        </w:rPr>
        <w:t>年初预算</w:t>
      </w:r>
      <w:r>
        <w:rPr>
          <w:rFonts w:hint="eastAsia"/>
          <w:sz w:val="28"/>
          <w:szCs w:val="28"/>
          <w:lang w:val="en-US" w:eastAsia="zh-CN"/>
        </w:rPr>
        <w:t>87.64万元，</w:t>
      </w:r>
      <w:r>
        <w:rPr>
          <w:rFonts w:hint="eastAsia"/>
          <w:sz w:val="28"/>
          <w:szCs w:val="28"/>
        </w:rPr>
        <w:t>支出</w:t>
      </w:r>
      <w:r>
        <w:rPr>
          <w:rFonts w:hint="eastAsia"/>
          <w:sz w:val="28"/>
          <w:szCs w:val="28"/>
          <w:lang w:eastAsia="zh-CN"/>
        </w:rPr>
        <w:t>决算</w:t>
      </w:r>
      <w:r>
        <w:rPr>
          <w:rFonts w:hint="eastAsia"/>
          <w:sz w:val="28"/>
          <w:szCs w:val="28"/>
          <w:lang w:val="en-US" w:eastAsia="zh-CN"/>
        </w:rPr>
        <w:t>95.94</w:t>
      </w:r>
      <w:r>
        <w:rPr>
          <w:rFonts w:hint="eastAsia"/>
          <w:sz w:val="28"/>
          <w:szCs w:val="28"/>
        </w:rPr>
        <w:t>万元，</w:t>
      </w:r>
      <w:r>
        <w:rPr>
          <w:rFonts w:hint="eastAsia"/>
          <w:sz w:val="28"/>
          <w:szCs w:val="28"/>
          <w:lang w:eastAsia="zh-CN"/>
        </w:rPr>
        <w:t>完成年初预算的</w:t>
      </w:r>
      <w:r>
        <w:rPr>
          <w:rFonts w:hint="eastAsia"/>
          <w:sz w:val="28"/>
          <w:szCs w:val="28"/>
          <w:lang w:val="en-US" w:eastAsia="zh-CN"/>
        </w:rPr>
        <w:t>109.47</w:t>
      </w:r>
      <w:r>
        <w:rPr>
          <w:rFonts w:hint="eastAsia"/>
          <w:sz w:val="28"/>
          <w:szCs w:val="28"/>
        </w:rPr>
        <w:t>%；灾害防治及应急管理（类）</w:t>
      </w:r>
      <w:r>
        <w:rPr>
          <w:rFonts w:hint="eastAsia"/>
          <w:sz w:val="28"/>
          <w:szCs w:val="28"/>
          <w:lang w:eastAsia="zh-CN"/>
        </w:rPr>
        <w:t>年初预算</w:t>
      </w:r>
      <w:r>
        <w:rPr>
          <w:rFonts w:hint="eastAsia"/>
          <w:sz w:val="28"/>
          <w:szCs w:val="28"/>
          <w:lang w:val="en-US" w:eastAsia="zh-CN"/>
        </w:rPr>
        <w:t>1763.68万元，</w:t>
      </w:r>
      <w:r>
        <w:rPr>
          <w:rFonts w:hint="eastAsia"/>
          <w:sz w:val="28"/>
          <w:szCs w:val="28"/>
        </w:rPr>
        <w:t>支出</w:t>
      </w:r>
      <w:r>
        <w:rPr>
          <w:rFonts w:hint="eastAsia"/>
          <w:sz w:val="28"/>
          <w:szCs w:val="28"/>
          <w:lang w:eastAsia="zh-CN"/>
        </w:rPr>
        <w:t>决算</w:t>
      </w:r>
      <w:r>
        <w:rPr>
          <w:rFonts w:hint="eastAsia"/>
          <w:sz w:val="28"/>
          <w:szCs w:val="28"/>
          <w:lang w:val="en-US" w:eastAsia="zh-CN"/>
        </w:rPr>
        <w:t>1637.4</w:t>
      </w:r>
      <w:r>
        <w:rPr>
          <w:rFonts w:hint="eastAsia"/>
          <w:sz w:val="28"/>
          <w:szCs w:val="28"/>
        </w:rPr>
        <w:t xml:space="preserve"> 万元，</w:t>
      </w:r>
      <w:r>
        <w:rPr>
          <w:rFonts w:hint="eastAsia"/>
          <w:sz w:val="28"/>
          <w:szCs w:val="28"/>
          <w:lang w:eastAsia="zh-CN"/>
        </w:rPr>
        <w:t>完成年初预算的</w:t>
      </w:r>
      <w:r>
        <w:rPr>
          <w:rFonts w:hint="eastAsia"/>
          <w:sz w:val="28"/>
          <w:szCs w:val="28"/>
          <w:lang w:val="en-US" w:eastAsia="zh-CN"/>
        </w:rPr>
        <w:t>92.84</w:t>
      </w:r>
      <w:r>
        <w:rPr>
          <w:rFonts w:hint="eastAsia"/>
          <w:sz w:val="28"/>
          <w:szCs w:val="28"/>
        </w:rPr>
        <w:t>%；其他（类）</w:t>
      </w:r>
      <w:r>
        <w:rPr>
          <w:rFonts w:hint="eastAsia"/>
          <w:sz w:val="28"/>
          <w:szCs w:val="28"/>
          <w:lang w:eastAsia="zh-CN"/>
        </w:rPr>
        <w:t>年初预算</w:t>
      </w:r>
      <w:r>
        <w:rPr>
          <w:rFonts w:hint="eastAsia"/>
          <w:sz w:val="28"/>
          <w:szCs w:val="28"/>
          <w:lang w:val="en-US" w:eastAsia="zh-CN"/>
        </w:rPr>
        <w:t>0，决算</w:t>
      </w:r>
      <w:r>
        <w:rPr>
          <w:rFonts w:hint="eastAsia"/>
          <w:sz w:val="28"/>
          <w:szCs w:val="28"/>
        </w:rPr>
        <w:t xml:space="preserve">支出 </w:t>
      </w:r>
      <w:r>
        <w:rPr>
          <w:rFonts w:hint="eastAsia"/>
          <w:sz w:val="28"/>
          <w:szCs w:val="28"/>
          <w:lang w:val="en-US" w:eastAsia="zh-CN"/>
        </w:rPr>
        <w:t>27.35</w:t>
      </w:r>
      <w:r>
        <w:rPr>
          <w:rFonts w:hint="eastAsia"/>
          <w:sz w:val="28"/>
          <w:szCs w:val="28"/>
        </w:rPr>
        <w:t>万元</w:t>
      </w:r>
      <w:r>
        <w:rPr>
          <w:rFonts w:hint="eastAsia"/>
          <w:sz w:val="28"/>
          <w:szCs w:val="28"/>
          <w:lang w:eastAsia="zh-CN"/>
        </w:rPr>
        <w:t>。</w:t>
      </w:r>
    </w:p>
    <w:p>
      <w:pPr>
        <w:ind w:firstLine="560" w:firstLineChars="200"/>
        <w:rPr>
          <w:rFonts w:hint="eastAsia"/>
          <w:sz w:val="28"/>
          <w:szCs w:val="28"/>
        </w:rPr>
      </w:pPr>
      <w:r>
        <w:rPr>
          <w:rFonts w:hint="eastAsia"/>
          <w:sz w:val="28"/>
          <w:szCs w:val="28"/>
        </w:rPr>
        <w:t>六、一般公共预算财政拨款基本支出决算情况说明</w:t>
      </w:r>
    </w:p>
    <w:p>
      <w:pPr>
        <w:ind w:firstLine="420" w:firstLineChars="150"/>
        <w:rPr>
          <w:rFonts w:hint="default" w:eastAsia="宋体"/>
          <w:sz w:val="28"/>
          <w:szCs w:val="28"/>
          <w:lang w:val="en-US" w:eastAsia="zh-CN"/>
        </w:rPr>
      </w:pPr>
      <w:r>
        <w:rPr>
          <w:rFonts w:hint="eastAsia"/>
          <w:sz w:val="28"/>
          <w:szCs w:val="28"/>
        </w:rPr>
        <w:t xml:space="preserve"> </w:t>
      </w:r>
      <w:r>
        <w:rPr>
          <w:rFonts w:hint="eastAsia"/>
          <w:sz w:val="28"/>
          <w:szCs w:val="28"/>
          <w:lang w:val="en-US" w:eastAsia="zh-CN"/>
        </w:rPr>
        <w:t>2021</w:t>
      </w:r>
      <w:r>
        <w:rPr>
          <w:rFonts w:hint="eastAsia"/>
          <w:sz w:val="28"/>
          <w:szCs w:val="28"/>
        </w:rPr>
        <w:t>年度财政拨款基本支出</w:t>
      </w:r>
      <w:r>
        <w:rPr>
          <w:rFonts w:hint="eastAsia"/>
          <w:sz w:val="28"/>
          <w:szCs w:val="28"/>
          <w:lang w:val="en-US" w:eastAsia="zh-CN"/>
        </w:rPr>
        <w:t>1292.67</w:t>
      </w:r>
      <w:r>
        <w:rPr>
          <w:rFonts w:hint="eastAsia"/>
          <w:sz w:val="28"/>
          <w:szCs w:val="28"/>
        </w:rPr>
        <w:t xml:space="preserve">万元，其中：人员经费 </w:t>
      </w:r>
      <w:r>
        <w:rPr>
          <w:rFonts w:hint="eastAsia"/>
          <w:sz w:val="28"/>
          <w:szCs w:val="28"/>
          <w:lang w:val="en-US" w:eastAsia="zh-CN"/>
        </w:rPr>
        <w:t>1142.04</w:t>
      </w:r>
      <w:r>
        <w:rPr>
          <w:rFonts w:hint="eastAsia"/>
          <w:sz w:val="28"/>
          <w:szCs w:val="28"/>
        </w:rPr>
        <w:t>万元，主要包括</w:t>
      </w:r>
      <w:r>
        <w:rPr>
          <w:rFonts w:hint="eastAsia"/>
          <w:sz w:val="28"/>
          <w:szCs w:val="28"/>
          <w:lang w:eastAsia="zh-CN"/>
        </w:rPr>
        <w:t>基本工资、津贴补贴、奖金、绩效工资、养老保险、职业年金、医疗保险、住房公积金等。</w:t>
      </w:r>
      <w:r>
        <w:rPr>
          <w:rFonts w:hint="eastAsia"/>
          <w:sz w:val="28"/>
          <w:szCs w:val="28"/>
        </w:rPr>
        <w:t>公用经费</w:t>
      </w:r>
      <w:r>
        <w:rPr>
          <w:rFonts w:hint="eastAsia"/>
          <w:sz w:val="28"/>
          <w:szCs w:val="28"/>
          <w:lang w:val="en-US" w:eastAsia="zh-CN"/>
        </w:rPr>
        <w:t>144.40</w:t>
      </w:r>
      <w:r>
        <w:rPr>
          <w:rFonts w:hint="eastAsia"/>
          <w:sz w:val="28"/>
          <w:szCs w:val="28"/>
        </w:rPr>
        <w:t>万元，主要包括</w:t>
      </w:r>
      <w:r>
        <w:rPr>
          <w:rFonts w:hint="eastAsia"/>
          <w:sz w:val="28"/>
          <w:szCs w:val="28"/>
          <w:lang w:eastAsia="zh-CN"/>
        </w:rPr>
        <w:t>办公费、印刷费、水电费、邮电费、差旅费、工会经费、福利费、公务车运行维护费、其他交通费等</w:t>
      </w:r>
      <w:r>
        <w:rPr>
          <w:rFonts w:hint="eastAsia"/>
          <w:sz w:val="28"/>
          <w:szCs w:val="28"/>
        </w:rPr>
        <w:t>。</w:t>
      </w:r>
      <w:r>
        <w:rPr>
          <w:rFonts w:hint="eastAsia"/>
          <w:sz w:val="28"/>
          <w:szCs w:val="28"/>
          <w:lang w:eastAsia="zh-CN"/>
        </w:rPr>
        <w:t>对个人和家庭的补助</w:t>
      </w:r>
      <w:r>
        <w:rPr>
          <w:rFonts w:hint="eastAsia"/>
          <w:sz w:val="28"/>
          <w:szCs w:val="28"/>
          <w:lang w:val="en-US" w:eastAsia="zh-CN"/>
        </w:rPr>
        <w:t>6.23万元，主要包括离休费、退休费、抚恤金、生活补助、奖励金等。</w:t>
      </w:r>
    </w:p>
    <w:p>
      <w:pPr>
        <w:numPr>
          <w:ilvl w:val="0"/>
          <w:numId w:val="4"/>
        </w:numPr>
        <w:ind w:firstLine="700" w:firstLineChars="250"/>
        <w:rPr>
          <w:rFonts w:hint="eastAsia"/>
          <w:sz w:val="28"/>
          <w:szCs w:val="28"/>
        </w:rPr>
      </w:pPr>
      <w:r>
        <w:rPr>
          <w:rFonts w:hint="eastAsia"/>
          <w:sz w:val="28"/>
          <w:szCs w:val="28"/>
        </w:rPr>
        <w:t>一般公共预算财政拨款“三公”经费支出决算情况说明</w:t>
      </w:r>
    </w:p>
    <w:p>
      <w:pPr>
        <w:numPr>
          <w:ilvl w:val="0"/>
          <w:numId w:val="5"/>
        </w:numPr>
        <w:ind w:firstLine="700" w:firstLineChars="250"/>
        <w:rPr>
          <w:rFonts w:hint="eastAsia"/>
          <w:sz w:val="28"/>
          <w:szCs w:val="28"/>
        </w:rPr>
      </w:pPr>
      <w:r>
        <w:rPr>
          <w:rFonts w:hint="eastAsia"/>
          <w:sz w:val="28"/>
          <w:szCs w:val="28"/>
        </w:rPr>
        <w:t xml:space="preserve">“三公”经费财政拨款支出决算总体情况说明。 </w:t>
      </w:r>
    </w:p>
    <w:p>
      <w:pPr>
        <w:numPr>
          <w:ilvl w:val="0"/>
          <w:numId w:val="0"/>
        </w:numPr>
        <w:ind w:firstLine="700" w:firstLineChars="250"/>
        <w:rPr>
          <w:rFonts w:hint="eastAsia" w:eastAsia="宋体"/>
          <w:sz w:val="28"/>
          <w:szCs w:val="28"/>
          <w:lang w:eastAsia="zh-CN"/>
        </w:rPr>
      </w:pPr>
      <w:r>
        <w:rPr>
          <w:rFonts w:hint="eastAsia"/>
          <w:sz w:val="28"/>
          <w:szCs w:val="28"/>
          <w:lang w:val="en-US" w:eastAsia="zh-CN"/>
        </w:rPr>
        <w:t>2021</w:t>
      </w:r>
      <w:r>
        <w:rPr>
          <w:rFonts w:hint="eastAsia"/>
          <w:sz w:val="28"/>
          <w:szCs w:val="28"/>
        </w:rPr>
        <w:t>年度“三公”经费财政拨款支出预算</w:t>
      </w:r>
      <w:r>
        <w:rPr>
          <w:rFonts w:hint="eastAsia"/>
          <w:sz w:val="28"/>
          <w:szCs w:val="28"/>
          <w:lang w:val="en-US" w:eastAsia="zh-CN"/>
        </w:rPr>
        <w:t>10.5</w:t>
      </w:r>
      <w:r>
        <w:rPr>
          <w:rFonts w:hint="eastAsia"/>
          <w:sz w:val="28"/>
          <w:szCs w:val="28"/>
        </w:rPr>
        <w:t xml:space="preserve">万元，支出决算 </w:t>
      </w:r>
      <w:r>
        <w:rPr>
          <w:rFonts w:hint="eastAsia"/>
          <w:sz w:val="28"/>
          <w:szCs w:val="28"/>
          <w:lang w:val="en-US" w:eastAsia="zh-CN"/>
        </w:rPr>
        <w:t>10.5</w:t>
      </w:r>
      <w:r>
        <w:rPr>
          <w:rFonts w:hint="eastAsia"/>
          <w:sz w:val="28"/>
          <w:szCs w:val="28"/>
        </w:rPr>
        <w:t>万元，完成预算的</w:t>
      </w:r>
      <w:r>
        <w:rPr>
          <w:rFonts w:hint="eastAsia"/>
          <w:sz w:val="28"/>
          <w:szCs w:val="28"/>
          <w:lang w:val="en-US" w:eastAsia="zh-CN"/>
        </w:rPr>
        <w:t>100</w:t>
      </w:r>
      <w:r>
        <w:rPr>
          <w:rFonts w:hint="eastAsia"/>
          <w:sz w:val="28"/>
          <w:szCs w:val="28"/>
        </w:rPr>
        <w:t xml:space="preserve"> %，主要原因是</w:t>
      </w:r>
      <w:r>
        <w:rPr>
          <w:rFonts w:hint="eastAsia"/>
          <w:sz w:val="28"/>
          <w:szCs w:val="28"/>
          <w:lang w:eastAsia="zh-CN"/>
        </w:rPr>
        <w:t>公务用车运行维护费。</w:t>
      </w:r>
    </w:p>
    <w:p>
      <w:pPr>
        <w:numPr>
          <w:ilvl w:val="0"/>
          <w:numId w:val="5"/>
        </w:numPr>
        <w:ind w:left="0" w:leftChars="0" w:firstLine="700" w:firstLineChars="250"/>
        <w:rPr>
          <w:rFonts w:hint="eastAsia"/>
          <w:sz w:val="28"/>
          <w:szCs w:val="28"/>
        </w:rPr>
      </w:pPr>
      <w:r>
        <w:rPr>
          <w:rFonts w:hint="eastAsia"/>
          <w:sz w:val="28"/>
          <w:szCs w:val="28"/>
        </w:rPr>
        <w:t>“三公”经费财政拨款支出决算具体情况说明。</w:t>
      </w:r>
    </w:p>
    <w:p>
      <w:pPr>
        <w:ind w:firstLine="700" w:firstLineChars="250"/>
        <w:rPr>
          <w:rFonts w:hint="default" w:eastAsia="宋体"/>
          <w:sz w:val="28"/>
          <w:szCs w:val="28"/>
          <w:lang w:val="en-US" w:eastAsia="zh-CN"/>
        </w:rPr>
      </w:pPr>
      <w:r>
        <w:rPr>
          <w:rFonts w:hint="eastAsia"/>
          <w:sz w:val="28"/>
          <w:szCs w:val="28"/>
          <w:lang w:val="en-US" w:eastAsia="zh-CN"/>
        </w:rPr>
        <w:t>2021</w:t>
      </w:r>
      <w:r>
        <w:rPr>
          <w:rFonts w:hint="eastAsia"/>
          <w:sz w:val="28"/>
          <w:szCs w:val="28"/>
        </w:rPr>
        <w:t>年度“三公”经费财政拨款预算</w:t>
      </w:r>
      <w:r>
        <w:rPr>
          <w:rFonts w:hint="eastAsia"/>
          <w:sz w:val="28"/>
          <w:szCs w:val="28"/>
          <w:lang w:val="en-US" w:eastAsia="zh-CN"/>
        </w:rPr>
        <w:t>10.5</w:t>
      </w:r>
      <w:r>
        <w:rPr>
          <w:rFonts w:hint="eastAsia"/>
          <w:sz w:val="28"/>
          <w:szCs w:val="28"/>
        </w:rPr>
        <w:t>万元，</w:t>
      </w:r>
      <w:r>
        <w:rPr>
          <w:rFonts w:hint="eastAsia"/>
          <w:sz w:val="28"/>
          <w:szCs w:val="28"/>
          <w:lang w:eastAsia="zh-CN"/>
        </w:rPr>
        <w:t>其中：因公出国（境）费预算</w:t>
      </w:r>
      <w:r>
        <w:rPr>
          <w:rFonts w:hint="eastAsia"/>
          <w:sz w:val="28"/>
          <w:szCs w:val="28"/>
          <w:lang w:val="en-US" w:eastAsia="zh-CN"/>
        </w:rPr>
        <w:t>0元，支出决算0元；公务用车运行维护费年初预算10.5万元，支出决算10.5万元，共有公务车3辆；</w:t>
      </w:r>
    </w:p>
    <w:p>
      <w:pPr>
        <w:ind w:firstLine="700" w:firstLineChars="250"/>
        <w:rPr>
          <w:rFonts w:hint="eastAsia"/>
          <w:sz w:val="28"/>
          <w:szCs w:val="28"/>
        </w:rPr>
      </w:pPr>
      <w:r>
        <w:rPr>
          <w:rFonts w:hint="eastAsia"/>
          <w:sz w:val="28"/>
          <w:szCs w:val="28"/>
        </w:rPr>
        <w:t>八、其他重要事项情况说明</w:t>
      </w:r>
    </w:p>
    <w:p>
      <w:pPr>
        <w:ind w:firstLine="420" w:firstLineChars="150"/>
        <w:rPr>
          <w:rFonts w:hint="eastAsia"/>
          <w:sz w:val="28"/>
          <w:szCs w:val="28"/>
        </w:rPr>
      </w:pPr>
      <w:r>
        <w:rPr>
          <w:rFonts w:hint="eastAsia"/>
          <w:sz w:val="28"/>
          <w:szCs w:val="28"/>
        </w:rPr>
        <w:t>（一）机关运行经费支出情况说明</w:t>
      </w:r>
    </w:p>
    <w:p>
      <w:pPr>
        <w:rPr>
          <w:rFonts w:hint="eastAsia"/>
          <w:sz w:val="28"/>
          <w:szCs w:val="28"/>
        </w:rPr>
      </w:pPr>
      <w:r>
        <w:rPr>
          <w:rFonts w:hint="eastAsia"/>
          <w:sz w:val="28"/>
          <w:szCs w:val="28"/>
        </w:rPr>
        <w:t xml:space="preserve"> </w:t>
      </w:r>
      <w:r>
        <w:rPr>
          <w:rFonts w:hint="default"/>
          <w:sz w:val="28"/>
          <w:szCs w:val="28"/>
          <w:lang w:val="en"/>
        </w:rPr>
        <w:t xml:space="preserve">   </w:t>
      </w:r>
      <w:r>
        <w:rPr>
          <w:rFonts w:hint="eastAsia"/>
          <w:sz w:val="28"/>
          <w:szCs w:val="28"/>
          <w:lang w:val="en-US" w:eastAsia="zh-CN"/>
        </w:rPr>
        <w:t>2021</w:t>
      </w:r>
      <w:r>
        <w:rPr>
          <w:rFonts w:hint="eastAsia"/>
          <w:sz w:val="28"/>
          <w:szCs w:val="28"/>
        </w:rPr>
        <w:t xml:space="preserve">年机关运行经费支出 </w:t>
      </w:r>
      <w:r>
        <w:rPr>
          <w:rFonts w:hint="eastAsia"/>
          <w:sz w:val="28"/>
          <w:szCs w:val="28"/>
          <w:lang w:val="en-US" w:eastAsia="zh-CN"/>
        </w:rPr>
        <w:t>144.41</w:t>
      </w:r>
      <w:r>
        <w:rPr>
          <w:rFonts w:hint="eastAsia"/>
          <w:sz w:val="28"/>
          <w:szCs w:val="28"/>
        </w:rPr>
        <w:t xml:space="preserve">万元，比上年增加 </w:t>
      </w:r>
      <w:r>
        <w:rPr>
          <w:rFonts w:hint="eastAsia"/>
          <w:sz w:val="28"/>
          <w:szCs w:val="28"/>
          <w:lang w:val="en-US" w:eastAsia="zh-CN"/>
        </w:rPr>
        <w:t>92.94</w:t>
      </w:r>
      <w:r>
        <w:rPr>
          <w:rFonts w:hint="eastAsia"/>
          <w:sz w:val="28"/>
          <w:szCs w:val="28"/>
        </w:rPr>
        <w:t>万元，增长</w:t>
      </w:r>
      <w:r>
        <w:rPr>
          <w:rFonts w:hint="eastAsia"/>
          <w:sz w:val="28"/>
          <w:szCs w:val="28"/>
          <w:lang w:val="en-US" w:eastAsia="zh-CN"/>
        </w:rPr>
        <w:t>180.57</w:t>
      </w:r>
      <w:r>
        <w:rPr>
          <w:rFonts w:hint="eastAsia"/>
          <w:sz w:val="28"/>
          <w:szCs w:val="28"/>
        </w:rPr>
        <w:t>%。主要原因是</w:t>
      </w:r>
      <w:r>
        <w:rPr>
          <w:rFonts w:hint="eastAsia"/>
          <w:sz w:val="28"/>
          <w:szCs w:val="28"/>
          <w:lang w:val="en-US" w:eastAsia="zh-CN"/>
        </w:rPr>
        <w:t>2021年机关运行费包含职工交通补助</w:t>
      </w:r>
      <w:r>
        <w:rPr>
          <w:rFonts w:hint="eastAsia"/>
          <w:sz w:val="28"/>
          <w:szCs w:val="28"/>
        </w:rPr>
        <w:t>。</w:t>
      </w:r>
    </w:p>
    <w:p>
      <w:pPr>
        <w:ind w:firstLine="560" w:firstLineChars="200"/>
        <w:rPr>
          <w:rFonts w:hint="eastAsia"/>
          <w:sz w:val="28"/>
          <w:szCs w:val="28"/>
        </w:rPr>
      </w:pPr>
      <w:r>
        <w:rPr>
          <w:rFonts w:hint="eastAsia"/>
          <w:sz w:val="28"/>
          <w:szCs w:val="28"/>
        </w:rPr>
        <w:t>（二）政府采购情况说明</w:t>
      </w:r>
    </w:p>
    <w:p>
      <w:pPr>
        <w:rPr>
          <w:rFonts w:hint="eastAsia"/>
          <w:sz w:val="28"/>
          <w:szCs w:val="28"/>
        </w:rPr>
      </w:pPr>
      <w:r>
        <w:rPr>
          <w:rFonts w:hint="eastAsia"/>
          <w:sz w:val="28"/>
          <w:szCs w:val="28"/>
        </w:rPr>
        <w:t xml:space="preserve"> </w:t>
      </w:r>
      <w:r>
        <w:rPr>
          <w:rFonts w:hint="default"/>
          <w:sz w:val="28"/>
          <w:szCs w:val="28"/>
          <w:lang w:val="en"/>
        </w:rPr>
        <w:t xml:space="preserve">   </w:t>
      </w:r>
      <w:r>
        <w:rPr>
          <w:rFonts w:hint="eastAsia"/>
          <w:sz w:val="28"/>
          <w:szCs w:val="28"/>
          <w:lang w:val="en-US" w:eastAsia="zh-CN"/>
        </w:rPr>
        <w:t>2021</w:t>
      </w:r>
      <w:r>
        <w:rPr>
          <w:rFonts w:hint="eastAsia"/>
          <w:sz w:val="28"/>
          <w:szCs w:val="28"/>
        </w:rPr>
        <w:t xml:space="preserve">年度政府采购支出总额 </w:t>
      </w:r>
      <w:r>
        <w:rPr>
          <w:rFonts w:hint="eastAsia"/>
          <w:sz w:val="28"/>
          <w:szCs w:val="28"/>
          <w:lang w:val="en-US" w:eastAsia="zh-CN"/>
        </w:rPr>
        <w:t>372.53</w:t>
      </w:r>
      <w:r>
        <w:rPr>
          <w:rFonts w:hint="eastAsia"/>
          <w:sz w:val="28"/>
          <w:szCs w:val="28"/>
        </w:rPr>
        <w:t>万元，其中：政府采购货物支出</w:t>
      </w:r>
      <w:r>
        <w:rPr>
          <w:rFonts w:hint="eastAsia"/>
          <w:sz w:val="28"/>
          <w:szCs w:val="28"/>
          <w:lang w:val="en-US" w:eastAsia="zh-CN"/>
        </w:rPr>
        <w:t>139.18</w:t>
      </w:r>
      <w:r>
        <w:rPr>
          <w:rFonts w:hint="eastAsia"/>
          <w:sz w:val="28"/>
          <w:szCs w:val="28"/>
        </w:rPr>
        <w:t>万元、政府采购服务支出</w:t>
      </w:r>
      <w:r>
        <w:rPr>
          <w:rFonts w:hint="eastAsia"/>
          <w:sz w:val="28"/>
          <w:szCs w:val="28"/>
          <w:lang w:val="en-US" w:eastAsia="zh-CN"/>
        </w:rPr>
        <w:t>233.35</w:t>
      </w:r>
      <w:r>
        <w:rPr>
          <w:rFonts w:hint="eastAsia"/>
          <w:sz w:val="28"/>
          <w:szCs w:val="28"/>
        </w:rPr>
        <w:t>万元。</w:t>
      </w:r>
    </w:p>
    <w:p>
      <w:pPr>
        <w:ind w:firstLine="560" w:firstLineChars="200"/>
        <w:rPr>
          <w:rFonts w:hint="eastAsia"/>
          <w:sz w:val="28"/>
          <w:szCs w:val="28"/>
        </w:rPr>
      </w:pPr>
      <w:r>
        <w:rPr>
          <w:rFonts w:hint="eastAsia"/>
          <w:sz w:val="28"/>
          <w:szCs w:val="28"/>
        </w:rPr>
        <w:t>（三）国有资产占用情况说明</w:t>
      </w:r>
    </w:p>
    <w:p>
      <w:pPr>
        <w:ind w:firstLine="560" w:firstLineChars="200"/>
        <w:rPr>
          <w:rFonts w:hint="eastAsia"/>
          <w:sz w:val="28"/>
          <w:szCs w:val="28"/>
        </w:rPr>
      </w:pPr>
      <w:r>
        <w:rPr>
          <w:rFonts w:hint="eastAsia"/>
          <w:sz w:val="28"/>
          <w:szCs w:val="28"/>
        </w:rPr>
        <w:t xml:space="preserve">截至 </w:t>
      </w:r>
      <w:r>
        <w:rPr>
          <w:rFonts w:hint="eastAsia"/>
          <w:sz w:val="28"/>
          <w:szCs w:val="28"/>
          <w:lang w:val="en-US" w:eastAsia="zh-CN"/>
        </w:rPr>
        <w:t>2021</w:t>
      </w:r>
      <w:r>
        <w:rPr>
          <w:rFonts w:hint="eastAsia"/>
          <w:sz w:val="28"/>
          <w:szCs w:val="28"/>
        </w:rPr>
        <w:t xml:space="preserve">年12月31日，本部门共有车辆 </w:t>
      </w:r>
      <w:r>
        <w:rPr>
          <w:rFonts w:hint="eastAsia"/>
          <w:sz w:val="28"/>
          <w:szCs w:val="28"/>
          <w:lang w:val="en-US" w:eastAsia="zh-CN"/>
        </w:rPr>
        <w:t>3</w:t>
      </w:r>
      <w:r>
        <w:rPr>
          <w:rFonts w:hint="eastAsia"/>
          <w:sz w:val="28"/>
          <w:szCs w:val="28"/>
        </w:rPr>
        <w:t>辆。其中，机要通信用车</w:t>
      </w:r>
      <w:r>
        <w:rPr>
          <w:rFonts w:hint="eastAsia"/>
          <w:sz w:val="28"/>
          <w:szCs w:val="28"/>
          <w:lang w:val="en-US" w:eastAsia="zh-CN"/>
        </w:rPr>
        <w:t>1</w:t>
      </w:r>
      <w:r>
        <w:rPr>
          <w:rFonts w:hint="eastAsia"/>
          <w:sz w:val="28"/>
          <w:szCs w:val="28"/>
        </w:rPr>
        <w:t>辆、执法执勤用</w:t>
      </w:r>
      <w:r>
        <w:rPr>
          <w:rFonts w:hint="eastAsia"/>
          <w:sz w:val="28"/>
          <w:szCs w:val="28"/>
          <w:lang w:eastAsia="zh-CN"/>
        </w:rPr>
        <w:t>车</w:t>
      </w:r>
      <w:r>
        <w:rPr>
          <w:rFonts w:hint="eastAsia"/>
          <w:sz w:val="28"/>
          <w:szCs w:val="28"/>
        </w:rPr>
        <w:t xml:space="preserve"> </w:t>
      </w:r>
      <w:r>
        <w:rPr>
          <w:rFonts w:hint="eastAsia"/>
          <w:sz w:val="28"/>
          <w:szCs w:val="28"/>
          <w:lang w:val="en-US" w:eastAsia="zh-CN"/>
        </w:rPr>
        <w:t>2</w:t>
      </w:r>
      <w:r>
        <w:rPr>
          <w:rFonts w:hint="eastAsia"/>
          <w:sz w:val="28"/>
          <w:szCs w:val="28"/>
        </w:rPr>
        <w:t>辆。</w:t>
      </w:r>
    </w:p>
    <w:p>
      <w:pPr>
        <w:ind w:firstLine="560" w:firstLineChars="200"/>
        <w:rPr>
          <w:rFonts w:hint="eastAsia"/>
          <w:sz w:val="28"/>
          <w:szCs w:val="28"/>
        </w:rPr>
      </w:pPr>
      <w:r>
        <w:rPr>
          <w:rFonts w:hint="eastAsia"/>
          <w:sz w:val="28"/>
          <w:szCs w:val="28"/>
        </w:rPr>
        <w:t>（四）预算绩效情况说明</w:t>
      </w:r>
    </w:p>
    <w:p>
      <w:pPr>
        <w:ind w:firstLine="560" w:firstLineChars="200"/>
        <w:rPr>
          <w:rFonts w:hint="eastAsia"/>
          <w:sz w:val="28"/>
          <w:szCs w:val="28"/>
        </w:rPr>
      </w:pPr>
      <w:r>
        <w:rPr>
          <w:rFonts w:hint="eastAsia"/>
          <w:sz w:val="28"/>
          <w:szCs w:val="28"/>
        </w:rPr>
        <w:t>(1）预算绩效管理工作开展情况。</w:t>
      </w:r>
    </w:p>
    <w:p>
      <w:pPr>
        <w:ind w:firstLine="600" w:firstLineChars="200"/>
        <w:rPr>
          <w:rFonts w:ascii="宋体" w:hAnsi="宋体" w:eastAsia="宋体" w:cs="宋体"/>
          <w:sz w:val="30"/>
          <w:szCs w:val="30"/>
        </w:rPr>
      </w:pPr>
      <w:r>
        <w:rPr>
          <w:rFonts w:ascii="宋体" w:hAnsi="宋体" w:eastAsia="宋体" w:cs="宋体"/>
          <w:sz w:val="30"/>
          <w:szCs w:val="30"/>
        </w:rPr>
        <w:t>根据预算绩效管理要求，我部门组织对2021年度市级财政预算安排的专项资金类</w:t>
      </w:r>
      <w:r>
        <w:rPr>
          <w:rFonts w:hint="eastAsia" w:ascii="宋体" w:hAnsi="宋体" w:eastAsia="宋体" w:cs="宋体"/>
          <w:sz w:val="30"/>
          <w:szCs w:val="30"/>
          <w:lang w:val="en-US" w:eastAsia="zh-CN"/>
        </w:rPr>
        <w:t>2</w:t>
      </w:r>
      <w:r>
        <w:rPr>
          <w:rFonts w:hint="eastAsia" w:ascii="宋体" w:hAnsi="宋体" w:cs="宋体"/>
          <w:sz w:val="30"/>
          <w:szCs w:val="30"/>
          <w:lang w:val="en-US" w:eastAsia="zh-CN"/>
        </w:rPr>
        <w:t>3</w:t>
      </w:r>
      <w:r>
        <w:rPr>
          <w:rFonts w:ascii="宋体" w:hAnsi="宋体" w:eastAsia="宋体" w:cs="宋体"/>
          <w:sz w:val="30"/>
          <w:szCs w:val="30"/>
        </w:rPr>
        <w:t>个项目支出全面开展绩效自评，涉及预算资</w:t>
      </w:r>
      <w:r>
        <w:rPr>
          <w:rFonts w:hint="eastAsia" w:ascii="宋体" w:hAnsi="宋体" w:eastAsia="宋体" w:cs="宋体"/>
          <w:sz w:val="30"/>
          <w:szCs w:val="30"/>
          <w:lang w:val="en-US" w:eastAsia="zh-CN"/>
        </w:rPr>
        <w:t>991.72</w:t>
      </w:r>
      <w:r>
        <w:rPr>
          <w:rFonts w:ascii="宋体" w:hAnsi="宋体" w:eastAsia="宋体" w:cs="宋体"/>
          <w:sz w:val="30"/>
          <w:szCs w:val="30"/>
        </w:rPr>
        <w:t>万元，占一般公共预算项目支出总额的</w:t>
      </w:r>
      <w:r>
        <w:rPr>
          <w:rFonts w:hint="eastAsia" w:ascii="宋体" w:hAnsi="宋体" w:eastAsia="宋体" w:cs="宋体"/>
          <w:sz w:val="30"/>
          <w:szCs w:val="30"/>
          <w:lang w:val="en-US" w:eastAsia="zh-CN"/>
        </w:rPr>
        <w:t>95.58</w:t>
      </w:r>
      <w:r>
        <w:rPr>
          <w:rFonts w:ascii="宋体" w:hAnsi="宋体" w:eastAsia="宋体" w:cs="宋体"/>
          <w:sz w:val="30"/>
          <w:szCs w:val="30"/>
        </w:rPr>
        <w:t>%。组织对2021年度</w:t>
      </w:r>
      <w:r>
        <w:rPr>
          <w:rFonts w:hint="eastAsia" w:ascii="宋体" w:hAnsi="宋体" w:eastAsia="宋体" w:cs="宋体"/>
          <w:sz w:val="30"/>
          <w:szCs w:val="30"/>
          <w:lang w:eastAsia="zh-CN"/>
        </w:rPr>
        <w:t>宽带租赁费</w:t>
      </w:r>
      <w:r>
        <w:rPr>
          <w:rFonts w:ascii="宋体" w:hAnsi="宋体" w:eastAsia="宋体" w:cs="宋体"/>
          <w:sz w:val="30"/>
          <w:szCs w:val="30"/>
        </w:rPr>
        <w:t>、</w:t>
      </w:r>
      <w:r>
        <w:rPr>
          <w:rFonts w:hint="eastAsia" w:ascii="宋体" w:hAnsi="宋体" w:eastAsia="宋体" w:cs="宋体"/>
          <w:sz w:val="30"/>
          <w:szCs w:val="30"/>
          <w:lang w:val="en-US" w:eastAsia="zh-CN"/>
        </w:rPr>
        <w:t>安可电脑购置费</w:t>
      </w:r>
      <w:r>
        <w:rPr>
          <w:rFonts w:ascii="宋体" w:hAnsi="宋体" w:eastAsia="宋体" w:cs="宋体"/>
          <w:sz w:val="30"/>
          <w:szCs w:val="30"/>
        </w:rPr>
        <w:t>等</w:t>
      </w:r>
      <w:r>
        <w:rPr>
          <w:rFonts w:hint="eastAsia" w:ascii="宋体" w:hAnsi="宋体" w:eastAsia="宋体" w:cs="宋体"/>
          <w:sz w:val="30"/>
          <w:szCs w:val="30"/>
          <w:lang w:val="en-US" w:eastAsia="zh-CN"/>
        </w:rPr>
        <w:t>2</w:t>
      </w:r>
      <w:r>
        <w:rPr>
          <w:rFonts w:ascii="宋体" w:hAnsi="宋体" w:eastAsia="宋体" w:cs="宋体"/>
          <w:sz w:val="30"/>
          <w:szCs w:val="30"/>
        </w:rPr>
        <w:t>个政府性基金预算项目支出开展绩效自评，共涉及预算资金</w:t>
      </w:r>
      <w:r>
        <w:rPr>
          <w:rFonts w:hint="eastAsia" w:ascii="宋体" w:hAnsi="宋体" w:eastAsia="宋体" w:cs="宋体"/>
          <w:sz w:val="30"/>
          <w:szCs w:val="30"/>
          <w:lang w:val="en-US" w:eastAsia="zh-CN"/>
        </w:rPr>
        <w:t>19.13</w:t>
      </w:r>
      <w:r>
        <w:rPr>
          <w:rFonts w:ascii="宋体" w:hAnsi="宋体" w:eastAsia="宋体" w:cs="宋体"/>
          <w:sz w:val="30"/>
          <w:szCs w:val="30"/>
        </w:rPr>
        <w:t>万元，占政府性基金预算项目支出</w:t>
      </w:r>
      <w:r>
        <w:rPr>
          <w:rFonts w:hint="eastAsia" w:ascii="宋体" w:hAnsi="宋体" w:eastAsia="宋体" w:cs="宋体"/>
          <w:sz w:val="30"/>
          <w:szCs w:val="30"/>
          <w:lang w:eastAsia="zh-CN"/>
        </w:rPr>
        <w:t>总额的</w:t>
      </w:r>
      <w:r>
        <w:rPr>
          <w:rFonts w:hint="eastAsia" w:ascii="宋体" w:hAnsi="宋体" w:eastAsia="宋体" w:cs="宋体"/>
          <w:sz w:val="30"/>
          <w:szCs w:val="30"/>
          <w:lang w:val="en-US" w:eastAsia="zh-CN"/>
        </w:rPr>
        <w:t>100</w:t>
      </w:r>
      <w:r>
        <w:rPr>
          <w:rFonts w:ascii="宋体" w:hAnsi="宋体" w:eastAsia="宋体" w:cs="宋体"/>
          <w:sz w:val="30"/>
          <w:szCs w:val="30"/>
        </w:rPr>
        <w:t>%。</w:t>
      </w:r>
    </w:p>
    <w:p>
      <w:pPr>
        <w:numPr>
          <w:ilvl w:val="0"/>
          <w:numId w:val="6"/>
        </w:numPr>
        <w:ind w:firstLine="560" w:firstLineChars="200"/>
        <w:rPr>
          <w:rFonts w:hint="eastAsia"/>
          <w:sz w:val="28"/>
          <w:szCs w:val="28"/>
        </w:rPr>
      </w:pPr>
      <w:r>
        <w:rPr>
          <w:rFonts w:hint="eastAsia"/>
          <w:sz w:val="28"/>
          <w:szCs w:val="28"/>
        </w:rPr>
        <w:t>部门决算中项目绩效自评结果。</w:t>
      </w:r>
    </w:p>
    <w:p>
      <w:pPr>
        <w:numPr>
          <w:ilvl w:val="0"/>
          <w:numId w:val="0"/>
        </w:numPr>
        <w:ind w:firstLine="600" w:firstLineChars="200"/>
        <w:jc w:val="left"/>
        <w:rPr>
          <w:rFonts w:hint="eastAsia" w:ascii="宋体" w:hAnsi="宋体" w:eastAsia="宋体" w:cs="宋体"/>
          <w:sz w:val="30"/>
          <w:szCs w:val="30"/>
        </w:rPr>
      </w:pPr>
      <w:r>
        <w:rPr>
          <w:rFonts w:hint="eastAsia" w:ascii="宋体" w:hAnsi="宋体" w:eastAsia="宋体" w:cs="宋体"/>
          <w:sz w:val="30"/>
          <w:szCs w:val="30"/>
          <w:lang w:eastAsia="zh-CN"/>
        </w:rPr>
        <w:t>项目一：</w:t>
      </w:r>
      <w:r>
        <w:rPr>
          <w:rFonts w:hint="eastAsia" w:ascii="宋体" w:hAnsi="宋体" w:eastAsia="宋体" w:cs="宋体"/>
          <w:sz w:val="30"/>
          <w:szCs w:val="30"/>
        </w:rPr>
        <w:t>安全生产监管系统网络及网站运行维护费</w:t>
      </w:r>
    </w:p>
    <w:p>
      <w:pPr>
        <w:numPr>
          <w:ilvl w:val="0"/>
          <w:numId w:val="0"/>
        </w:numPr>
        <w:ind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rPr>
        <w:t>根据年初设定的绩效目标，项目自评得分为</w:t>
      </w:r>
      <w:r>
        <w:rPr>
          <w:rFonts w:hint="eastAsia" w:ascii="宋体" w:hAnsi="宋体" w:cs="宋体"/>
          <w:sz w:val="30"/>
          <w:szCs w:val="30"/>
          <w:lang w:val="en-US" w:eastAsia="zh-CN"/>
        </w:rPr>
        <w:t>99</w:t>
      </w:r>
      <w:r>
        <w:rPr>
          <w:rFonts w:hint="eastAsia" w:ascii="宋体" w:hAnsi="宋体" w:eastAsia="宋体" w:cs="宋体"/>
          <w:sz w:val="30"/>
          <w:szCs w:val="30"/>
        </w:rPr>
        <w:t>分。全年预算数为</w:t>
      </w:r>
      <w:r>
        <w:rPr>
          <w:rFonts w:hint="eastAsia" w:ascii="宋体" w:hAnsi="宋体" w:cs="宋体"/>
          <w:sz w:val="30"/>
          <w:szCs w:val="30"/>
          <w:lang w:val="en-US" w:eastAsia="zh-CN"/>
        </w:rPr>
        <w:t>45</w:t>
      </w:r>
      <w:r>
        <w:rPr>
          <w:rFonts w:hint="eastAsia" w:ascii="宋体" w:hAnsi="宋体" w:eastAsia="宋体" w:cs="宋体"/>
          <w:sz w:val="30"/>
          <w:szCs w:val="30"/>
        </w:rPr>
        <w:t>万元，执行数为</w:t>
      </w:r>
      <w:r>
        <w:rPr>
          <w:rFonts w:hint="eastAsia" w:ascii="宋体" w:hAnsi="宋体" w:cs="宋体"/>
          <w:sz w:val="30"/>
          <w:szCs w:val="30"/>
          <w:lang w:val="en-US" w:eastAsia="zh-CN"/>
        </w:rPr>
        <w:t>44.85</w:t>
      </w:r>
      <w:r>
        <w:rPr>
          <w:rFonts w:hint="eastAsia" w:ascii="宋体" w:hAnsi="宋体" w:eastAsia="宋体" w:cs="宋体"/>
          <w:sz w:val="30"/>
          <w:szCs w:val="30"/>
        </w:rPr>
        <w:t>万元，完成预算的</w:t>
      </w:r>
      <w:r>
        <w:rPr>
          <w:rFonts w:hint="eastAsia" w:ascii="宋体" w:hAnsi="宋体" w:cs="宋体"/>
          <w:sz w:val="30"/>
          <w:szCs w:val="30"/>
          <w:lang w:val="en-US" w:eastAsia="zh-CN"/>
        </w:rPr>
        <w:t>89.7</w:t>
      </w:r>
      <w:r>
        <w:rPr>
          <w:rFonts w:hint="eastAsia" w:ascii="宋体" w:hAnsi="宋体" w:eastAsia="宋体" w:cs="宋体"/>
          <w:sz w:val="30"/>
          <w:szCs w:val="30"/>
        </w:rPr>
        <w:t>%。项目绩效目标完成情况:</w:t>
      </w:r>
      <w:r>
        <w:rPr>
          <w:rFonts w:hint="eastAsia" w:ascii="宋体" w:hAnsi="宋体" w:eastAsia="宋体" w:cs="宋体"/>
          <w:kern w:val="0"/>
          <w:sz w:val="30"/>
          <w:szCs w:val="30"/>
        </w:rPr>
        <w:t>通过基础信息录入和终端设备监测，实现对全市非煤矿山、危险化学品、烟花爆竹等高危行业企业的安全监管、信息采集及统计分析和在线监测，做好安全生产的预警预防，降低事故发生率，为全市经济发展提供安全保障。</w:t>
      </w:r>
      <w:r>
        <w:rPr>
          <w:rFonts w:hint="eastAsia" w:ascii="宋体" w:hAnsi="宋体" w:eastAsia="宋体" w:cs="宋体"/>
          <w:sz w:val="30"/>
          <w:szCs w:val="30"/>
        </w:rPr>
        <w:t>下一步改进措施:</w:t>
      </w:r>
      <w:r>
        <w:rPr>
          <w:rFonts w:hint="eastAsia" w:ascii="宋体" w:hAnsi="宋体" w:eastAsia="宋体" w:cs="宋体"/>
          <w:kern w:val="0"/>
          <w:sz w:val="30"/>
          <w:szCs w:val="30"/>
        </w:rPr>
        <w:t>及时更新和维护设备系统，保障数据准确及时</w:t>
      </w:r>
      <w:r>
        <w:rPr>
          <w:rFonts w:hint="eastAsia" w:ascii="宋体" w:hAnsi="宋体" w:eastAsia="宋体" w:cs="宋体"/>
          <w:sz w:val="30"/>
          <w:szCs w:val="30"/>
          <w:lang w:val="en-US" w:eastAsia="zh-CN"/>
        </w:rPr>
        <w:t>。</w:t>
      </w:r>
    </w:p>
    <w:tbl>
      <w:tblPr>
        <w:tblStyle w:val="5"/>
        <w:tblW w:w="9382" w:type="dxa"/>
        <w:jc w:val="center"/>
        <w:tblLayout w:type="fixed"/>
        <w:tblCellMar>
          <w:top w:w="0" w:type="dxa"/>
          <w:left w:w="108" w:type="dxa"/>
          <w:bottom w:w="0" w:type="dxa"/>
          <w:right w:w="108" w:type="dxa"/>
        </w:tblCellMar>
      </w:tblPr>
      <w:tblGrid>
        <w:gridCol w:w="588"/>
        <w:gridCol w:w="1046"/>
        <w:gridCol w:w="104"/>
        <w:gridCol w:w="1417"/>
        <w:gridCol w:w="255"/>
        <w:gridCol w:w="1134"/>
        <w:gridCol w:w="586"/>
        <w:gridCol w:w="850"/>
        <w:gridCol w:w="851"/>
        <w:gridCol w:w="283"/>
        <w:gridCol w:w="284"/>
        <w:gridCol w:w="425"/>
        <w:gridCol w:w="142"/>
        <w:gridCol w:w="709"/>
        <w:gridCol w:w="708"/>
      </w:tblGrid>
      <w:tr>
        <w:tblPrEx>
          <w:tblCellMar>
            <w:top w:w="0" w:type="dxa"/>
            <w:left w:w="108" w:type="dxa"/>
            <w:bottom w:w="0" w:type="dxa"/>
            <w:right w:w="108" w:type="dxa"/>
          </w:tblCellMar>
        </w:tblPrEx>
        <w:trPr>
          <w:trHeight w:val="529" w:hRule="exact"/>
          <w:jc w:val="center"/>
        </w:trPr>
        <w:tc>
          <w:tcPr>
            <w:tcW w:w="9382" w:type="dxa"/>
            <w:gridSpan w:val="15"/>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华文中宋" w:hAnsi="华文中宋" w:eastAsia="华文中宋" w:cs="华文中宋"/>
                <w:b/>
                <w:bCs/>
                <w:kern w:val="0"/>
                <w:sz w:val="36"/>
                <w:szCs w:val="36"/>
              </w:rPr>
              <w:t>项目支出绩效自评表</w:t>
            </w:r>
          </w:p>
        </w:tc>
      </w:tr>
      <w:tr>
        <w:tblPrEx>
          <w:tblCellMar>
            <w:top w:w="0" w:type="dxa"/>
            <w:left w:w="108" w:type="dxa"/>
            <w:bottom w:w="0" w:type="dxa"/>
            <w:right w:w="108" w:type="dxa"/>
          </w:tblCellMar>
        </w:tblPrEx>
        <w:trPr>
          <w:trHeight w:val="201" w:hRule="atLeast"/>
          <w:jc w:val="center"/>
        </w:trPr>
        <w:tc>
          <w:tcPr>
            <w:tcW w:w="9382" w:type="dxa"/>
            <w:gridSpan w:val="15"/>
            <w:tcBorders>
              <w:top w:val="nil"/>
              <w:left w:val="nil"/>
              <w:bottom w:val="nil"/>
              <w:right w:val="nil"/>
            </w:tcBorders>
            <w:noWrap w:val="0"/>
            <w:vAlign w:val="top"/>
          </w:tcPr>
          <w:p>
            <w:pPr>
              <w:widowControl/>
              <w:rPr>
                <w:rFonts w:ascii="宋体" w:hAnsi="宋体" w:eastAsia="宋体" w:cs="宋体"/>
                <w:kern w:val="0"/>
                <w:sz w:val="22"/>
                <w:szCs w:val="22"/>
              </w:rPr>
            </w:pPr>
            <w:r>
              <w:rPr>
                <w:rFonts w:hint="eastAsia" w:ascii="宋体" w:hAnsi="宋体" w:eastAsia="宋体" w:cs="宋体"/>
                <w:kern w:val="0"/>
                <w:sz w:val="22"/>
                <w:szCs w:val="22"/>
              </w:rPr>
              <w:t>填列单位（公章）：                （ 2021 年度）</w:t>
            </w:r>
          </w:p>
        </w:tc>
      </w:tr>
      <w:tr>
        <w:tblPrEx>
          <w:tblCellMar>
            <w:top w:w="0" w:type="dxa"/>
            <w:left w:w="108" w:type="dxa"/>
            <w:bottom w:w="0" w:type="dxa"/>
            <w:right w:w="108" w:type="dxa"/>
          </w:tblCellMar>
        </w:tblPrEx>
        <w:trPr>
          <w:trHeight w:val="320" w:hRule="exact"/>
          <w:jc w:val="center"/>
        </w:trPr>
        <w:tc>
          <w:tcPr>
            <w:tcW w:w="173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644"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安全生产监管系统网络及网站运行维护费</w:t>
            </w:r>
          </w:p>
        </w:tc>
      </w:tr>
      <w:tr>
        <w:tblPrEx>
          <w:tblCellMar>
            <w:top w:w="0" w:type="dxa"/>
            <w:left w:w="108" w:type="dxa"/>
            <w:bottom w:w="0" w:type="dxa"/>
            <w:right w:w="108" w:type="dxa"/>
          </w:tblCellMar>
        </w:tblPrEx>
        <w:trPr>
          <w:trHeight w:val="380" w:hRule="exact"/>
          <w:jc w:val="center"/>
        </w:trPr>
        <w:tc>
          <w:tcPr>
            <w:tcW w:w="173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24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大同市应急管理局</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大同市应急管理局</w:t>
            </w:r>
          </w:p>
        </w:tc>
      </w:tr>
      <w:tr>
        <w:tblPrEx>
          <w:tblCellMar>
            <w:top w:w="0" w:type="dxa"/>
            <w:left w:w="108" w:type="dxa"/>
            <w:bottom w:w="0" w:type="dxa"/>
            <w:right w:w="108" w:type="dxa"/>
          </w:tblCellMar>
        </w:tblPrEx>
        <w:trPr>
          <w:trHeight w:val="300" w:hRule="exact"/>
          <w:jc w:val="center"/>
        </w:trPr>
        <w:tc>
          <w:tcPr>
            <w:tcW w:w="1738"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6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4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738"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45</w:t>
            </w:r>
          </w:p>
        </w:tc>
        <w:tc>
          <w:tcPr>
            <w:tcW w:w="14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44.85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44.85</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99%</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9</w:t>
            </w:r>
          </w:p>
        </w:tc>
      </w:tr>
      <w:tr>
        <w:tblPrEx>
          <w:tblCellMar>
            <w:top w:w="0" w:type="dxa"/>
            <w:left w:w="108" w:type="dxa"/>
            <w:bottom w:w="0" w:type="dxa"/>
            <w:right w:w="108" w:type="dxa"/>
          </w:tblCellMar>
        </w:tblPrEx>
        <w:trPr>
          <w:trHeight w:val="300" w:hRule="exact"/>
          <w:jc w:val="center"/>
        </w:trPr>
        <w:tc>
          <w:tcPr>
            <w:tcW w:w="1738"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45</w:t>
            </w:r>
          </w:p>
        </w:tc>
        <w:tc>
          <w:tcPr>
            <w:tcW w:w="14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44.85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44.85</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99%</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738"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738"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39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1569"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39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通过基础信息录入和终端设备监测，实现对全市非煤矿山、危险化学品、烟花爆竹等高危行业企业的安全监管、信息采集及统计分析和在线监测，做好安全生产的预警预防，降低事故发生率，为全市经济发展提供安全保障。</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通过基础信息录入和终端设备监测，实现对全市非煤矿山、危险化学品、烟花爆竹等高危行业企业的安全监管、信息采集及统计分析和在线监测，做好安全生产的预警预防，降低事故发生率，为全市经济发展提供安全保障。</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11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41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97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79"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50"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417"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97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高危行业监管系统</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19</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19</w:t>
            </w:r>
          </w:p>
        </w:tc>
        <w:tc>
          <w:tcPr>
            <w:tcW w:w="567" w:type="dxa"/>
            <w:gridSpan w:val="2"/>
            <w:vMerge w:val="restart"/>
            <w:tcBorders>
              <w:top w:val="nil"/>
              <w:left w:val="nil"/>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567" w:type="dxa"/>
            <w:gridSpan w:val="2"/>
            <w:vMerge w:val="restart"/>
            <w:tcBorders>
              <w:top w:val="nil"/>
              <w:left w:val="nil"/>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79"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5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1417"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197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森林防火远程视频监控系统维护</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47</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47</w:t>
            </w:r>
          </w:p>
        </w:tc>
        <w:tc>
          <w:tcPr>
            <w:tcW w:w="567" w:type="dxa"/>
            <w:gridSpan w:val="2"/>
            <w:vMerge w:val="continue"/>
            <w:tcBorders>
              <w:left w:val="nil"/>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567" w:type="dxa"/>
            <w:gridSpan w:val="2"/>
            <w:vMerge w:val="continue"/>
            <w:tcBorders>
              <w:left w:val="nil"/>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79"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5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1417"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197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应急局网站维护</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567" w:type="dxa"/>
            <w:gridSpan w:val="2"/>
            <w:vMerge w:val="continue"/>
            <w:tcBorders>
              <w:left w:val="nil"/>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567" w:type="dxa"/>
            <w:gridSpan w:val="2"/>
            <w:vMerge w:val="continue"/>
            <w:tcBorders>
              <w:left w:val="nil"/>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79"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5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1417"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197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应急局办公网络日常维护</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172</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172</w:t>
            </w:r>
          </w:p>
        </w:tc>
        <w:tc>
          <w:tcPr>
            <w:tcW w:w="567"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567"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08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5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97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保证系统能正常打开，网页不被篡改，常规维护，系统升级</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保证</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保证</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5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97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24小时全覆盖</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实时</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实时</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972"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50"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417" w:type="dxa"/>
            <w:tcBorders>
              <w:top w:val="nil"/>
              <w:left w:val="single" w:color="auto" w:sz="4" w:space="0"/>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经济效益指标</w:t>
            </w:r>
          </w:p>
        </w:tc>
        <w:tc>
          <w:tcPr>
            <w:tcW w:w="197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实时监管，及时发现，减少各类灾情发生，保护国家资源不受损失</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减少</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减少</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6"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5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tcBorders>
              <w:top w:val="nil"/>
              <w:left w:val="single" w:color="auto" w:sz="4" w:space="0"/>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197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保障安全信息及时发送</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41"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50" w:type="dxa"/>
            <w:gridSpan w:val="2"/>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417"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服务对象       满意度指标</w:t>
            </w:r>
          </w:p>
        </w:tc>
        <w:tc>
          <w:tcPr>
            <w:tcW w:w="197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让政府，市民满意度提升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6831"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9</w:t>
            </w:r>
            <w:r>
              <w:rPr>
                <w:rFonts w:hint="eastAsia" w:ascii="宋体" w:hAnsi="宋体" w:cs="宋体"/>
                <w:color w:val="000000"/>
                <w:kern w:val="0"/>
                <w:sz w:val="18"/>
                <w:szCs w:val="18"/>
                <w:lang w:val="en-US" w:eastAsia="zh-CN"/>
              </w:rPr>
              <w:t>9</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914" w:hRule="atLeast"/>
          <w:jc w:val="center"/>
        </w:trPr>
        <w:tc>
          <w:tcPr>
            <w:tcW w:w="5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项目绩效分析</w:t>
            </w:r>
          </w:p>
        </w:tc>
        <w:tc>
          <w:tcPr>
            <w:tcW w:w="10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自评结果分析</w:t>
            </w:r>
          </w:p>
        </w:tc>
        <w:tc>
          <w:tcPr>
            <w:tcW w:w="15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项目实施和预算执行情况及分析</w:t>
            </w:r>
          </w:p>
        </w:tc>
        <w:tc>
          <w:tcPr>
            <w:tcW w:w="6227"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实时录入，更新数据每周备份数据，设备运行正常系统正常打开，各项功能正24小时技术支持，严格监管资金用途。</w:t>
            </w:r>
          </w:p>
        </w:tc>
      </w:tr>
      <w:tr>
        <w:tblPrEx>
          <w:tblCellMar>
            <w:top w:w="0" w:type="dxa"/>
            <w:left w:w="108" w:type="dxa"/>
            <w:bottom w:w="0" w:type="dxa"/>
            <w:right w:w="108" w:type="dxa"/>
          </w:tblCellMar>
        </w:tblPrEx>
        <w:trPr>
          <w:trHeight w:val="560" w:hRule="atLeas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5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产出情况及分析</w:t>
            </w:r>
          </w:p>
        </w:tc>
        <w:tc>
          <w:tcPr>
            <w:tcW w:w="6227"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严格监管高危行业，及时信息发布</w:t>
            </w:r>
          </w:p>
        </w:tc>
      </w:tr>
      <w:tr>
        <w:tblPrEx>
          <w:tblCellMar>
            <w:top w:w="0" w:type="dxa"/>
            <w:left w:w="108" w:type="dxa"/>
            <w:bottom w:w="0" w:type="dxa"/>
            <w:right w:w="108" w:type="dxa"/>
          </w:tblCellMar>
        </w:tblPrEx>
        <w:trPr>
          <w:trHeight w:val="1740" w:hRule="atLeas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5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效益情况及分析</w:t>
            </w:r>
          </w:p>
        </w:tc>
        <w:tc>
          <w:tcPr>
            <w:tcW w:w="6227"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我局高危行业安全监管系统是由原省安监局统筹统建的安全生产监管系统。承担全市非煤矿山、危险化学品、烟花爆竹等高危行业企业基础信息录入、在线监控监测、终端信息采集、日常监管等功能的安全生产监管系统，通过购买第三方网络技术公司服务，确保系统上下连通和正常运行，提高全市高危行业企业安全运行能力。</w:t>
            </w:r>
          </w:p>
        </w:tc>
      </w:tr>
      <w:tr>
        <w:tblPrEx>
          <w:tblCellMar>
            <w:top w:w="0" w:type="dxa"/>
            <w:left w:w="108" w:type="dxa"/>
            <w:bottom w:w="0" w:type="dxa"/>
            <w:right w:w="108" w:type="dxa"/>
          </w:tblCellMar>
        </w:tblPrEx>
        <w:trPr>
          <w:trHeight w:val="1255" w:hRule="atLeas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5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满意度情况及分析</w:t>
            </w:r>
          </w:p>
        </w:tc>
        <w:tc>
          <w:tcPr>
            <w:tcW w:w="6227"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让政府，市民满意</w:t>
            </w:r>
          </w:p>
        </w:tc>
      </w:tr>
      <w:tr>
        <w:tblPrEx>
          <w:tblCellMar>
            <w:top w:w="0" w:type="dxa"/>
            <w:left w:w="108" w:type="dxa"/>
            <w:bottom w:w="0" w:type="dxa"/>
            <w:right w:w="108" w:type="dxa"/>
          </w:tblCellMar>
        </w:tblPrEx>
        <w:trPr>
          <w:trHeight w:val="3554" w:hRule="exac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256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主要经验做法</w:t>
            </w:r>
          </w:p>
        </w:tc>
        <w:tc>
          <w:tcPr>
            <w:tcW w:w="6227"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通过基础信息录入和终端设备监测，实现对全市非煤矿山、危险化学品、烟花爆竹等高危行业企业的安全监管、信息采集及统计分析和在线监测，做好安全生产的预警预防，降低事故发生率。</w:t>
            </w:r>
          </w:p>
        </w:tc>
      </w:tr>
      <w:tr>
        <w:tblPrEx>
          <w:tblCellMar>
            <w:top w:w="0" w:type="dxa"/>
            <w:left w:w="108" w:type="dxa"/>
            <w:bottom w:w="0" w:type="dxa"/>
            <w:right w:w="108" w:type="dxa"/>
          </w:tblCellMar>
        </w:tblPrEx>
        <w:trPr>
          <w:trHeight w:val="2655" w:hRule="exac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256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项目管理中存在的</w:t>
            </w:r>
          </w:p>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主要问题及原因分析</w:t>
            </w:r>
          </w:p>
        </w:tc>
        <w:tc>
          <w:tcPr>
            <w:tcW w:w="6227"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r>
      <w:tr>
        <w:tblPrEx>
          <w:tblCellMar>
            <w:top w:w="0" w:type="dxa"/>
            <w:left w:w="108" w:type="dxa"/>
            <w:bottom w:w="0" w:type="dxa"/>
            <w:right w:w="108" w:type="dxa"/>
          </w:tblCellMar>
        </w:tblPrEx>
        <w:trPr>
          <w:trHeight w:val="4067" w:hRule="exac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256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下一步改进措施及</w:t>
            </w:r>
          </w:p>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管理建议</w:t>
            </w:r>
          </w:p>
        </w:tc>
        <w:tc>
          <w:tcPr>
            <w:tcW w:w="6227"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及时更新和维护设备系统，保障数据准确及时</w:t>
            </w:r>
          </w:p>
        </w:tc>
      </w:tr>
    </w:tbl>
    <w:p>
      <w:pPr>
        <w:numPr>
          <w:ilvl w:val="0"/>
          <w:numId w:val="0"/>
        </w:numPr>
        <w:ind w:firstLine="600" w:firstLineChars="200"/>
        <w:jc w:val="left"/>
        <w:rPr>
          <w:rFonts w:hint="eastAsia" w:ascii="宋体" w:hAnsi="宋体" w:eastAsia="宋体" w:cs="宋体"/>
          <w:sz w:val="30"/>
          <w:szCs w:val="30"/>
          <w:lang w:val="en-US" w:eastAsia="zh-CN"/>
        </w:rPr>
      </w:pPr>
    </w:p>
    <w:p>
      <w:pPr>
        <w:numPr>
          <w:ilvl w:val="0"/>
          <w:numId w:val="0"/>
        </w:numPr>
        <w:ind w:firstLine="600" w:firstLineChars="200"/>
        <w:jc w:val="left"/>
        <w:rPr>
          <w:rFonts w:hint="eastAsia" w:ascii="宋体" w:hAnsi="宋体" w:eastAsia="宋体" w:cs="宋体"/>
          <w:sz w:val="30"/>
          <w:szCs w:val="30"/>
        </w:rPr>
      </w:pPr>
      <w:r>
        <w:rPr>
          <w:rFonts w:hint="eastAsia" w:ascii="宋体" w:hAnsi="宋体" w:eastAsia="宋体" w:cs="宋体"/>
          <w:sz w:val="30"/>
          <w:szCs w:val="30"/>
          <w:lang w:eastAsia="zh-CN"/>
        </w:rPr>
        <w:t>项目二：</w:t>
      </w:r>
      <w:r>
        <w:rPr>
          <w:rFonts w:hint="eastAsia" w:ascii="宋体" w:hAnsi="宋体" w:eastAsia="宋体" w:cs="宋体"/>
          <w:sz w:val="30"/>
          <w:szCs w:val="30"/>
        </w:rPr>
        <w:t>森林防火远程视频监控系统设施保护</w:t>
      </w:r>
    </w:p>
    <w:p>
      <w:pPr>
        <w:numPr>
          <w:ilvl w:val="0"/>
          <w:numId w:val="0"/>
        </w:numPr>
        <w:ind w:firstLine="600" w:firstLineChars="200"/>
        <w:jc w:val="left"/>
        <w:rPr>
          <w:rFonts w:hint="eastAsia" w:ascii="宋体" w:hAnsi="宋体" w:eastAsia="宋体" w:cs="宋体"/>
          <w:sz w:val="30"/>
          <w:szCs w:val="30"/>
          <w:lang w:eastAsia="zh-CN"/>
        </w:rPr>
      </w:pPr>
      <w:r>
        <w:rPr>
          <w:rFonts w:hint="eastAsia" w:ascii="宋体" w:hAnsi="宋体" w:eastAsia="宋体" w:cs="宋体"/>
          <w:sz w:val="30"/>
          <w:szCs w:val="30"/>
        </w:rPr>
        <w:t>根据年初设定的绩效目标，项目自评得分为</w:t>
      </w:r>
      <w:r>
        <w:rPr>
          <w:rFonts w:hint="eastAsia" w:ascii="宋体" w:hAnsi="宋体" w:eastAsia="宋体" w:cs="宋体"/>
          <w:sz w:val="30"/>
          <w:szCs w:val="30"/>
          <w:lang w:val="en-US" w:eastAsia="zh-CN"/>
        </w:rPr>
        <w:t>9</w:t>
      </w:r>
      <w:r>
        <w:rPr>
          <w:rFonts w:hint="eastAsia" w:ascii="宋体" w:hAnsi="宋体" w:cs="宋体"/>
          <w:sz w:val="30"/>
          <w:szCs w:val="30"/>
          <w:lang w:val="en-US" w:eastAsia="zh-CN"/>
        </w:rPr>
        <w:t>8</w:t>
      </w:r>
      <w:r>
        <w:rPr>
          <w:rFonts w:hint="eastAsia" w:ascii="宋体" w:hAnsi="宋体" w:eastAsia="宋体" w:cs="宋体"/>
          <w:sz w:val="30"/>
          <w:szCs w:val="30"/>
        </w:rPr>
        <w:t>分。全年预算数为</w:t>
      </w:r>
      <w:r>
        <w:rPr>
          <w:rFonts w:hint="eastAsia" w:ascii="宋体" w:hAnsi="宋体" w:eastAsia="宋体" w:cs="宋体"/>
          <w:sz w:val="30"/>
          <w:szCs w:val="30"/>
          <w:lang w:val="en-US" w:eastAsia="zh-CN"/>
        </w:rPr>
        <w:t>20</w:t>
      </w:r>
      <w:r>
        <w:rPr>
          <w:rFonts w:hint="eastAsia" w:ascii="宋体" w:hAnsi="宋体" w:eastAsia="宋体" w:cs="宋体"/>
          <w:sz w:val="30"/>
          <w:szCs w:val="30"/>
        </w:rPr>
        <w:t>万元，执行数为</w:t>
      </w:r>
      <w:r>
        <w:rPr>
          <w:rFonts w:hint="eastAsia" w:ascii="宋体" w:hAnsi="宋体" w:eastAsia="宋体" w:cs="宋体"/>
          <w:sz w:val="30"/>
          <w:szCs w:val="30"/>
          <w:lang w:val="en-US" w:eastAsia="zh-CN"/>
        </w:rPr>
        <w:t>18.92</w:t>
      </w:r>
      <w:r>
        <w:rPr>
          <w:rFonts w:hint="eastAsia" w:ascii="宋体" w:hAnsi="宋体" w:eastAsia="宋体" w:cs="宋体"/>
          <w:sz w:val="30"/>
          <w:szCs w:val="30"/>
        </w:rPr>
        <w:t>万元，完成预算的</w:t>
      </w:r>
      <w:r>
        <w:rPr>
          <w:rFonts w:hint="eastAsia" w:ascii="宋体" w:hAnsi="宋体" w:eastAsia="宋体" w:cs="宋体"/>
          <w:sz w:val="30"/>
          <w:szCs w:val="30"/>
          <w:lang w:val="en-US" w:eastAsia="zh-CN"/>
        </w:rPr>
        <w:t>94.6</w:t>
      </w:r>
      <w:r>
        <w:rPr>
          <w:rFonts w:hint="eastAsia" w:ascii="宋体" w:hAnsi="宋体" w:eastAsia="宋体" w:cs="宋体"/>
          <w:sz w:val="30"/>
          <w:szCs w:val="30"/>
        </w:rPr>
        <w:t>%。项目绩效目标完成情况:</w:t>
      </w:r>
      <w:r>
        <w:rPr>
          <w:rFonts w:hint="eastAsia" w:ascii="宋体" w:hAnsi="宋体" w:eastAsia="宋体" w:cs="宋体"/>
          <w:kern w:val="0"/>
          <w:sz w:val="30"/>
          <w:szCs w:val="30"/>
        </w:rPr>
        <w:t>我市目前有42个视频监控前端设施，应该安设防护栏进行保护的有26个，根据勘测和测算，今年可安装11个。森林防火远程视频监控系统视频监控前端点设施防护栏安装到位后，可有效防止人为破坏或动物闯入损坏，使森林防火视频监控系统能够正常运行，确保市森林草原防灭火指挥部办公室进及时掌握热点信息，快速发现火情，处置森林火灾，实现打早、打小、打了。</w:t>
      </w:r>
      <w:r>
        <w:rPr>
          <w:rFonts w:hint="eastAsia" w:ascii="宋体" w:hAnsi="宋体" w:eastAsia="宋体" w:cs="宋体"/>
          <w:sz w:val="30"/>
          <w:szCs w:val="30"/>
          <w:lang w:eastAsia="zh-CN"/>
        </w:rPr>
        <w:t>发现的主要问题及原因：一是由于地势险要，交通不便，施工难度大，二是地处偏远深山老林，监管难度大，网络设备经常受到牲畜及人为破坏。</w:t>
      </w:r>
    </w:p>
    <w:tbl>
      <w:tblPr>
        <w:tblStyle w:val="5"/>
        <w:tblW w:w="9080" w:type="dxa"/>
        <w:jc w:val="center"/>
        <w:tblLayout w:type="fixed"/>
        <w:tblCellMar>
          <w:top w:w="0" w:type="dxa"/>
          <w:left w:w="108" w:type="dxa"/>
          <w:bottom w:w="0" w:type="dxa"/>
          <w:right w:w="108" w:type="dxa"/>
        </w:tblCellMar>
      </w:tblPr>
      <w:tblGrid>
        <w:gridCol w:w="588"/>
        <w:gridCol w:w="980"/>
        <w:gridCol w:w="66"/>
        <w:gridCol w:w="1046"/>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529" w:hRule="exact"/>
          <w:jc w:val="center"/>
        </w:trPr>
        <w:tc>
          <w:tcPr>
            <w:tcW w:w="9080" w:type="dxa"/>
            <w:gridSpan w:val="15"/>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华文中宋" w:hAnsi="华文中宋" w:eastAsia="华文中宋" w:cs="华文中宋"/>
                <w:b/>
                <w:bCs/>
                <w:kern w:val="0"/>
                <w:sz w:val="36"/>
                <w:szCs w:val="36"/>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5"/>
            <w:tcBorders>
              <w:top w:val="nil"/>
              <w:left w:val="nil"/>
              <w:bottom w:val="nil"/>
              <w:right w:val="nil"/>
            </w:tcBorders>
            <w:noWrap w:val="0"/>
            <w:vAlign w:val="top"/>
          </w:tcPr>
          <w:p>
            <w:pPr>
              <w:widowControl/>
              <w:rPr>
                <w:rFonts w:ascii="宋体" w:hAnsi="宋体" w:eastAsia="宋体" w:cs="宋体"/>
                <w:kern w:val="0"/>
                <w:sz w:val="22"/>
                <w:szCs w:val="22"/>
              </w:rPr>
            </w:pPr>
            <w:r>
              <w:rPr>
                <w:rFonts w:hint="eastAsia" w:ascii="宋体" w:hAnsi="宋体" w:eastAsia="宋体" w:cs="宋体"/>
                <w:kern w:val="0"/>
                <w:sz w:val="22"/>
                <w:szCs w:val="22"/>
              </w:rPr>
              <w:t>填列单位（公章）：                （ 2021  年度）</w:t>
            </w:r>
          </w:p>
        </w:tc>
      </w:tr>
      <w:tr>
        <w:tblPrEx>
          <w:tblCellMar>
            <w:top w:w="0" w:type="dxa"/>
            <w:left w:w="108" w:type="dxa"/>
            <w:bottom w:w="0" w:type="dxa"/>
            <w:right w:w="108" w:type="dxa"/>
          </w:tblCellMar>
        </w:tblPrEx>
        <w:trPr>
          <w:trHeight w:val="32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森林防火远程视频监控系统设施保护</w:t>
            </w:r>
          </w:p>
        </w:tc>
      </w:tr>
      <w:tr>
        <w:tblPrEx>
          <w:tblCellMar>
            <w:top w:w="0" w:type="dxa"/>
            <w:left w:w="108" w:type="dxa"/>
            <w:bottom w:w="0" w:type="dxa"/>
            <w:right w:w="108" w:type="dxa"/>
          </w:tblCellMar>
        </w:tblPrEx>
        <w:trPr>
          <w:trHeight w:val="38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大同市应急管理局</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大同市应急管理局</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项目资金</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18.92</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8</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18.92</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2662"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我市目前有42个视频监控前端设施，应该安设防护栏进行保护的有26个，根据勘测和测算，今年可安装10个。森林防火远程视频监控系统视频监控前端点设施防护栏安装到位后，可有效防止人为破坏或动物闯入损坏，使森林防火视频监控系统能够正常运行，确保市森林草原防灭火指挥部办公室进及时掌握热点信息，快速发现火情，处置森林火灾，实现打早、打小、打了。</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我市目前有42个视频监控前端设施，应该安设防护栏进行保护的有26个，根据勘测和测算，今年可安装10个。森林防火远程视频监控系统视频监控前端点设施防护栏安装到位后，可有效防止人为破坏或动物闯入损坏，使森林防火视频监控系统能够正常运行，确保市森林草原防灭火指挥部办公室进及时掌握热点信息，快速发现火情，处置森林火灾，实现打早、打小、打了。</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绩</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效</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67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对10个视频监控前端设施安设防护栏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10个</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10个</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2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按照国家或者行业标准工作安装围栏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达标</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达标</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2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及时按照标准安装</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及时</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及时</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5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按照工作需要安装防护围栏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20万元</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4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3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保障人民生命财产安全和森林草原防火需求</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02"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保障远程视频线路畅通</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82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相关人群满意度</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58" w:hRule="exact"/>
          <w:jc w:val="center"/>
        </w:trPr>
        <w:tc>
          <w:tcPr>
            <w:tcW w:w="6529"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190" w:hRule="atLeast"/>
          <w:jc w:val="center"/>
        </w:trPr>
        <w:tc>
          <w:tcPr>
            <w:tcW w:w="5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项目绩效分析</w:t>
            </w:r>
          </w:p>
        </w:tc>
        <w:tc>
          <w:tcPr>
            <w:tcW w:w="104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自评结果分析</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项目实施和预算执行情况及分析</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1.现场测量统计视频监控系统前端点围网数据2.选择合适的森林防火远程视频监控系统设施前端点保护材料3.提交局党组会议研究后，报市财政局履行有关手续。4.安装森林防火远程视频监控系统设施保护装置。严格监管资金用途</w:t>
            </w:r>
          </w:p>
        </w:tc>
      </w:tr>
      <w:tr>
        <w:tblPrEx>
          <w:tblCellMar>
            <w:top w:w="0" w:type="dxa"/>
            <w:left w:w="108" w:type="dxa"/>
            <w:bottom w:w="0" w:type="dxa"/>
            <w:right w:w="108" w:type="dxa"/>
          </w:tblCellMar>
        </w:tblPrEx>
        <w:trPr>
          <w:trHeight w:val="1045" w:hRule="atLeas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产出情况及分析</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保障远程视频线路畅通</w:t>
            </w:r>
          </w:p>
        </w:tc>
      </w:tr>
      <w:tr>
        <w:tblPrEx>
          <w:tblCellMar>
            <w:top w:w="0" w:type="dxa"/>
            <w:left w:w="108" w:type="dxa"/>
            <w:bottom w:w="0" w:type="dxa"/>
            <w:right w:w="108" w:type="dxa"/>
          </w:tblCellMar>
        </w:tblPrEx>
        <w:trPr>
          <w:trHeight w:val="1100" w:hRule="atLeas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效益情况及分析</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保障人民生命财产和森林草原不受损失</w:t>
            </w:r>
          </w:p>
        </w:tc>
      </w:tr>
      <w:tr>
        <w:tblPrEx>
          <w:tblCellMar>
            <w:top w:w="0" w:type="dxa"/>
            <w:left w:w="108" w:type="dxa"/>
            <w:bottom w:w="0" w:type="dxa"/>
            <w:right w:w="108" w:type="dxa"/>
          </w:tblCellMar>
        </w:tblPrEx>
        <w:trPr>
          <w:trHeight w:val="890" w:hRule="atLeas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满意度情况及分析</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相关人群达到满意</w:t>
            </w:r>
          </w:p>
        </w:tc>
      </w:tr>
      <w:tr>
        <w:tblPrEx>
          <w:tblCellMar>
            <w:top w:w="0" w:type="dxa"/>
            <w:left w:w="108" w:type="dxa"/>
            <w:bottom w:w="0" w:type="dxa"/>
            <w:right w:w="108" w:type="dxa"/>
          </w:tblCellMar>
        </w:tblPrEx>
        <w:trPr>
          <w:trHeight w:val="2240" w:hRule="exac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209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主要经验做法</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我局将严格按照《大同市森林防火规划》、《大同市森林防火远程视频监控系统管理制度》来推进该项目的管理，落实好管理责任，防范项目风险，保证该项目有效实施。</w:t>
            </w:r>
          </w:p>
        </w:tc>
      </w:tr>
      <w:tr>
        <w:tblPrEx>
          <w:tblCellMar>
            <w:top w:w="0" w:type="dxa"/>
            <w:left w:w="108" w:type="dxa"/>
            <w:bottom w:w="0" w:type="dxa"/>
            <w:right w:w="108" w:type="dxa"/>
          </w:tblCellMar>
        </w:tblPrEx>
        <w:trPr>
          <w:trHeight w:val="4900" w:hRule="exac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209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项目管理中存在的</w:t>
            </w:r>
          </w:p>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主要问题及原因分析</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r>
      <w:tr>
        <w:tblPrEx>
          <w:tblCellMar>
            <w:top w:w="0" w:type="dxa"/>
            <w:left w:w="108" w:type="dxa"/>
            <w:bottom w:w="0" w:type="dxa"/>
            <w:right w:w="108" w:type="dxa"/>
          </w:tblCellMar>
        </w:tblPrEx>
        <w:trPr>
          <w:trHeight w:val="2020" w:hRule="exac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209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下一步改进措施及</w:t>
            </w:r>
          </w:p>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管理建议</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r>
    </w:tbl>
    <w:p>
      <w:pPr>
        <w:numPr>
          <w:ilvl w:val="0"/>
          <w:numId w:val="0"/>
        </w:numPr>
        <w:ind w:firstLine="600" w:firstLineChars="200"/>
        <w:jc w:val="left"/>
        <w:rPr>
          <w:rFonts w:hint="eastAsia" w:ascii="宋体" w:hAnsi="宋体" w:eastAsia="宋体" w:cs="宋体"/>
          <w:sz w:val="30"/>
          <w:szCs w:val="30"/>
          <w:lang w:eastAsia="zh-CN"/>
        </w:rPr>
      </w:pPr>
    </w:p>
    <w:p>
      <w:pPr>
        <w:numPr>
          <w:ilvl w:val="0"/>
          <w:numId w:val="0"/>
        </w:numPr>
        <w:ind w:firstLine="600" w:firstLineChars="200"/>
        <w:jc w:val="left"/>
        <w:rPr>
          <w:rFonts w:hint="eastAsia" w:ascii="宋体" w:hAnsi="宋体" w:eastAsia="宋体" w:cs="宋体"/>
          <w:sz w:val="30"/>
          <w:szCs w:val="30"/>
          <w:lang w:eastAsia="zh-CN"/>
        </w:rPr>
      </w:pPr>
      <w:r>
        <w:rPr>
          <w:rFonts w:hint="eastAsia" w:ascii="宋体" w:hAnsi="宋体" w:eastAsia="宋体" w:cs="宋体"/>
          <w:sz w:val="30"/>
          <w:szCs w:val="30"/>
          <w:lang w:eastAsia="zh-CN"/>
        </w:rPr>
        <w:t>项目三：</w:t>
      </w:r>
      <w:r>
        <w:rPr>
          <w:rFonts w:hint="eastAsia" w:ascii="宋体" w:hAnsi="宋体" w:eastAsia="宋体" w:cs="宋体"/>
          <w:sz w:val="30"/>
          <w:szCs w:val="30"/>
        </w:rPr>
        <w:t>安全专项检查和聘请专家费</w:t>
      </w:r>
      <w:r>
        <w:rPr>
          <w:rFonts w:ascii="宋体" w:hAnsi="宋体" w:eastAsia="宋体" w:cs="宋体"/>
          <w:sz w:val="30"/>
          <w:szCs w:val="30"/>
        </w:rPr>
        <w:br w:type="textWrapping"/>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根据年初设定的绩效目标，项目自评得分为</w:t>
      </w:r>
      <w:r>
        <w:rPr>
          <w:rFonts w:hint="eastAsia" w:ascii="宋体" w:hAnsi="宋体" w:eastAsia="宋体" w:cs="宋体"/>
          <w:sz w:val="30"/>
          <w:szCs w:val="30"/>
          <w:lang w:val="en-US" w:eastAsia="zh-CN"/>
        </w:rPr>
        <w:t>9</w:t>
      </w:r>
      <w:r>
        <w:rPr>
          <w:rFonts w:hint="eastAsia" w:ascii="宋体" w:hAnsi="宋体" w:cs="宋体"/>
          <w:sz w:val="30"/>
          <w:szCs w:val="30"/>
          <w:lang w:val="en-US" w:eastAsia="zh-CN"/>
        </w:rPr>
        <w:t>7</w:t>
      </w:r>
      <w:r>
        <w:rPr>
          <w:rFonts w:hint="eastAsia" w:ascii="宋体" w:hAnsi="宋体" w:eastAsia="宋体" w:cs="宋体"/>
          <w:sz w:val="30"/>
          <w:szCs w:val="30"/>
        </w:rPr>
        <w:t>分。全年预算数为</w:t>
      </w:r>
      <w:r>
        <w:rPr>
          <w:rFonts w:hint="eastAsia" w:ascii="宋体" w:hAnsi="宋体" w:cs="宋体"/>
          <w:sz w:val="30"/>
          <w:szCs w:val="30"/>
          <w:lang w:val="en-US" w:eastAsia="zh-CN"/>
        </w:rPr>
        <w:t>147.86</w:t>
      </w:r>
      <w:r>
        <w:rPr>
          <w:rFonts w:hint="eastAsia" w:ascii="宋体" w:hAnsi="宋体" w:eastAsia="宋体" w:cs="宋体"/>
          <w:sz w:val="30"/>
          <w:szCs w:val="30"/>
        </w:rPr>
        <w:t>万元，执行数为</w:t>
      </w:r>
      <w:r>
        <w:rPr>
          <w:rFonts w:hint="eastAsia" w:ascii="宋体" w:hAnsi="宋体" w:cs="宋体"/>
          <w:sz w:val="30"/>
          <w:szCs w:val="30"/>
          <w:lang w:val="en-US" w:eastAsia="zh-CN"/>
        </w:rPr>
        <w:t>112.86</w:t>
      </w:r>
      <w:r>
        <w:rPr>
          <w:rFonts w:hint="eastAsia" w:ascii="宋体" w:hAnsi="宋体" w:eastAsia="宋体" w:cs="宋体"/>
          <w:sz w:val="30"/>
          <w:szCs w:val="30"/>
        </w:rPr>
        <w:t>万元，完成预算的</w:t>
      </w:r>
      <w:r>
        <w:rPr>
          <w:rFonts w:hint="eastAsia" w:ascii="宋体" w:hAnsi="宋体" w:eastAsia="宋体" w:cs="宋体"/>
          <w:sz w:val="30"/>
          <w:szCs w:val="30"/>
          <w:lang w:val="en-US" w:eastAsia="zh-CN"/>
        </w:rPr>
        <w:t>7</w:t>
      </w:r>
      <w:r>
        <w:rPr>
          <w:rFonts w:hint="eastAsia" w:ascii="宋体" w:hAnsi="宋体" w:cs="宋体"/>
          <w:sz w:val="30"/>
          <w:szCs w:val="30"/>
          <w:lang w:val="en-US" w:eastAsia="zh-CN"/>
        </w:rPr>
        <w:t>6</w:t>
      </w:r>
      <w:r>
        <w:rPr>
          <w:rFonts w:hint="eastAsia" w:ascii="宋体" w:hAnsi="宋体" w:eastAsia="宋体" w:cs="宋体"/>
          <w:sz w:val="30"/>
          <w:szCs w:val="30"/>
        </w:rPr>
        <w:t>%。项目绩效目标完成情况:</w:t>
      </w:r>
      <w:r>
        <w:rPr>
          <w:rFonts w:hint="eastAsia" w:ascii="宋体" w:hAnsi="宋体" w:eastAsia="宋体" w:cs="宋体"/>
          <w:sz w:val="30"/>
          <w:szCs w:val="30"/>
          <w:lang w:eastAsia="zh-CN"/>
        </w:rPr>
        <w:t>组织各行业专家</w:t>
      </w:r>
      <w:r>
        <w:rPr>
          <w:rFonts w:hint="eastAsia" w:ascii="宋体" w:hAnsi="宋体" w:eastAsia="宋体" w:cs="宋体"/>
          <w:kern w:val="0"/>
          <w:sz w:val="30"/>
          <w:szCs w:val="30"/>
        </w:rPr>
        <w:t>完成年度全市煤矿安全执法检查计划、安全生产标准化现场考核，减少一般性事故，遏制重特大事故。</w:t>
      </w:r>
      <w:r>
        <w:rPr>
          <w:rFonts w:hint="eastAsia" w:ascii="宋体" w:hAnsi="宋体" w:eastAsia="宋体" w:cs="宋体"/>
          <w:sz w:val="30"/>
          <w:szCs w:val="30"/>
        </w:rPr>
        <w:t>下一步改进措施:</w:t>
      </w:r>
      <w:r>
        <w:rPr>
          <w:rFonts w:hint="eastAsia" w:ascii="宋体" w:hAnsi="宋体" w:eastAsia="宋体" w:cs="宋体"/>
          <w:sz w:val="30"/>
          <w:szCs w:val="30"/>
          <w:lang w:eastAsia="zh-CN"/>
        </w:rPr>
        <w:t>疫情结束后，</w:t>
      </w:r>
      <w:r>
        <w:rPr>
          <w:rFonts w:hint="eastAsia" w:ascii="宋体" w:hAnsi="宋体" w:eastAsia="宋体" w:cs="宋体"/>
          <w:kern w:val="0"/>
          <w:sz w:val="30"/>
          <w:szCs w:val="30"/>
        </w:rPr>
        <w:t>加大</w:t>
      </w:r>
      <w:r>
        <w:rPr>
          <w:rFonts w:hint="eastAsia" w:ascii="宋体" w:hAnsi="宋体" w:eastAsia="宋体" w:cs="宋体"/>
          <w:kern w:val="0"/>
          <w:sz w:val="30"/>
          <w:szCs w:val="30"/>
          <w:lang w:eastAsia="zh-CN"/>
        </w:rPr>
        <w:t>执法</w:t>
      </w:r>
      <w:r>
        <w:rPr>
          <w:rFonts w:hint="eastAsia" w:ascii="宋体" w:hAnsi="宋体" w:eastAsia="宋体" w:cs="宋体"/>
          <w:kern w:val="0"/>
          <w:sz w:val="30"/>
          <w:szCs w:val="30"/>
        </w:rPr>
        <w:t>检查力度，降低企业事故发生率</w:t>
      </w:r>
      <w:r>
        <w:rPr>
          <w:rFonts w:hint="eastAsia" w:ascii="宋体" w:hAnsi="宋体" w:eastAsia="宋体" w:cs="宋体"/>
          <w:kern w:val="0"/>
          <w:sz w:val="30"/>
          <w:szCs w:val="30"/>
          <w:lang w:eastAsia="zh-CN"/>
        </w:rPr>
        <w:t>，保护国家及人民生命财产安全。</w:t>
      </w:r>
    </w:p>
    <w:tbl>
      <w:tblPr>
        <w:tblStyle w:val="5"/>
        <w:tblW w:w="9080" w:type="dxa"/>
        <w:jc w:val="center"/>
        <w:tblLayout w:type="fixed"/>
        <w:tblCellMar>
          <w:top w:w="0" w:type="dxa"/>
          <w:left w:w="108" w:type="dxa"/>
          <w:bottom w:w="0" w:type="dxa"/>
          <w:right w:w="108" w:type="dxa"/>
        </w:tblCellMar>
      </w:tblPr>
      <w:tblGrid>
        <w:gridCol w:w="588"/>
        <w:gridCol w:w="980"/>
        <w:gridCol w:w="66"/>
        <w:gridCol w:w="1046"/>
        <w:gridCol w:w="730"/>
        <w:gridCol w:w="728"/>
        <w:gridCol w:w="406"/>
        <w:gridCol w:w="284"/>
        <w:gridCol w:w="869"/>
        <w:gridCol w:w="832"/>
        <w:gridCol w:w="283"/>
        <w:gridCol w:w="284"/>
        <w:gridCol w:w="425"/>
        <w:gridCol w:w="142"/>
        <w:gridCol w:w="709"/>
        <w:gridCol w:w="708"/>
      </w:tblGrid>
      <w:tr>
        <w:tblPrEx>
          <w:tblCellMar>
            <w:top w:w="0" w:type="dxa"/>
            <w:left w:w="108" w:type="dxa"/>
            <w:bottom w:w="0" w:type="dxa"/>
            <w:right w:w="108" w:type="dxa"/>
          </w:tblCellMar>
        </w:tblPrEx>
        <w:trPr>
          <w:trHeight w:val="529" w:hRule="exact"/>
          <w:jc w:val="center"/>
        </w:trPr>
        <w:tc>
          <w:tcPr>
            <w:tcW w:w="9080" w:type="dxa"/>
            <w:gridSpan w:val="16"/>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华文中宋" w:hAnsi="华文中宋" w:eastAsia="华文中宋" w:cs="华文中宋"/>
                <w:b/>
                <w:bCs/>
                <w:kern w:val="0"/>
                <w:sz w:val="36"/>
                <w:szCs w:val="36"/>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6"/>
            <w:tcBorders>
              <w:top w:val="nil"/>
              <w:left w:val="nil"/>
              <w:bottom w:val="nil"/>
              <w:right w:val="nil"/>
            </w:tcBorders>
            <w:noWrap w:val="0"/>
            <w:vAlign w:val="top"/>
          </w:tcPr>
          <w:p>
            <w:pPr>
              <w:widowControl/>
              <w:rPr>
                <w:rFonts w:ascii="宋体" w:hAnsi="宋体" w:eastAsia="宋体" w:cs="宋体"/>
                <w:kern w:val="0"/>
                <w:sz w:val="22"/>
                <w:szCs w:val="22"/>
              </w:rPr>
            </w:pPr>
            <w:r>
              <w:rPr>
                <w:rFonts w:hint="eastAsia" w:ascii="宋体" w:hAnsi="宋体" w:eastAsia="宋体" w:cs="宋体"/>
                <w:kern w:val="0"/>
                <w:sz w:val="22"/>
                <w:szCs w:val="22"/>
              </w:rPr>
              <w:t>填列单位（公章）：                （ 2021年度）</w:t>
            </w:r>
          </w:p>
        </w:tc>
      </w:tr>
      <w:tr>
        <w:tblPrEx>
          <w:tblCellMar>
            <w:top w:w="0" w:type="dxa"/>
            <w:left w:w="108" w:type="dxa"/>
            <w:bottom w:w="0" w:type="dxa"/>
            <w:right w:w="108" w:type="dxa"/>
          </w:tblCellMar>
        </w:tblPrEx>
        <w:trPr>
          <w:trHeight w:val="32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安全专项检查和聘请专家费</w:t>
            </w:r>
          </w:p>
        </w:tc>
      </w:tr>
      <w:tr>
        <w:tblPrEx>
          <w:tblCellMar>
            <w:top w:w="0" w:type="dxa"/>
            <w:left w:w="108" w:type="dxa"/>
            <w:bottom w:w="0" w:type="dxa"/>
            <w:right w:w="108" w:type="dxa"/>
          </w:tblCellMar>
        </w:tblPrEx>
        <w:trPr>
          <w:trHeight w:val="38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257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大同市应急管理局</w:t>
            </w:r>
          </w:p>
        </w:tc>
        <w:tc>
          <w:tcPr>
            <w:tcW w:w="2674"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大同市应急管理局</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项目资金</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5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全年预算数算数</w:t>
            </w:r>
          </w:p>
        </w:tc>
        <w:tc>
          <w:tcPr>
            <w:tcW w:w="11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147.86</w:t>
            </w:r>
          </w:p>
        </w:tc>
        <w:tc>
          <w:tcPr>
            <w:tcW w:w="115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147.86</w:t>
            </w:r>
          </w:p>
        </w:tc>
        <w:tc>
          <w:tcPr>
            <w:tcW w:w="11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112.86</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76%</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7</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147.86</w:t>
            </w:r>
          </w:p>
        </w:tc>
        <w:tc>
          <w:tcPr>
            <w:tcW w:w="115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147.86</w:t>
            </w:r>
          </w:p>
        </w:tc>
        <w:tc>
          <w:tcPr>
            <w:tcW w:w="11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112.86</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76%</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5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5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1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355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4942"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988"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355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ind w:firstLine="360" w:firstLineChars="200"/>
              <w:jc w:val="left"/>
              <w:rPr>
                <w:rFonts w:ascii="宋体" w:hAnsi="宋体" w:eastAsia="宋体" w:cs="宋体"/>
                <w:kern w:val="0"/>
                <w:sz w:val="18"/>
                <w:szCs w:val="18"/>
              </w:rPr>
            </w:pPr>
            <w:r>
              <w:rPr>
                <w:rFonts w:hint="eastAsia" w:ascii="宋体" w:hAnsi="宋体" w:eastAsia="宋体" w:cs="宋体"/>
                <w:color w:val="000000"/>
                <w:sz w:val="18"/>
                <w:szCs w:val="18"/>
              </w:rPr>
              <w:t>完成年度全市煤矿安全执法检查计划、并聘请相关专业人员深入安全生产标准化现场考核，减少一般性事故，遏制重特大事故。</w:t>
            </w:r>
          </w:p>
        </w:tc>
        <w:tc>
          <w:tcPr>
            <w:tcW w:w="4942"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ind w:firstLine="360" w:firstLineChars="200"/>
              <w:jc w:val="left"/>
              <w:rPr>
                <w:rFonts w:ascii="宋体" w:hAnsi="宋体" w:eastAsia="宋体" w:cs="宋体"/>
                <w:kern w:val="0"/>
                <w:sz w:val="18"/>
                <w:szCs w:val="18"/>
              </w:rPr>
            </w:pPr>
            <w:r>
              <w:rPr>
                <w:rFonts w:hint="eastAsia" w:ascii="宋体" w:hAnsi="宋体" w:eastAsia="宋体" w:cs="宋体"/>
                <w:color w:val="000000"/>
                <w:sz w:val="18"/>
                <w:szCs w:val="18"/>
              </w:rPr>
              <w:t>完成年度全市煤矿安全执法检查计划、并聘请相关专业人员深入安全生产标准化现场考核，减少一般性事故，遏制重特大事故。</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绩</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效</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3362"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4"/>
            <w:tcBorders>
              <w:top w:val="single" w:color="auto" w:sz="4" w:space="0"/>
              <w:left w:val="nil"/>
              <w:bottom w:val="single" w:color="auto" w:sz="4" w:space="0"/>
              <w:right w:val="single" w:color="auto" w:sz="4" w:space="0"/>
            </w:tcBorders>
            <w:noWrap w:val="0"/>
            <w:vAlign w:val="center"/>
          </w:tcPr>
          <w:p>
            <w:pPr>
              <w:rPr>
                <w:rFonts w:ascii="宋体" w:hAnsi="宋体" w:eastAsia="宋体" w:cs="宋体"/>
                <w:color w:val="333333"/>
                <w:sz w:val="18"/>
                <w:szCs w:val="18"/>
              </w:rPr>
            </w:pPr>
            <w:r>
              <w:rPr>
                <w:rFonts w:hint="eastAsia" w:ascii="宋体" w:hAnsi="宋体" w:eastAsia="宋体" w:cs="宋体"/>
                <w:color w:val="000000"/>
                <w:kern w:val="0"/>
                <w:sz w:val="18"/>
                <w:szCs w:val="18"/>
              </w:rPr>
              <w:t>完成全市煤矿、非煤、危化等执法检查计划、安全生产标准化现场考核完成率</w:t>
            </w:r>
          </w:p>
          <w:p>
            <w:pPr>
              <w:rPr>
                <w:rFonts w:hint="eastAsia" w:ascii="宋体" w:hAnsi="宋体" w:eastAsia="宋体" w:cs="宋体"/>
                <w:color w:val="333333"/>
                <w:sz w:val="18"/>
                <w:szCs w:val="18"/>
              </w:rPr>
            </w:pPr>
            <w:r>
              <w:rPr>
                <w:rFonts w:hint="eastAsia" w:ascii="宋体" w:hAnsi="宋体" w:eastAsia="宋体" w:cs="宋体"/>
                <w:color w:val="333333"/>
                <w:sz w:val="18"/>
                <w:szCs w:val="18"/>
              </w:rPr>
              <w:t>聘请高级专业技术职称专家服务682次、非高级专业技术职称专家服务402次</w:t>
            </w:r>
          </w:p>
          <w:p>
            <w:pPr>
              <w:widowControl/>
              <w:spacing w:line="240" w:lineRule="exact"/>
              <w:jc w:val="left"/>
              <w:rPr>
                <w:rFonts w:ascii="宋体" w:hAnsi="宋体" w:eastAsia="宋体" w:cs="宋体"/>
                <w:color w:val="000000"/>
                <w:kern w:val="0"/>
                <w:sz w:val="18"/>
                <w:szCs w:val="18"/>
              </w:rPr>
            </w:pPr>
          </w:p>
        </w:tc>
        <w:tc>
          <w:tcPr>
            <w:tcW w:w="869"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专业技术职称专家服务682次、非高级专业技术职称专家服务402次</w:t>
            </w:r>
          </w:p>
          <w:p>
            <w:pPr>
              <w:widowControl/>
              <w:spacing w:line="240" w:lineRule="exact"/>
              <w:jc w:val="center"/>
              <w:rPr>
                <w:rFonts w:hint="eastAsia" w:ascii="宋体" w:hAnsi="宋体" w:eastAsia="宋体" w:cs="宋体"/>
                <w:kern w:val="0"/>
                <w:sz w:val="18"/>
                <w:szCs w:val="18"/>
              </w:rPr>
            </w:pPr>
          </w:p>
        </w:tc>
        <w:tc>
          <w:tcPr>
            <w:tcW w:w="83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100%</w:t>
            </w:r>
          </w:p>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专业技术职称专家服务619次、非高级专业技术职称专家服务351次</w:t>
            </w:r>
          </w:p>
          <w:p>
            <w:pPr>
              <w:widowControl/>
              <w:spacing w:line="240" w:lineRule="exact"/>
              <w:jc w:val="center"/>
              <w:rPr>
                <w:rFonts w:hint="eastAsia"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3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减少一般性事故、遏制重特大事故工作达标率</w:t>
            </w:r>
          </w:p>
        </w:tc>
        <w:tc>
          <w:tcPr>
            <w:tcW w:w="8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达标</w:t>
            </w:r>
          </w:p>
        </w:tc>
        <w:tc>
          <w:tcPr>
            <w:tcW w:w="8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达标</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工作完成及时性</w:t>
            </w:r>
          </w:p>
        </w:tc>
        <w:tc>
          <w:tcPr>
            <w:tcW w:w="8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tc>
        <w:tc>
          <w:tcPr>
            <w:tcW w:w="8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促进煤矿健康稳定发展</w:t>
            </w:r>
          </w:p>
        </w:tc>
        <w:tc>
          <w:tcPr>
            <w:tcW w:w="8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促进</w:t>
            </w:r>
          </w:p>
        </w:tc>
        <w:tc>
          <w:tcPr>
            <w:tcW w:w="8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促进</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3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降低全市煤矿安全生产事故率</w:t>
            </w:r>
          </w:p>
        </w:tc>
        <w:tc>
          <w:tcPr>
            <w:tcW w:w="8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降低</w:t>
            </w:r>
          </w:p>
        </w:tc>
        <w:tc>
          <w:tcPr>
            <w:tcW w:w="8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降低</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6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降低煤矿事故人员死亡率</w:t>
            </w:r>
          </w:p>
        </w:tc>
        <w:tc>
          <w:tcPr>
            <w:tcW w:w="8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降低</w:t>
            </w:r>
          </w:p>
        </w:tc>
        <w:tc>
          <w:tcPr>
            <w:tcW w:w="8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降低</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81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相关人群满意度</w:t>
            </w:r>
          </w:p>
          <w:p>
            <w:pPr>
              <w:jc w:val="left"/>
              <w:rPr>
                <w:rFonts w:ascii="宋体" w:hAnsi="宋体" w:eastAsia="宋体" w:cs="宋体"/>
                <w:color w:val="000000"/>
                <w:kern w:val="0"/>
                <w:sz w:val="18"/>
                <w:szCs w:val="18"/>
              </w:rPr>
            </w:pPr>
          </w:p>
        </w:tc>
        <w:tc>
          <w:tcPr>
            <w:tcW w:w="8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w:t>
            </w:r>
          </w:p>
        </w:tc>
        <w:tc>
          <w:tcPr>
            <w:tcW w:w="8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00" w:hRule="exact"/>
          <w:jc w:val="center"/>
        </w:trPr>
        <w:tc>
          <w:tcPr>
            <w:tcW w:w="6529"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190" w:hRule="atLeast"/>
          <w:jc w:val="center"/>
        </w:trPr>
        <w:tc>
          <w:tcPr>
            <w:tcW w:w="5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项目绩效分析</w:t>
            </w:r>
          </w:p>
        </w:tc>
        <w:tc>
          <w:tcPr>
            <w:tcW w:w="104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自评结果分析</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项目实施和预算执行情况及分析</w:t>
            </w:r>
          </w:p>
        </w:tc>
        <w:tc>
          <w:tcPr>
            <w:tcW w:w="6400" w:type="dxa"/>
            <w:gridSpan w:val="1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做好煤矿安全生产监督管理和执法检查工作，为全市经济发展转型提供安全稳定的社会环境。合理安排资金用处。</w:t>
            </w:r>
          </w:p>
        </w:tc>
      </w:tr>
      <w:tr>
        <w:tblPrEx>
          <w:tblCellMar>
            <w:top w:w="0" w:type="dxa"/>
            <w:left w:w="108" w:type="dxa"/>
            <w:bottom w:w="0" w:type="dxa"/>
            <w:right w:w="108" w:type="dxa"/>
          </w:tblCellMar>
        </w:tblPrEx>
        <w:trPr>
          <w:trHeight w:val="1045" w:hRule="atLeas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产出情况及分析</w:t>
            </w:r>
          </w:p>
        </w:tc>
        <w:tc>
          <w:tcPr>
            <w:tcW w:w="6400" w:type="dxa"/>
            <w:gridSpan w:val="1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60" w:firstLineChars="20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做好煤矿安全生产监督管理和执法检查工作，为全市经济发展转型提供安全稳定的社会环境。</w:t>
            </w:r>
          </w:p>
        </w:tc>
      </w:tr>
      <w:tr>
        <w:tblPrEx>
          <w:tblCellMar>
            <w:top w:w="0" w:type="dxa"/>
            <w:left w:w="108" w:type="dxa"/>
            <w:bottom w:w="0" w:type="dxa"/>
            <w:right w:w="108" w:type="dxa"/>
          </w:tblCellMar>
        </w:tblPrEx>
        <w:trPr>
          <w:trHeight w:val="1100" w:hRule="atLeas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效益情况及分析</w:t>
            </w:r>
          </w:p>
        </w:tc>
        <w:tc>
          <w:tcPr>
            <w:tcW w:w="6400" w:type="dxa"/>
            <w:gridSpan w:val="1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降低了全市煤矿事故发生率</w:t>
            </w:r>
          </w:p>
        </w:tc>
      </w:tr>
      <w:tr>
        <w:tblPrEx>
          <w:tblCellMar>
            <w:top w:w="0" w:type="dxa"/>
            <w:left w:w="108" w:type="dxa"/>
            <w:bottom w:w="0" w:type="dxa"/>
            <w:right w:w="108" w:type="dxa"/>
          </w:tblCellMar>
        </w:tblPrEx>
        <w:trPr>
          <w:trHeight w:val="890" w:hRule="atLeas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满意度情况及分析</w:t>
            </w:r>
          </w:p>
        </w:tc>
        <w:tc>
          <w:tcPr>
            <w:tcW w:w="6400" w:type="dxa"/>
            <w:gridSpan w:val="1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通过考核，企业达到标准</w:t>
            </w:r>
          </w:p>
        </w:tc>
      </w:tr>
      <w:tr>
        <w:tblPrEx>
          <w:tblCellMar>
            <w:top w:w="0" w:type="dxa"/>
            <w:left w:w="108" w:type="dxa"/>
            <w:bottom w:w="0" w:type="dxa"/>
            <w:right w:w="108" w:type="dxa"/>
          </w:tblCellMar>
        </w:tblPrEx>
        <w:trPr>
          <w:trHeight w:val="2240" w:hRule="exac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3550"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主要经验做法</w:t>
            </w:r>
          </w:p>
        </w:tc>
        <w:tc>
          <w:tcPr>
            <w:tcW w:w="4942"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煤矿安全生产标准化现场考核，煤矿安全生产执法检查</w:t>
            </w:r>
          </w:p>
        </w:tc>
      </w:tr>
      <w:tr>
        <w:tblPrEx>
          <w:tblCellMar>
            <w:top w:w="0" w:type="dxa"/>
            <w:left w:w="108" w:type="dxa"/>
            <w:bottom w:w="0" w:type="dxa"/>
            <w:right w:w="108" w:type="dxa"/>
          </w:tblCellMar>
        </w:tblPrEx>
        <w:trPr>
          <w:trHeight w:val="4900" w:hRule="exac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3550"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项目管理中存在的</w:t>
            </w:r>
          </w:p>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主要问题及原因分析</w:t>
            </w:r>
          </w:p>
        </w:tc>
        <w:tc>
          <w:tcPr>
            <w:tcW w:w="4942"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r>
      <w:tr>
        <w:tblPrEx>
          <w:tblCellMar>
            <w:top w:w="0" w:type="dxa"/>
            <w:left w:w="108" w:type="dxa"/>
            <w:bottom w:w="0" w:type="dxa"/>
            <w:right w:w="108" w:type="dxa"/>
          </w:tblCellMar>
        </w:tblPrEx>
        <w:trPr>
          <w:trHeight w:val="2020" w:hRule="exac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3550"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下一步改进措施及</w:t>
            </w:r>
          </w:p>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管理建议</w:t>
            </w:r>
          </w:p>
        </w:tc>
        <w:tc>
          <w:tcPr>
            <w:tcW w:w="4942"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加大检查力度，降低企业事故发生率</w:t>
            </w:r>
          </w:p>
        </w:tc>
      </w:tr>
    </w:tbl>
    <w:p>
      <w:pPr>
        <w:numPr>
          <w:ilvl w:val="0"/>
          <w:numId w:val="0"/>
        </w:numPr>
        <w:rPr>
          <w:rFonts w:hint="eastAsia"/>
          <w:sz w:val="28"/>
          <w:szCs w:val="28"/>
        </w:rPr>
      </w:pPr>
    </w:p>
    <w:p>
      <w:pPr>
        <w:numPr>
          <w:ilvl w:val="0"/>
          <w:numId w:val="6"/>
        </w:numPr>
        <w:ind w:left="0" w:leftChars="0" w:firstLine="560" w:firstLineChars="200"/>
        <w:rPr>
          <w:rFonts w:hint="eastAsia"/>
          <w:sz w:val="28"/>
          <w:szCs w:val="28"/>
        </w:rPr>
      </w:pPr>
      <w:r>
        <w:rPr>
          <w:rFonts w:hint="eastAsia"/>
          <w:sz w:val="28"/>
          <w:szCs w:val="28"/>
        </w:rPr>
        <w:t>部门评价项目绩效评价结果</w:t>
      </w:r>
    </w:p>
    <w:p>
      <w:pPr>
        <w:pStyle w:val="7"/>
        <w:keepNext w:val="0"/>
        <w:keepLines w:val="0"/>
        <w:pageBreakBefore w:val="0"/>
        <w:widowControl w:val="0"/>
        <w:numPr>
          <w:ilvl w:val="0"/>
          <w:numId w:val="0"/>
        </w:numPr>
        <w:shd w:val="clear" w:color="auto" w:fill="auto"/>
        <w:tabs>
          <w:tab w:val="left" w:pos="1139"/>
        </w:tabs>
        <w:kinsoku/>
        <w:wordWrap/>
        <w:overflowPunct/>
        <w:topLinePunct w:val="0"/>
        <w:autoSpaceDE/>
        <w:autoSpaceDN/>
        <w:bidi w:val="0"/>
        <w:adjustRightInd/>
        <w:snapToGrid/>
        <w:spacing w:before="0" w:after="0" w:line="360" w:lineRule="auto"/>
        <w:ind w:right="0" w:rightChars="0" w:firstLine="600"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（一）主要问题</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60"/>
        <w:jc w:val="both"/>
        <w:textAlignment w:val="auto"/>
        <w:rPr>
          <w:rFonts w:hint="eastAsia" w:ascii="宋体" w:hAnsi="宋体" w:eastAsia="宋体" w:cs="宋体"/>
          <w:sz w:val="30"/>
          <w:szCs w:val="30"/>
        </w:rPr>
      </w:pPr>
      <w:r>
        <w:rPr>
          <w:rFonts w:hint="eastAsia" w:ascii="宋体" w:hAnsi="宋体" w:eastAsia="宋体" w:cs="宋体"/>
          <w:color w:val="000000"/>
          <w:spacing w:val="0"/>
          <w:w w:val="100"/>
          <w:position w:val="0"/>
          <w:sz w:val="30"/>
          <w:szCs w:val="30"/>
        </w:rPr>
        <w:t>2021年，市应急管理局本级对项目资金进行了预算绩效管 理，年初编报了绩效目标，年末进行了单位自评，但在年度中期 未组织开展绩效运行监控。</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60"/>
        <w:jc w:val="both"/>
        <w:textAlignment w:val="auto"/>
        <w:rPr>
          <w:rFonts w:hint="eastAsia" w:ascii="宋体" w:hAnsi="宋体" w:eastAsia="宋体" w:cs="宋体"/>
          <w:color w:val="000000"/>
          <w:spacing w:val="0"/>
          <w:w w:val="100"/>
          <w:position w:val="0"/>
          <w:sz w:val="30"/>
          <w:szCs w:val="30"/>
        </w:rPr>
      </w:pPr>
      <w:r>
        <w:rPr>
          <w:rFonts w:hint="eastAsia" w:ascii="宋体" w:hAnsi="宋体" w:eastAsia="宋体" w:cs="宋体"/>
          <w:color w:val="000000"/>
          <w:spacing w:val="0"/>
          <w:w w:val="100"/>
          <w:position w:val="0"/>
          <w:sz w:val="30"/>
          <w:szCs w:val="30"/>
          <w:lang w:eastAsia="zh-CN"/>
        </w:rPr>
        <w:t>原因是没有严格执行</w:t>
      </w:r>
      <w:r>
        <w:rPr>
          <w:rFonts w:hint="eastAsia" w:ascii="宋体" w:hAnsi="宋体" w:eastAsia="宋体" w:cs="宋体"/>
          <w:color w:val="000000"/>
          <w:spacing w:val="0"/>
          <w:w w:val="100"/>
          <w:position w:val="0"/>
          <w:sz w:val="30"/>
          <w:szCs w:val="30"/>
        </w:rPr>
        <w:t>《中共山西省委山西省人民政府关于全面实施预算绩效管理的实施意见》（晋发</w:t>
      </w:r>
      <w:r>
        <w:rPr>
          <w:rFonts w:hint="eastAsia" w:ascii="宋体" w:hAnsi="宋体" w:eastAsia="宋体" w:cs="宋体"/>
          <w:color w:val="000000"/>
          <w:spacing w:val="0"/>
          <w:w w:val="100"/>
          <w:position w:val="0"/>
          <w:sz w:val="30"/>
          <w:szCs w:val="30"/>
          <w:lang w:val="zh-CN" w:eastAsia="zh-CN" w:bidi="zh-CN"/>
        </w:rPr>
        <w:t>〔</w:t>
      </w:r>
      <w:r>
        <w:rPr>
          <w:rFonts w:hint="eastAsia" w:ascii="宋体" w:hAnsi="宋体" w:eastAsia="宋体" w:cs="宋体"/>
          <w:color w:val="000000"/>
          <w:spacing w:val="0"/>
          <w:w w:val="100"/>
          <w:position w:val="0"/>
          <w:sz w:val="30"/>
          <w:szCs w:val="30"/>
        </w:rPr>
        <w:t>2018〕39号）</w:t>
      </w:r>
      <w:r>
        <w:rPr>
          <w:rFonts w:hint="eastAsia" w:ascii="宋体" w:hAnsi="宋体" w:eastAsia="宋体" w:cs="宋体"/>
          <w:color w:val="000000"/>
          <w:spacing w:val="0"/>
          <w:w w:val="100"/>
          <w:position w:val="0"/>
          <w:sz w:val="30"/>
          <w:szCs w:val="30"/>
          <w:lang w:eastAsia="zh-CN"/>
        </w:rPr>
        <w:t>中</w:t>
      </w:r>
      <w:r>
        <w:rPr>
          <w:rFonts w:hint="eastAsia" w:ascii="宋体" w:hAnsi="宋体" w:eastAsia="宋体" w:cs="宋体"/>
          <w:color w:val="000000"/>
          <w:spacing w:val="0"/>
          <w:w w:val="100"/>
          <w:position w:val="0"/>
          <w:sz w:val="30"/>
          <w:szCs w:val="30"/>
          <w:lang w:val="zh-CN" w:eastAsia="zh-CN" w:bidi="zh-CN"/>
        </w:rPr>
        <w:t>“三</w:t>
      </w:r>
      <w:r>
        <w:rPr>
          <w:rFonts w:hint="eastAsia" w:ascii="宋体" w:hAnsi="宋体" w:eastAsia="宋体" w:cs="宋体"/>
          <w:color w:val="000000"/>
          <w:spacing w:val="0"/>
          <w:w w:val="100"/>
          <w:position w:val="0"/>
          <w:sz w:val="30"/>
          <w:szCs w:val="30"/>
        </w:rPr>
        <w:t>是做好绩效运行监 控。预算执行中，各级政府和各部门各单位要对绩效目标实现程 度和预算执行进度实行’双监控，，发现问题及时纠正，确保绩效 目标如期保质保量实现”的规定。</w:t>
      </w:r>
    </w:p>
    <w:p>
      <w:pPr>
        <w:pStyle w:val="7"/>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val="0"/>
          <w:bCs w:val="0"/>
          <w:color w:val="000000"/>
          <w:sz w:val="30"/>
          <w:szCs w:val="30"/>
          <w:lang w:val="en-US" w:eastAsia="zh-CN"/>
        </w:rPr>
      </w:pPr>
      <w:r>
        <w:rPr>
          <w:rFonts w:hint="eastAsia" w:ascii="宋体" w:hAnsi="宋体" w:eastAsia="宋体" w:cs="宋体"/>
          <w:b w:val="0"/>
          <w:bCs w:val="0"/>
          <w:color w:val="000000"/>
          <w:sz w:val="30"/>
          <w:szCs w:val="30"/>
          <w:lang w:val="en-US" w:eastAsia="zh-CN"/>
        </w:rPr>
        <w:t>（二）改进措施</w:t>
      </w:r>
    </w:p>
    <w:p>
      <w:pPr>
        <w:pStyle w:val="7"/>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1.已组织负责项目执行的科室认真学习《中共山西省委山西省人民政府关于全面实施预算绩效管理的实施意见》。</w:t>
      </w:r>
    </w:p>
    <w:p>
      <w:pPr>
        <w:pStyle w:val="7"/>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2.进一步严格要求相关业务科室在今后预算执行中，对绩效目标实现程度和预算执行进度实行“双监控”，按照预算绩效管理的相关规定健全体系。</w:t>
      </w:r>
    </w:p>
    <w:p>
      <w:pPr>
        <w:pStyle w:val="7"/>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spacing w:val="0"/>
          <w:w w:val="100"/>
          <w:position w:val="0"/>
          <w:sz w:val="30"/>
          <w:szCs w:val="30"/>
        </w:rPr>
      </w:pPr>
      <w:r>
        <w:rPr>
          <w:rFonts w:hint="eastAsia" w:ascii="宋体" w:hAnsi="宋体" w:eastAsia="宋体" w:cs="宋体"/>
          <w:color w:val="000000"/>
          <w:sz w:val="30"/>
          <w:szCs w:val="30"/>
          <w:lang w:val="en-US" w:eastAsia="zh-CN"/>
        </w:rPr>
        <w:t>3.2022年度项目资金按照《意见》规定在年度中期组织开展绩效运行监控。</w:t>
      </w:r>
      <w:bookmarkStart w:id="0" w:name="bookmark15"/>
      <w:bookmarkEnd w:id="0"/>
    </w:p>
    <w:p>
      <w:pPr>
        <w:pStyle w:val="7"/>
        <w:keepNext w:val="0"/>
        <w:keepLines w:val="0"/>
        <w:pageBreakBefore w:val="0"/>
        <w:widowControl w:val="0"/>
        <w:shd w:val="clear" w:color="auto" w:fill="auto"/>
        <w:tabs>
          <w:tab w:val="left" w:pos="1570"/>
        </w:tabs>
        <w:kinsoku/>
        <w:wordWrap/>
        <w:overflowPunct/>
        <w:topLinePunct w:val="0"/>
        <w:autoSpaceDE/>
        <w:autoSpaceDN/>
        <w:bidi w:val="0"/>
        <w:adjustRightInd/>
        <w:snapToGrid/>
        <w:spacing w:before="0" w:after="0" w:line="360" w:lineRule="auto"/>
        <w:ind w:right="0" w:firstLine="798" w:firstLineChars="266"/>
        <w:jc w:val="both"/>
        <w:textAlignment w:val="auto"/>
        <w:rPr>
          <w:rFonts w:hint="eastAsia" w:ascii="宋体" w:hAnsi="宋体" w:eastAsia="宋体" w:cs="宋体"/>
          <w:sz w:val="30"/>
          <w:szCs w:val="30"/>
        </w:rPr>
      </w:pPr>
      <w:bookmarkStart w:id="1" w:name="bookmark21"/>
      <w:bookmarkEnd w:id="1"/>
      <w:bookmarkStart w:id="2" w:name="bookmark22"/>
      <w:bookmarkEnd w:id="2"/>
      <w:bookmarkStart w:id="3" w:name="bookmark23"/>
      <w:bookmarkEnd w:id="3"/>
      <w:r>
        <w:rPr>
          <w:rFonts w:hint="eastAsia" w:ascii="宋体" w:hAnsi="宋体" w:eastAsia="宋体" w:cs="宋体"/>
          <w:color w:val="000000"/>
          <w:spacing w:val="0"/>
          <w:w w:val="100"/>
          <w:position w:val="0"/>
          <w:sz w:val="30"/>
          <w:szCs w:val="30"/>
          <w:lang w:val="en-US" w:eastAsia="zh-CN"/>
        </w:rPr>
        <w:t>4.</w:t>
      </w:r>
      <w:r>
        <w:rPr>
          <w:rFonts w:hint="eastAsia" w:ascii="宋体" w:hAnsi="宋体" w:eastAsia="宋体" w:cs="宋体"/>
          <w:color w:val="000000"/>
          <w:spacing w:val="0"/>
          <w:w w:val="100"/>
          <w:position w:val="0"/>
          <w:sz w:val="30"/>
          <w:szCs w:val="30"/>
        </w:rPr>
        <w:t>强化履职过程管理，努力提升正规化建设水平。在部门整体职责履行上严格管理，依照法规制度将各环节工作抓严扣细。</w:t>
      </w:r>
    </w:p>
    <w:p>
      <w:pPr>
        <w:pStyle w:val="7"/>
        <w:keepNext w:val="0"/>
        <w:keepLines w:val="0"/>
        <w:pageBreakBefore w:val="0"/>
        <w:widowControl w:val="0"/>
        <w:shd w:val="clear" w:color="auto" w:fill="auto"/>
        <w:tabs>
          <w:tab w:val="left" w:pos="1570"/>
        </w:tabs>
        <w:kinsoku/>
        <w:wordWrap/>
        <w:overflowPunct/>
        <w:topLinePunct w:val="0"/>
        <w:autoSpaceDE/>
        <w:autoSpaceDN/>
        <w:bidi w:val="0"/>
        <w:adjustRightInd/>
        <w:snapToGrid/>
        <w:spacing w:before="0" w:after="0" w:line="360" w:lineRule="auto"/>
        <w:ind w:left="0" w:right="0" w:firstLine="780"/>
        <w:jc w:val="both"/>
        <w:textAlignment w:val="auto"/>
        <w:rPr>
          <w:rFonts w:hint="eastAsia" w:ascii="宋体" w:hAnsi="宋体" w:eastAsia="宋体" w:cs="宋体"/>
          <w:sz w:val="30"/>
          <w:szCs w:val="30"/>
        </w:rPr>
      </w:pPr>
      <w:r>
        <w:rPr>
          <w:rFonts w:hint="eastAsia" w:ascii="宋体" w:hAnsi="宋体" w:eastAsia="宋体" w:cs="宋体"/>
          <w:color w:val="000000"/>
          <w:spacing w:val="0"/>
          <w:w w:val="100"/>
          <w:position w:val="0"/>
          <w:sz w:val="30"/>
          <w:szCs w:val="30"/>
          <w:lang w:val="en-US" w:eastAsia="zh-CN"/>
        </w:rPr>
        <w:t>5.</w:t>
      </w:r>
      <w:r>
        <w:rPr>
          <w:rFonts w:hint="eastAsia" w:ascii="宋体" w:hAnsi="宋体" w:eastAsia="宋体" w:cs="宋体"/>
          <w:color w:val="000000"/>
          <w:spacing w:val="0"/>
          <w:w w:val="100"/>
          <w:position w:val="0"/>
          <w:sz w:val="30"/>
          <w:szCs w:val="30"/>
        </w:rPr>
        <w:t>加强政策措施执行，着力推进项目实施。加大</w:t>
      </w:r>
      <w:r>
        <w:rPr>
          <w:rFonts w:hint="eastAsia" w:ascii="宋体" w:hAnsi="宋体" w:eastAsia="宋体" w:cs="宋体"/>
          <w:color w:val="000000"/>
          <w:spacing w:val="0"/>
          <w:w w:val="100"/>
          <w:position w:val="0"/>
          <w:sz w:val="30"/>
          <w:szCs w:val="30"/>
          <w:lang w:eastAsia="zh-CN"/>
        </w:rPr>
        <w:t>对局本级及</w:t>
      </w:r>
      <w:r>
        <w:rPr>
          <w:rFonts w:hint="eastAsia" w:ascii="宋体" w:hAnsi="宋体" w:eastAsia="宋体" w:cs="宋体"/>
          <w:color w:val="000000"/>
          <w:spacing w:val="0"/>
          <w:w w:val="100"/>
          <w:position w:val="0"/>
          <w:sz w:val="30"/>
          <w:szCs w:val="30"/>
        </w:rPr>
        <w:t>所属单位落实重大政策措施的监督监管，及时掌握重点项目实施情况，加强统筹谋划，研究解决难点困难，有效防 止项目进展迟缓、政策落实不到位的问题。</w:t>
      </w:r>
    </w:p>
    <w:p>
      <w:pPr>
        <w:pStyle w:val="7"/>
        <w:keepNext w:val="0"/>
        <w:keepLines w:val="0"/>
        <w:pageBreakBefore w:val="0"/>
        <w:widowControl w:val="0"/>
        <w:shd w:val="clear" w:color="auto" w:fill="auto"/>
        <w:tabs>
          <w:tab w:val="left" w:pos="1570"/>
        </w:tabs>
        <w:kinsoku/>
        <w:wordWrap/>
        <w:overflowPunct/>
        <w:topLinePunct w:val="0"/>
        <w:autoSpaceDE/>
        <w:autoSpaceDN/>
        <w:bidi w:val="0"/>
        <w:adjustRightInd/>
        <w:snapToGrid/>
        <w:spacing w:before="0" w:after="0" w:line="360" w:lineRule="auto"/>
        <w:ind w:left="0" w:right="0" w:firstLine="780"/>
        <w:jc w:val="both"/>
        <w:textAlignment w:val="auto"/>
        <w:rPr>
          <w:rFonts w:hint="eastAsia" w:ascii="宋体" w:hAnsi="宋体" w:eastAsia="宋体" w:cs="宋体"/>
          <w:sz w:val="30"/>
          <w:szCs w:val="30"/>
        </w:rPr>
      </w:pPr>
      <w:r>
        <w:rPr>
          <w:rFonts w:hint="eastAsia" w:ascii="宋体" w:hAnsi="宋体" w:eastAsia="宋体" w:cs="宋体"/>
          <w:color w:val="000000"/>
          <w:spacing w:val="0"/>
          <w:w w:val="100"/>
          <w:position w:val="0"/>
          <w:sz w:val="30"/>
          <w:szCs w:val="30"/>
          <w:lang w:val="en-US" w:eastAsia="zh-CN"/>
        </w:rPr>
        <w:t>6.</w:t>
      </w:r>
      <w:r>
        <w:rPr>
          <w:rFonts w:hint="eastAsia" w:ascii="宋体" w:hAnsi="宋体" w:eastAsia="宋体" w:cs="宋体"/>
          <w:color w:val="000000"/>
          <w:spacing w:val="0"/>
          <w:w w:val="100"/>
          <w:position w:val="0"/>
          <w:sz w:val="30"/>
          <w:szCs w:val="30"/>
        </w:rPr>
        <w:t>增强法规制度执行力，健全完善内部控制管理。不断强化内部控制管理，认真履行主体责任。要 加快推进预算绩效体系建设，依法依规管理使用财政资金。要加 强财务核算、资产管理及政府釆购等管控制度的落实，规范各类 经济活动，切实提升法规制度的执行力度。</w:t>
      </w:r>
    </w:p>
    <w:p>
      <w:pPr>
        <w:numPr>
          <w:ilvl w:val="0"/>
          <w:numId w:val="0"/>
        </w:numPr>
        <w:ind w:leftChars="200"/>
        <w:rPr>
          <w:rFonts w:hint="eastAsia" w:ascii="宋体" w:hAnsi="宋体" w:eastAsia="宋体" w:cs="宋体"/>
          <w:sz w:val="30"/>
          <w:szCs w:val="30"/>
        </w:rPr>
      </w:pPr>
    </w:p>
    <w:p>
      <w:pPr>
        <w:rPr>
          <w:rFonts w:hint="eastAsia"/>
          <w:sz w:val="28"/>
          <w:szCs w:val="28"/>
        </w:rPr>
      </w:pPr>
      <w:r>
        <w:rPr>
          <w:rFonts w:hint="eastAsia"/>
          <w:sz w:val="32"/>
          <w:szCs w:val="32"/>
        </w:rPr>
        <w:t>第四部分名词解释</w:t>
      </w:r>
    </w:p>
    <w:p>
      <w:pPr>
        <w:rPr>
          <w:rFonts w:hint="eastAsia"/>
          <w:sz w:val="28"/>
          <w:szCs w:val="28"/>
        </w:rPr>
      </w:pPr>
      <w:r>
        <w:rPr>
          <w:rFonts w:hint="eastAsia"/>
          <w:sz w:val="28"/>
          <w:szCs w:val="28"/>
        </w:rPr>
        <w:t>一、财政拨款收入：指单位从同级财政部门取得的财政预算资金。</w:t>
      </w:r>
    </w:p>
    <w:p>
      <w:pPr>
        <w:rPr>
          <w:rFonts w:hint="eastAsia"/>
          <w:sz w:val="28"/>
          <w:szCs w:val="28"/>
        </w:rPr>
      </w:pPr>
      <w:r>
        <w:rPr>
          <w:rFonts w:hint="eastAsia"/>
          <w:sz w:val="28"/>
          <w:szCs w:val="28"/>
        </w:rPr>
        <w:t>二、事业收入：指事业单位开展专业业务活动及辅助活动取得的收入。</w:t>
      </w:r>
    </w:p>
    <w:p>
      <w:pPr>
        <w:rPr>
          <w:rFonts w:hint="eastAsia"/>
          <w:sz w:val="28"/>
          <w:szCs w:val="28"/>
        </w:rPr>
      </w:pPr>
      <w:r>
        <w:rPr>
          <w:rFonts w:hint="eastAsia"/>
          <w:sz w:val="28"/>
          <w:szCs w:val="28"/>
        </w:rPr>
        <w:t>三、经营收入：指事业单位在专业业务活动及其辅助活动之外开展非独立核算经营活动取得的收入。</w:t>
      </w:r>
    </w:p>
    <w:p>
      <w:pPr>
        <w:rPr>
          <w:rFonts w:hint="eastAsia"/>
          <w:sz w:val="28"/>
          <w:szCs w:val="28"/>
        </w:rPr>
      </w:pPr>
      <w:r>
        <w:rPr>
          <w:rFonts w:hint="eastAsia"/>
          <w:sz w:val="28"/>
          <w:szCs w:val="28"/>
        </w:rPr>
        <w:t>四、其他收入：指单位取得的除上述收入以外的各项收入。主要是事业单位固定资产出租收入、存款利息收入等。</w:t>
      </w:r>
    </w:p>
    <w:p>
      <w:pPr>
        <w:rPr>
          <w:rFonts w:hint="eastAsia"/>
          <w:sz w:val="28"/>
          <w:szCs w:val="28"/>
        </w:rPr>
      </w:pPr>
      <w:r>
        <w:rPr>
          <w:rFonts w:hint="eastAsia"/>
          <w:sz w:val="28"/>
          <w:szCs w:val="28"/>
        </w:rPr>
        <w:t>五、使用非财政拨款结余：指事业单位使用以前年度积累的非财政拨款结余弥补当年收支差额的金额。</w:t>
      </w:r>
    </w:p>
    <w:p>
      <w:pPr>
        <w:rPr>
          <w:rFonts w:hint="eastAsia"/>
          <w:sz w:val="28"/>
          <w:szCs w:val="28"/>
        </w:rPr>
      </w:pPr>
      <w:r>
        <w:rPr>
          <w:rFonts w:hint="eastAsia"/>
          <w:sz w:val="28"/>
          <w:szCs w:val="28"/>
        </w:rPr>
        <w:t>六、年初结转和结余：指单位以前年度尚未完成、结转到本年仍按原规定用途继续使用的资金，或项目已完成等产生的结余资金。</w:t>
      </w:r>
    </w:p>
    <w:p>
      <w:pPr>
        <w:rPr>
          <w:rFonts w:hint="eastAsia"/>
          <w:sz w:val="28"/>
          <w:szCs w:val="28"/>
        </w:rPr>
      </w:pPr>
      <w:r>
        <w:rPr>
          <w:rFonts w:hint="eastAsia"/>
          <w:sz w:val="28"/>
          <w:szCs w:val="28"/>
        </w:rPr>
        <w:t>七、结余分配：指事业单位按照会计制度规定缴纳的所得税、提取的专用结余以及转入非财政拨款结余的金额等。</w:t>
      </w:r>
    </w:p>
    <w:p>
      <w:pPr>
        <w:rPr>
          <w:rFonts w:hint="eastAsia"/>
          <w:sz w:val="28"/>
          <w:szCs w:val="28"/>
        </w:rPr>
      </w:pPr>
      <w:r>
        <w:rPr>
          <w:rFonts w:hint="eastAsia"/>
          <w:sz w:val="28"/>
          <w:szCs w:val="28"/>
        </w:rPr>
        <w:t>八、年末结转和结余：指单位按有关规定结转到下年或以后年度继续使用的资金，或项目已完成等产生的结余资金。</w:t>
      </w:r>
    </w:p>
    <w:p>
      <w:pPr>
        <w:rPr>
          <w:rFonts w:hint="eastAsia"/>
          <w:sz w:val="28"/>
          <w:szCs w:val="28"/>
        </w:rPr>
      </w:pPr>
      <w:r>
        <w:rPr>
          <w:rFonts w:hint="eastAsia"/>
          <w:sz w:val="28"/>
          <w:szCs w:val="28"/>
        </w:rPr>
        <w:t>九、基本支出：指为保障机构正常运转、完成日常工作任务而发生的人员支出和公用支出。</w:t>
      </w:r>
    </w:p>
    <w:p>
      <w:pPr>
        <w:rPr>
          <w:rFonts w:hint="eastAsia"/>
          <w:sz w:val="28"/>
          <w:szCs w:val="28"/>
        </w:rPr>
      </w:pPr>
      <w:r>
        <w:rPr>
          <w:rFonts w:hint="eastAsia"/>
          <w:sz w:val="28"/>
          <w:szCs w:val="28"/>
        </w:rPr>
        <w:t>十、项目支出：指在基本支出之外为完成特定行政任务和</w:t>
      </w:r>
    </w:p>
    <w:p>
      <w:pPr>
        <w:rPr>
          <w:rFonts w:hint="eastAsia"/>
          <w:sz w:val="28"/>
          <w:szCs w:val="28"/>
        </w:rPr>
      </w:pPr>
      <w:r>
        <w:rPr>
          <w:rFonts w:hint="eastAsia"/>
          <w:sz w:val="28"/>
          <w:szCs w:val="28"/>
        </w:rPr>
        <w:t>事业发展目标所发生的支出。</w:t>
      </w:r>
    </w:p>
    <w:p>
      <w:pPr>
        <w:numPr>
          <w:ilvl w:val="0"/>
          <w:numId w:val="7"/>
        </w:numPr>
        <w:rPr>
          <w:rFonts w:hint="eastAsia"/>
          <w:sz w:val="28"/>
          <w:szCs w:val="28"/>
        </w:rPr>
      </w:pPr>
      <w:r>
        <w:rPr>
          <w:rFonts w:hint="eastAsia"/>
          <w:sz w:val="28"/>
          <w:szCs w:val="28"/>
        </w:rPr>
        <w:t>“三公”经费：指省直部门用一般公共预算安排的因公出国（境）费、公务用车购置及运行费和公务接待费。具中；因公出国（境）费反映单位公务出国（境）的国际旅费、国外城市间交通费、住宿费、伙食费、培训费、公杂费等支出；公务用车购置费反映公务用车车辆购置支出（含车辆购置税万；公务用车运行维护费反映单位按规定保留的公务用车燃料费、维修费、过路过桥费、保险费、安全奖励费用等支出；公务接待费反映单位按规定开支的各类公务接待（含外宾接待）支出。</w:t>
      </w:r>
    </w:p>
    <w:p>
      <w:pPr>
        <w:numPr>
          <w:ilvl w:val="0"/>
          <w:numId w:val="0"/>
        </w:numPr>
        <w:rPr>
          <w:rFonts w:hint="eastAsia"/>
          <w:sz w:val="28"/>
          <w:szCs w:val="28"/>
        </w:rPr>
      </w:pPr>
      <w:r>
        <w:rPr>
          <w:rFonts w:hint="eastAsia"/>
          <w:sz w:val="28"/>
          <w:szCs w:val="28"/>
        </w:rPr>
        <w:t>十二、机关运行经费：指行政单位和参照公务员法管理的事业单位使用一般公共预算安排的基本支出中的日常公用经费支出。</w:t>
      </w:r>
    </w:p>
    <w:p>
      <w:pPr>
        <w:rPr>
          <w:rFonts w:hint="eastAsia"/>
          <w:sz w:val="28"/>
          <w:szCs w:val="28"/>
        </w:rPr>
      </w:pPr>
    </w:p>
    <w:p>
      <w:pPr>
        <w:rPr>
          <w:rFonts w:hint="eastAsia"/>
          <w:sz w:val="28"/>
          <w:szCs w:val="28"/>
        </w:rPr>
      </w:pPr>
    </w:p>
    <w:p>
      <w:pP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E4CBB6"/>
    <w:multiLevelType w:val="singleLevel"/>
    <w:tmpl w:val="EFE4CBB6"/>
    <w:lvl w:ilvl="0" w:tentative="0">
      <w:start w:val="1"/>
      <w:numFmt w:val="chineseCounting"/>
      <w:suff w:val="nothing"/>
      <w:lvlText w:val="（%1）"/>
      <w:lvlJc w:val="left"/>
      <w:rPr>
        <w:rFonts w:hint="eastAsia"/>
      </w:rPr>
    </w:lvl>
  </w:abstractNum>
  <w:abstractNum w:abstractNumId="1">
    <w:nsid w:val="EFFE2CE8"/>
    <w:multiLevelType w:val="singleLevel"/>
    <w:tmpl w:val="EFFE2CE8"/>
    <w:lvl w:ilvl="0" w:tentative="0">
      <w:start w:val="7"/>
      <w:numFmt w:val="chineseCounting"/>
      <w:suff w:val="nothing"/>
      <w:lvlText w:val="%1、"/>
      <w:lvlJc w:val="left"/>
      <w:rPr>
        <w:rFonts w:hint="eastAsia"/>
      </w:rPr>
    </w:lvl>
  </w:abstractNum>
  <w:abstractNum w:abstractNumId="2">
    <w:nsid w:val="0F8A4076"/>
    <w:multiLevelType w:val="singleLevel"/>
    <w:tmpl w:val="0F8A4076"/>
    <w:lvl w:ilvl="0" w:tentative="0">
      <w:start w:val="2"/>
      <w:numFmt w:val="decimal"/>
      <w:suff w:val="nothing"/>
      <w:lvlText w:val="(%1）"/>
      <w:lvlJc w:val="left"/>
    </w:lvl>
  </w:abstractNum>
  <w:abstractNum w:abstractNumId="3">
    <w:nsid w:val="2EEEFB13"/>
    <w:multiLevelType w:val="singleLevel"/>
    <w:tmpl w:val="2EEEFB13"/>
    <w:lvl w:ilvl="0" w:tentative="0">
      <w:start w:val="1"/>
      <w:numFmt w:val="chineseCounting"/>
      <w:suff w:val="space"/>
      <w:lvlText w:val="第%1部分"/>
      <w:lvlJc w:val="left"/>
      <w:rPr>
        <w:rFonts w:hint="eastAsia"/>
      </w:rPr>
    </w:lvl>
  </w:abstractNum>
  <w:abstractNum w:abstractNumId="4">
    <w:nsid w:val="51786180"/>
    <w:multiLevelType w:val="singleLevel"/>
    <w:tmpl w:val="51786180"/>
    <w:lvl w:ilvl="0" w:tentative="0">
      <w:start w:val="1"/>
      <w:numFmt w:val="chineseCounting"/>
      <w:suff w:val="nothing"/>
      <w:lvlText w:val="%1、"/>
      <w:lvlJc w:val="left"/>
      <w:rPr>
        <w:rFonts w:hint="eastAsia"/>
      </w:rPr>
    </w:lvl>
  </w:abstractNum>
  <w:abstractNum w:abstractNumId="5">
    <w:nsid w:val="5D4EE991"/>
    <w:multiLevelType w:val="singleLevel"/>
    <w:tmpl w:val="5D4EE991"/>
    <w:lvl w:ilvl="0" w:tentative="0">
      <w:start w:val="5"/>
      <w:numFmt w:val="chineseCounting"/>
      <w:suff w:val="nothing"/>
      <w:lvlText w:val="%1、"/>
      <w:lvlJc w:val="left"/>
      <w:rPr>
        <w:rFonts w:hint="eastAsia"/>
      </w:rPr>
    </w:lvl>
  </w:abstractNum>
  <w:abstractNum w:abstractNumId="6">
    <w:nsid w:val="6FAF7CCA"/>
    <w:multiLevelType w:val="singleLevel"/>
    <w:tmpl w:val="6FAF7CCA"/>
    <w:lvl w:ilvl="0" w:tentative="0">
      <w:start w:val="11"/>
      <w:numFmt w:val="chineseCounting"/>
      <w:suff w:val="nothing"/>
      <w:lvlText w:val="%1、"/>
      <w:lvlJc w:val="left"/>
      <w:rPr>
        <w:rFonts w:hint="eastAsia"/>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NjA5MTkyN2RhM2VhYmJhNjY2ZWE1MTZhNGE4NmYifQ=="/>
  </w:docVars>
  <w:rsids>
    <w:rsidRoot w:val="00000000"/>
    <w:rsid w:val="042968F8"/>
    <w:rsid w:val="0CED00F8"/>
    <w:rsid w:val="10BB6580"/>
    <w:rsid w:val="144132F2"/>
    <w:rsid w:val="18236CEB"/>
    <w:rsid w:val="193C6578"/>
    <w:rsid w:val="1CB32DF7"/>
    <w:rsid w:val="216655B5"/>
    <w:rsid w:val="23386003"/>
    <w:rsid w:val="2CD43839"/>
    <w:rsid w:val="34F0466F"/>
    <w:rsid w:val="374167A8"/>
    <w:rsid w:val="39437DED"/>
    <w:rsid w:val="396E3A4A"/>
    <w:rsid w:val="3EAB0813"/>
    <w:rsid w:val="403102FF"/>
    <w:rsid w:val="41AF3FB7"/>
    <w:rsid w:val="41B2296A"/>
    <w:rsid w:val="457E20DC"/>
    <w:rsid w:val="52972F71"/>
    <w:rsid w:val="541A66E7"/>
    <w:rsid w:val="55B70610"/>
    <w:rsid w:val="62CB1C0C"/>
    <w:rsid w:val="65C06580"/>
    <w:rsid w:val="68FB6AC7"/>
    <w:rsid w:val="69D41F5D"/>
    <w:rsid w:val="6ACA7B39"/>
    <w:rsid w:val="6C345D6D"/>
    <w:rsid w:val="73B560C6"/>
    <w:rsid w:val="EF3F1A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ind w:left="200" w:leftChars="200" w:firstLine="200" w:firstLineChars="200"/>
    </w:pPr>
    <w:rPr>
      <w:rFonts w:ascii="Calibri" w:hAnsi="Calibri"/>
      <w:szCs w:val="24"/>
    </w:rPr>
  </w:style>
  <w:style w:type="paragraph" w:customStyle="1" w:styleId="3">
    <w:name w:val="正文文本缩进1"/>
    <w:basedOn w:val="1"/>
    <w:qFormat/>
    <w:uiPriority w:val="0"/>
    <w:pPr>
      <w:ind w:left="200" w:leftChars="200"/>
    </w:pPr>
  </w:style>
  <w:style w:type="paragraph" w:styleId="4">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customStyle="1" w:styleId="7">
    <w:name w:val="Body text|1"/>
    <w:basedOn w:val="1"/>
    <w:qFormat/>
    <w:uiPriority w:val="0"/>
    <w:pPr>
      <w:widowControl w:val="0"/>
      <w:shd w:val="clear" w:color="auto" w:fill="auto"/>
      <w:spacing w:line="406"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8287</Words>
  <Characters>8981</Characters>
  <Lines>0</Lines>
  <Paragraphs>0</Paragraphs>
  <TotalTime>25</TotalTime>
  <ScaleCrop>false</ScaleCrop>
  <LinksUpToDate>false</LinksUpToDate>
  <CharactersWithSpaces>9176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aa</cp:lastModifiedBy>
  <dcterms:modified xsi:type="dcterms:W3CDTF">2022-08-05T01:38:39Z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5D3CE0C7B30240DBBFA613C42A2CA8D5</vt:lpwstr>
  </property>
</Properties>
</file>