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77E56">
      <w:pPr>
        <w:pStyle w:val="4"/>
        <w:shd w:val="clear" w:color="auto" w:fill="FFFFFF"/>
        <w:spacing w:before="0" w:beforeAutospacing="0" w:after="0" w:afterAutospacing="0"/>
        <w:jc w:val="center"/>
        <w:rPr>
          <w:rFonts w:ascii="Times New Roman" w:hAnsi="Times New Roman" w:cs="Times New Roman"/>
          <w:b/>
          <w:color w:val="000000"/>
          <w:sz w:val="96"/>
          <w:szCs w:val="96"/>
        </w:rPr>
      </w:pPr>
      <w:r>
        <w:rPr>
          <w:rFonts w:hint="eastAsia" w:cs="Times New Roman"/>
          <w:b/>
          <w:color w:val="000000"/>
          <w:sz w:val="44"/>
          <w:szCs w:val="44"/>
        </w:rPr>
        <w:t>大同市委讲师团</w:t>
      </w:r>
      <w:r>
        <w:rPr>
          <w:rFonts w:hint="eastAsia" w:ascii="微软雅黑" w:hAnsi="微软雅黑" w:eastAsia="微软雅黑" w:cs="Times New Roman"/>
          <w:b/>
          <w:color w:val="000000"/>
          <w:sz w:val="44"/>
          <w:szCs w:val="44"/>
        </w:rPr>
        <w:t>2022</w:t>
      </w:r>
      <w:r>
        <w:rPr>
          <w:rFonts w:hint="eastAsia" w:cs="Times New Roman"/>
          <w:b/>
          <w:color w:val="000000"/>
          <w:sz w:val="44"/>
          <w:szCs w:val="44"/>
        </w:rPr>
        <w:t>年预算公开</w:t>
      </w:r>
    </w:p>
    <w:p w14:paraId="66A85F7A">
      <w:pPr>
        <w:pStyle w:val="4"/>
        <w:shd w:val="clear" w:color="auto" w:fill="FFFFFF"/>
        <w:spacing w:before="0" w:beforeAutospacing="0" w:after="0" w:afterAutospacing="0"/>
        <w:rPr>
          <w:rFonts w:ascii="Times New Roman" w:hAnsi="Times New Roman" w:cs="Times New Roman"/>
          <w:color w:val="000000"/>
          <w:sz w:val="32"/>
          <w:szCs w:val="32"/>
        </w:rPr>
      </w:pPr>
    </w:p>
    <w:p w14:paraId="2C8D5204">
      <w:pPr>
        <w:pStyle w:val="4"/>
        <w:shd w:val="clear" w:color="auto" w:fill="FFFFFF"/>
        <w:spacing w:before="0" w:beforeAutospacing="0" w:after="0" w:afterAutospacing="0"/>
        <w:rPr>
          <w:rFonts w:ascii="Times New Roman" w:hAnsi="Times New Roman" w:cs="Times New Roman"/>
          <w:color w:val="000000"/>
          <w:sz w:val="36"/>
          <w:szCs w:val="36"/>
        </w:rPr>
      </w:pPr>
      <w:r>
        <w:rPr>
          <w:rFonts w:hint="eastAsia" w:ascii="Times New Roman" w:hAnsi="Times New Roman" w:cs="Times New Roman"/>
          <w:color w:val="000000"/>
          <w:sz w:val="36"/>
          <w:szCs w:val="36"/>
        </w:rPr>
        <w:t>目</w:t>
      </w:r>
      <w:r>
        <w:rPr>
          <w:rFonts w:ascii="Times New Roman" w:hAnsi="Times New Roman" w:cs="Times New Roman"/>
          <w:color w:val="000000"/>
          <w:sz w:val="36"/>
          <w:szCs w:val="36"/>
        </w:rPr>
        <w:t xml:space="preserve"> </w:t>
      </w:r>
      <w:r>
        <w:rPr>
          <w:rFonts w:hint="eastAsia" w:ascii="Times New Roman" w:hAnsi="Times New Roman" w:cs="Times New Roman"/>
          <w:color w:val="000000"/>
          <w:sz w:val="36"/>
          <w:szCs w:val="36"/>
        </w:rPr>
        <w:t>录</w:t>
      </w:r>
    </w:p>
    <w:p w14:paraId="316EF267">
      <w:pPr>
        <w:pStyle w:val="4"/>
        <w:shd w:val="clear" w:color="auto" w:fill="FFFFFF"/>
        <w:spacing w:before="0" w:beforeAutospacing="0" w:after="0" w:afterAutospacing="0"/>
        <w:ind w:firstLine="640" w:firstLineChars="200"/>
        <w:rPr>
          <w:rFonts w:ascii="Times New Roman" w:hAnsi="Times New Roman" w:cs="Times New Roman"/>
          <w:color w:val="000000"/>
          <w:sz w:val="32"/>
          <w:szCs w:val="32"/>
        </w:rPr>
      </w:pPr>
    </w:p>
    <w:p w14:paraId="4B5C6F96">
      <w:pPr>
        <w:pStyle w:val="4"/>
        <w:shd w:val="clear" w:color="auto" w:fill="FFFFFF"/>
        <w:spacing w:before="0" w:beforeAutospacing="0" w:after="0" w:afterAutospacing="0"/>
        <w:rPr>
          <w:rFonts w:ascii="Times New Roman" w:hAnsi="Times New Roman" w:cs="Times New Roman"/>
          <w:color w:val="000000"/>
          <w:sz w:val="30"/>
          <w:szCs w:val="30"/>
        </w:rPr>
      </w:pPr>
      <w:r>
        <w:rPr>
          <w:rFonts w:hint="eastAsia" w:ascii="Times New Roman" w:hAnsi="Times New Roman" w:cs="Times New Roman"/>
          <w:color w:val="000000"/>
          <w:sz w:val="30"/>
          <w:szCs w:val="30"/>
        </w:rPr>
        <w:t>第一部分</w:t>
      </w:r>
      <w:r>
        <w:rPr>
          <w:rFonts w:ascii="Times New Roman" w:hAnsi="Times New Roman" w:cs="Times New Roman"/>
          <w:color w:val="000000"/>
          <w:sz w:val="30"/>
          <w:szCs w:val="30"/>
        </w:rPr>
        <w:t xml:space="preserve"> </w:t>
      </w:r>
      <w:r>
        <w:rPr>
          <w:rFonts w:hint="eastAsia" w:ascii="Times New Roman" w:hAnsi="Times New Roman" w:cs="Times New Roman"/>
          <w:color w:val="000000"/>
          <w:sz w:val="30"/>
          <w:szCs w:val="30"/>
        </w:rPr>
        <w:t>概况</w:t>
      </w:r>
    </w:p>
    <w:p w14:paraId="60C99491">
      <w:pPr>
        <w:pStyle w:val="4"/>
        <w:numPr>
          <w:ilvl w:val="0"/>
          <w:numId w:val="1"/>
        </w:numPr>
        <w:shd w:val="clear" w:color="auto" w:fill="FFFFFF"/>
        <w:spacing w:before="0" w:beforeAutospacing="0" w:after="0" w:afterAutospacing="0"/>
        <w:rPr>
          <w:rFonts w:ascii="Times New Roman" w:hAnsi="Times New Roman" w:cs="Times New Roman"/>
          <w:color w:val="000000"/>
          <w:sz w:val="30"/>
          <w:szCs w:val="30"/>
        </w:rPr>
      </w:pPr>
      <w:r>
        <w:rPr>
          <w:rFonts w:hint="eastAsia" w:ascii="Times New Roman" w:hAnsi="Times New Roman" w:cs="Times New Roman"/>
          <w:color w:val="000000"/>
          <w:sz w:val="30"/>
          <w:szCs w:val="30"/>
        </w:rPr>
        <w:t>单位职责功能</w:t>
      </w:r>
    </w:p>
    <w:p w14:paraId="2EB80CD4">
      <w:pPr>
        <w:pStyle w:val="4"/>
        <w:numPr>
          <w:ilvl w:val="0"/>
          <w:numId w:val="1"/>
        </w:numPr>
        <w:shd w:val="clear" w:color="auto" w:fill="FFFFFF"/>
        <w:spacing w:before="0" w:beforeAutospacing="0" w:after="0" w:afterAutospacing="0"/>
        <w:rPr>
          <w:rFonts w:ascii="Times New Roman" w:hAnsi="Times New Roman" w:cs="Times New Roman"/>
          <w:color w:val="000000"/>
          <w:sz w:val="30"/>
          <w:szCs w:val="30"/>
        </w:rPr>
      </w:pPr>
      <w:r>
        <w:rPr>
          <w:rFonts w:hint="eastAsia" w:cs="Times New Roman" w:asciiTheme="minorEastAsia" w:hAnsiTheme="minorEastAsia" w:eastAsiaTheme="minorEastAsia"/>
          <w:color w:val="000000"/>
          <w:sz w:val="32"/>
          <w:szCs w:val="32"/>
        </w:rPr>
        <w:t>机构设置情况</w:t>
      </w:r>
    </w:p>
    <w:p w14:paraId="27653A10">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第二部分 2022年度单位预算报表</w:t>
      </w:r>
    </w:p>
    <w:p w14:paraId="528D2AE7">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一、2022年预算收支总表</w:t>
      </w:r>
    </w:p>
    <w:p w14:paraId="52CB219D">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二、2022年预算收入总表</w:t>
      </w:r>
    </w:p>
    <w:p w14:paraId="4C6CB312">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三、2022年预算支出总表</w:t>
      </w:r>
    </w:p>
    <w:p w14:paraId="6AAB6B69">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四、2022年财政拨款收入总表</w:t>
      </w:r>
    </w:p>
    <w:p w14:paraId="082D73FD">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五、2022年一般预算支出预算表</w:t>
      </w:r>
    </w:p>
    <w:p w14:paraId="6134DEA2">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六、一般公共预算安排基本支出分部门经济科目表</w:t>
      </w:r>
    </w:p>
    <w:p w14:paraId="30E0C0D6">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七、一般公共预算安排基本支出分政府经济科目表</w:t>
      </w:r>
    </w:p>
    <w:p w14:paraId="74158957">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八、2022年政府性基金预算收入表</w:t>
      </w:r>
    </w:p>
    <w:p w14:paraId="43F9ED52">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九、2022年政府性基金预算支出预算表</w:t>
      </w:r>
    </w:p>
    <w:p w14:paraId="5063291D">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十、国有资本经营预算支出表</w:t>
      </w:r>
    </w:p>
    <w:p w14:paraId="35317C30">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十一、2022年一般公共预算“三公”经费支出情况统计表</w:t>
      </w:r>
    </w:p>
    <w:p w14:paraId="3348EC2A">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十二、2022年机关运行经费预算财政拨款情况统计表</w:t>
      </w:r>
    </w:p>
    <w:p w14:paraId="444E7FBA">
      <w:pPr>
        <w:pStyle w:val="4"/>
        <w:shd w:val="clear" w:color="auto" w:fill="FFFFFF"/>
        <w:spacing w:before="0" w:beforeAutospacing="0" w:after="0" w:afterAutospacing="0"/>
        <w:ind w:firstLine="63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十三、政府采购预算表</w:t>
      </w:r>
    </w:p>
    <w:p w14:paraId="17A2CC7C">
      <w:pPr>
        <w:widowControl/>
        <w:snapToGrid w:val="0"/>
        <w:spacing w:line="360" w:lineRule="auto"/>
        <w:jc w:val="left"/>
        <w:rPr>
          <w:rFonts w:cs="宋体" w:asciiTheme="minorEastAsia" w:hAnsiTheme="minorEastAsia"/>
          <w:kern w:val="0"/>
          <w:sz w:val="32"/>
          <w:szCs w:val="32"/>
        </w:rPr>
      </w:pPr>
      <w:r>
        <w:rPr>
          <w:rFonts w:hint="eastAsia" w:cs="宋体" w:asciiTheme="minorEastAsia" w:hAnsiTheme="minorEastAsia"/>
          <w:kern w:val="0"/>
          <w:sz w:val="32"/>
          <w:szCs w:val="32"/>
        </w:rPr>
        <w:t>第三部分部门预算情况说明</w:t>
      </w:r>
    </w:p>
    <w:p w14:paraId="3A037620">
      <w:pPr>
        <w:widowControl/>
        <w:snapToGrid w:val="0"/>
        <w:spacing w:line="360" w:lineRule="auto"/>
        <w:ind w:firstLine="640"/>
        <w:jc w:val="left"/>
        <w:rPr>
          <w:rFonts w:cs="宋体" w:asciiTheme="minorEastAsia" w:hAnsiTheme="minorEastAsia"/>
          <w:kern w:val="0"/>
          <w:sz w:val="32"/>
          <w:szCs w:val="32"/>
        </w:rPr>
      </w:pPr>
      <w:r>
        <w:rPr>
          <w:rFonts w:hint="eastAsia" w:cs="FangSong_GB2312-Identity-H" w:asciiTheme="minorEastAsia" w:hAnsiTheme="minorEastAsia"/>
          <w:kern w:val="0"/>
          <w:sz w:val="32"/>
          <w:szCs w:val="32"/>
        </w:rPr>
        <w:t>一、2022年度部门预算收支情况</w:t>
      </w:r>
    </w:p>
    <w:p w14:paraId="79F7AE7A">
      <w:pPr>
        <w:widowControl/>
        <w:snapToGrid w:val="0"/>
        <w:spacing w:line="360" w:lineRule="auto"/>
        <w:ind w:firstLine="540"/>
        <w:jc w:val="left"/>
        <w:rPr>
          <w:rFonts w:cs="宋体" w:asciiTheme="minorEastAsia" w:hAnsiTheme="minorEastAsia"/>
          <w:kern w:val="0"/>
          <w:sz w:val="32"/>
          <w:szCs w:val="32"/>
        </w:rPr>
      </w:pPr>
      <w:r>
        <w:rPr>
          <w:rFonts w:hint="eastAsia" w:cs="宋体" w:asciiTheme="minorEastAsia" w:hAnsiTheme="minorEastAsia"/>
          <w:kern w:val="0"/>
          <w:sz w:val="32"/>
          <w:szCs w:val="32"/>
        </w:rPr>
        <w:t>二、“三公”经费情况</w:t>
      </w:r>
    </w:p>
    <w:p w14:paraId="069A59C2">
      <w:pPr>
        <w:widowControl/>
        <w:snapToGrid w:val="0"/>
        <w:spacing w:line="360" w:lineRule="auto"/>
        <w:ind w:firstLine="540"/>
        <w:jc w:val="left"/>
        <w:rPr>
          <w:rFonts w:cs="FangSong_GB2312-Identity-H" w:asciiTheme="minorEastAsia" w:hAnsiTheme="minorEastAsia"/>
          <w:bCs/>
          <w:kern w:val="0"/>
          <w:sz w:val="32"/>
          <w:szCs w:val="32"/>
        </w:rPr>
      </w:pPr>
      <w:r>
        <w:rPr>
          <w:rFonts w:hint="eastAsia" w:cs="FangSong_GB2312-Identity-H" w:asciiTheme="minorEastAsia" w:hAnsiTheme="minorEastAsia"/>
          <w:bCs/>
          <w:kern w:val="0"/>
          <w:sz w:val="32"/>
          <w:szCs w:val="32"/>
        </w:rPr>
        <w:t>三、机关运行经费情况</w:t>
      </w:r>
    </w:p>
    <w:p w14:paraId="7FC706F8">
      <w:pPr>
        <w:autoSpaceDE w:val="0"/>
        <w:autoSpaceDN w:val="0"/>
        <w:adjustRightInd w:val="0"/>
        <w:spacing w:line="360" w:lineRule="auto"/>
        <w:ind w:firstLine="480" w:firstLineChars="150"/>
        <w:jc w:val="left"/>
        <w:rPr>
          <w:rFonts w:cs="FangSong_GB2312-Identity-H" w:asciiTheme="minorEastAsia" w:hAnsiTheme="minorEastAsia"/>
          <w:bCs/>
          <w:kern w:val="0"/>
          <w:sz w:val="32"/>
          <w:szCs w:val="32"/>
        </w:rPr>
      </w:pPr>
      <w:r>
        <w:rPr>
          <w:rFonts w:hint="eastAsia" w:cs="FangSong_GB2312-Identity-H" w:asciiTheme="minorEastAsia" w:hAnsiTheme="minorEastAsia"/>
          <w:bCs/>
          <w:kern w:val="0"/>
          <w:sz w:val="32"/>
          <w:szCs w:val="32"/>
        </w:rPr>
        <w:t>四、政府采购情况</w:t>
      </w:r>
    </w:p>
    <w:p w14:paraId="1E74D282">
      <w:pPr>
        <w:autoSpaceDE w:val="0"/>
        <w:autoSpaceDN w:val="0"/>
        <w:adjustRightInd w:val="0"/>
        <w:spacing w:line="360" w:lineRule="auto"/>
        <w:ind w:firstLine="480" w:firstLineChars="150"/>
        <w:jc w:val="left"/>
        <w:rPr>
          <w:rFonts w:cs="FangSong_GB2312-Identity-H" w:asciiTheme="minorEastAsia" w:hAnsiTheme="minorEastAsia"/>
          <w:bCs/>
          <w:kern w:val="0"/>
          <w:sz w:val="32"/>
          <w:szCs w:val="32"/>
        </w:rPr>
      </w:pPr>
      <w:r>
        <w:rPr>
          <w:rFonts w:hint="eastAsia" w:cs="FangSong_GB2312-Identity-H" w:asciiTheme="minorEastAsia" w:hAnsiTheme="minorEastAsia"/>
          <w:bCs/>
          <w:kern w:val="0"/>
          <w:sz w:val="32"/>
          <w:szCs w:val="32"/>
        </w:rPr>
        <w:t>五、国有资产占用情况说明</w:t>
      </w:r>
    </w:p>
    <w:p w14:paraId="006C3BEF">
      <w:pPr>
        <w:pStyle w:val="4"/>
        <w:shd w:val="clear" w:color="auto" w:fill="FFFFFF"/>
        <w:spacing w:before="0" w:beforeAutospacing="0" w:after="0" w:afterAutospacing="0"/>
        <w:ind w:firstLine="480" w:firstLineChars="150"/>
        <w:rPr>
          <w:rFonts w:cs="FangSong_GB2312-Identity-H" w:asciiTheme="minorEastAsia" w:hAnsiTheme="minorEastAsia"/>
          <w:bCs/>
          <w:sz w:val="32"/>
          <w:szCs w:val="32"/>
        </w:rPr>
      </w:pPr>
      <w:r>
        <w:rPr>
          <w:rFonts w:hint="eastAsia" w:cs="FangSong_GB2312-Identity-H" w:asciiTheme="minorEastAsia" w:hAnsiTheme="minorEastAsia"/>
          <w:bCs/>
          <w:sz w:val="32"/>
          <w:szCs w:val="32"/>
        </w:rPr>
        <w:t>六、重点项目预算绩效情况说明</w:t>
      </w:r>
    </w:p>
    <w:p w14:paraId="57112773">
      <w:pPr>
        <w:pStyle w:val="4"/>
        <w:shd w:val="clear" w:color="auto" w:fill="FFFFFF"/>
        <w:spacing w:before="0" w:beforeAutospacing="0" w:after="0" w:afterAutospacing="0"/>
        <w:jc w:val="both"/>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第四部分名词解释</w:t>
      </w:r>
    </w:p>
    <w:p w14:paraId="4B73C4F7">
      <w:pPr>
        <w:pStyle w:val="4"/>
        <w:shd w:val="clear" w:color="auto" w:fill="FFFFFF"/>
        <w:spacing w:before="0" w:beforeAutospacing="0" w:after="0" w:afterAutospacing="0"/>
        <w:ind w:firstLine="480" w:firstLineChars="15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一、基本支出</w:t>
      </w:r>
    </w:p>
    <w:p w14:paraId="45D260A5">
      <w:pPr>
        <w:pStyle w:val="4"/>
        <w:shd w:val="clear" w:color="auto" w:fill="FFFFFF"/>
        <w:spacing w:before="0" w:beforeAutospacing="0" w:after="0" w:afterAutospacing="0"/>
        <w:ind w:firstLine="480" w:firstLineChars="15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二、项目支出</w:t>
      </w:r>
    </w:p>
    <w:p w14:paraId="15359005">
      <w:pPr>
        <w:pStyle w:val="4"/>
        <w:shd w:val="clear" w:color="auto" w:fill="FFFFFF"/>
        <w:spacing w:before="0" w:beforeAutospacing="0" w:after="0" w:afterAutospacing="0"/>
        <w:ind w:firstLine="480" w:firstLineChars="15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三、“三公”经费</w:t>
      </w:r>
    </w:p>
    <w:p w14:paraId="354F6466">
      <w:pPr>
        <w:pStyle w:val="4"/>
        <w:shd w:val="clear" w:color="auto" w:fill="FFFFFF"/>
        <w:spacing w:before="0" w:beforeAutospacing="0" w:after="0" w:afterAutospacing="0"/>
        <w:ind w:firstLine="480" w:firstLineChars="150"/>
        <w:rPr>
          <w:rFonts w:cs="FangSong_GB2312-Identity-H" w:asciiTheme="minorEastAsia" w:hAnsiTheme="minorEastAsia"/>
          <w:sz w:val="32"/>
          <w:szCs w:val="32"/>
        </w:rPr>
      </w:pPr>
      <w:r>
        <w:rPr>
          <w:rFonts w:hint="eastAsia" w:asciiTheme="minorEastAsia" w:hAnsiTheme="minorEastAsia" w:eastAsiaTheme="minorEastAsia"/>
          <w:color w:val="000000"/>
          <w:sz w:val="32"/>
          <w:szCs w:val="32"/>
        </w:rPr>
        <w:t>四、</w:t>
      </w:r>
      <w:r>
        <w:rPr>
          <w:rFonts w:hint="eastAsia" w:cs="FangSong_GB2312-Identity-H" w:asciiTheme="minorEastAsia" w:hAnsiTheme="minorEastAsia"/>
          <w:sz w:val="32"/>
          <w:szCs w:val="32"/>
        </w:rPr>
        <w:t>机关运行经费</w:t>
      </w:r>
    </w:p>
    <w:p w14:paraId="56F26540">
      <w:pPr>
        <w:pStyle w:val="4"/>
        <w:shd w:val="clear" w:color="auto" w:fill="FFFFFF"/>
        <w:spacing w:before="0" w:beforeAutospacing="0" w:after="0" w:afterAutospacing="0"/>
        <w:ind w:firstLine="480" w:firstLineChars="150"/>
        <w:rPr>
          <w:rFonts w:cs="FangSong_GB2312-Identity-H" w:asciiTheme="minorEastAsia" w:hAnsiTheme="minorEastAsia"/>
          <w:sz w:val="32"/>
          <w:szCs w:val="32"/>
        </w:rPr>
      </w:pPr>
      <w:r>
        <w:rPr>
          <w:rFonts w:hint="eastAsia" w:asciiTheme="minorEastAsia" w:hAnsiTheme="minorEastAsia" w:eastAsiaTheme="minorEastAsia"/>
          <w:color w:val="000000"/>
          <w:sz w:val="32"/>
          <w:szCs w:val="32"/>
        </w:rPr>
        <w:t>五、</w:t>
      </w:r>
      <w:r>
        <w:rPr>
          <w:rFonts w:hint="eastAsia" w:cs="FangSong_GB2312-Identity-H" w:asciiTheme="minorEastAsia" w:hAnsiTheme="minorEastAsia"/>
          <w:sz w:val="32"/>
          <w:szCs w:val="32"/>
        </w:rPr>
        <w:t>政府购买服务</w:t>
      </w:r>
    </w:p>
    <w:p w14:paraId="3284643A">
      <w:pPr>
        <w:pStyle w:val="4"/>
        <w:shd w:val="clear" w:color="auto" w:fill="FFFFFF"/>
        <w:spacing w:before="0" w:beforeAutospacing="0" w:after="0" w:afterAutospacing="0"/>
        <w:ind w:firstLine="480" w:firstLineChars="150"/>
        <w:rPr>
          <w:rFonts w:cs="FangSong_GB2312-Identity-H" w:asciiTheme="minorEastAsia" w:hAnsiTheme="minorEastAsia"/>
          <w:sz w:val="32"/>
          <w:szCs w:val="32"/>
        </w:rPr>
      </w:pPr>
      <w:r>
        <w:rPr>
          <w:rFonts w:hint="eastAsia" w:asciiTheme="minorEastAsia" w:hAnsiTheme="minorEastAsia" w:eastAsiaTheme="minorEastAsia"/>
          <w:color w:val="000000"/>
          <w:sz w:val="32"/>
          <w:szCs w:val="32"/>
        </w:rPr>
        <w:t>六、</w:t>
      </w:r>
      <w:r>
        <w:rPr>
          <w:rFonts w:hint="eastAsia" w:cs="FangSong_GB2312-Identity-H" w:asciiTheme="minorEastAsia" w:hAnsiTheme="minorEastAsia"/>
          <w:sz w:val="32"/>
          <w:szCs w:val="32"/>
        </w:rPr>
        <w:t>一般公共预算</w:t>
      </w:r>
    </w:p>
    <w:p w14:paraId="1DBDB8CF">
      <w:pPr>
        <w:pStyle w:val="4"/>
        <w:shd w:val="clear" w:color="auto" w:fill="FFFFFF"/>
        <w:spacing w:before="0" w:beforeAutospacing="0" w:after="0" w:afterAutospacing="0"/>
        <w:ind w:firstLine="480" w:firstLineChars="150"/>
        <w:rPr>
          <w:rFonts w:cs="FangSong_GB2312-Identity-H" w:asciiTheme="minorEastAsia" w:hAnsiTheme="minorEastAsia"/>
          <w:sz w:val="32"/>
          <w:szCs w:val="32"/>
        </w:rPr>
      </w:pPr>
      <w:r>
        <w:rPr>
          <w:rFonts w:hint="eastAsia" w:asciiTheme="minorEastAsia" w:hAnsiTheme="minorEastAsia" w:eastAsiaTheme="minorEastAsia"/>
          <w:color w:val="000000"/>
          <w:sz w:val="32"/>
          <w:szCs w:val="32"/>
        </w:rPr>
        <w:t>七、</w:t>
      </w:r>
      <w:r>
        <w:rPr>
          <w:rFonts w:hint="eastAsia" w:cs="FangSong_GB2312-Identity-H" w:asciiTheme="minorEastAsia" w:hAnsiTheme="minorEastAsia"/>
          <w:sz w:val="32"/>
          <w:szCs w:val="32"/>
        </w:rPr>
        <w:t>政府性基金预算</w:t>
      </w:r>
    </w:p>
    <w:p w14:paraId="389A5202">
      <w:pPr>
        <w:pStyle w:val="4"/>
        <w:shd w:val="clear" w:color="auto" w:fill="FFFFFF"/>
        <w:spacing w:before="0" w:beforeAutospacing="0" w:after="0" w:afterAutospacing="0"/>
        <w:ind w:firstLine="480" w:firstLineChars="150"/>
        <w:rPr>
          <w:rFonts w:cs="FangSong_GB2312-Identity-H" w:asciiTheme="minorEastAsia" w:hAnsiTheme="minorEastAsia"/>
          <w:sz w:val="32"/>
          <w:szCs w:val="32"/>
        </w:rPr>
      </w:pPr>
      <w:r>
        <w:rPr>
          <w:rFonts w:hint="eastAsia" w:asciiTheme="minorEastAsia" w:hAnsiTheme="minorEastAsia" w:eastAsiaTheme="minorEastAsia"/>
          <w:color w:val="000000"/>
          <w:sz w:val="32"/>
          <w:szCs w:val="32"/>
        </w:rPr>
        <w:t>八、</w:t>
      </w:r>
      <w:r>
        <w:rPr>
          <w:rFonts w:hint="eastAsia" w:cs="FangSong_GB2312-Identity-H" w:asciiTheme="minorEastAsia" w:hAnsiTheme="minorEastAsia"/>
          <w:sz w:val="32"/>
          <w:szCs w:val="32"/>
        </w:rPr>
        <w:t>国有资本经营预算</w:t>
      </w:r>
    </w:p>
    <w:p w14:paraId="2F9DA2FC">
      <w:pPr>
        <w:pStyle w:val="4"/>
        <w:shd w:val="clear" w:color="auto" w:fill="FFFFFF"/>
        <w:spacing w:before="0" w:beforeAutospacing="0" w:after="0" w:afterAutospacing="0"/>
        <w:ind w:firstLine="480" w:firstLineChars="150"/>
        <w:rPr>
          <w:rFonts w:cs="FangSong_GB2312-Identity-H" w:asciiTheme="minorEastAsia" w:hAnsiTheme="minorEastAsia"/>
          <w:sz w:val="32"/>
          <w:szCs w:val="32"/>
        </w:rPr>
      </w:pPr>
      <w:r>
        <w:rPr>
          <w:rFonts w:hint="eastAsia" w:cs="FangSong_GB2312-Identity-H" w:asciiTheme="minorEastAsia" w:hAnsiTheme="minorEastAsia"/>
          <w:sz w:val="32"/>
          <w:szCs w:val="32"/>
        </w:rPr>
        <w:t>九、财政专户管理资金</w:t>
      </w:r>
    </w:p>
    <w:p w14:paraId="682907FE">
      <w:pPr>
        <w:pStyle w:val="4"/>
        <w:shd w:val="clear" w:color="auto" w:fill="FFFFFF"/>
        <w:spacing w:before="0" w:beforeAutospacing="0" w:after="0" w:afterAutospacing="0"/>
        <w:ind w:firstLine="480" w:firstLineChars="150"/>
        <w:rPr>
          <w:rFonts w:cs="FangSong_GB2312-Identity-H" w:asciiTheme="minorEastAsia" w:hAnsiTheme="minorEastAsia"/>
          <w:sz w:val="32"/>
          <w:szCs w:val="32"/>
        </w:rPr>
      </w:pPr>
      <w:r>
        <w:rPr>
          <w:rFonts w:hint="eastAsia" w:cs="FangSong_GB2312-Identity-H" w:asciiTheme="minorEastAsia" w:hAnsiTheme="minorEastAsia"/>
          <w:sz w:val="32"/>
          <w:szCs w:val="32"/>
        </w:rPr>
        <w:t>十、单位资金</w:t>
      </w:r>
    </w:p>
    <w:p w14:paraId="52F3489B">
      <w:pPr>
        <w:pStyle w:val="4"/>
        <w:shd w:val="clear" w:color="auto" w:fill="FFFFFF"/>
        <w:spacing w:before="0" w:beforeAutospacing="0" w:after="0" w:afterAutospacing="0"/>
        <w:ind w:firstLine="480" w:firstLineChars="150"/>
        <w:rPr>
          <w:rFonts w:ascii="Times New Roman" w:hAnsi="Times New Roman" w:cs="Times New Roman"/>
          <w:color w:val="000000"/>
          <w:sz w:val="30"/>
          <w:szCs w:val="30"/>
        </w:rPr>
      </w:pPr>
      <w:r>
        <w:rPr>
          <w:rFonts w:hint="eastAsia" w:cs="FangSong_GB2312-Identity-H" w:asciiTheme="minorEastAsia" w:hAnsiTheme="minorEastAsia"/>
          <w:sz w:val="32"/>
          <w:szCs w:val="32"/>
        </w:rPr>
        <w:t>十一、上年结转</w:t>
      </w:r>
    </w:p>
    <w:p w14:paraId="47765CDA">
      <w:pPr>
        <w:pStyle w:val="4"/>
        <w:shd w:val="clear" w:color="auto" w:fill="FFFFFF"/>
        <w:spacing w:before="0" w:beforeAutospacing="0" w:after="0" w:afterAutospacing="0"/>
        <w:jc w:val="center"/>
        <w:rPr>
          <w:rFonts w:cs="Times New Roman"/>
          <w:color w:val="000000"/>
          <w:sz w:val="30"/>
          <w:szCs w:val="30"/>
        </w:rPr>
      </w:pPr>
    </w:p>
    <w:p w14:paraId="22F9A04E">
      <w:pPr>
        <w:pStyle w:val="4"/>
        <w:shd w:val="clear" w:color="auto" w:fill="FFFFFF"/>
        <w:spacing w:before="0" w:beforeAutospacing="0" w:after="0" w:afterAutospacing="0"/>
        <w:jc w:val="center"/>
        <w:rPr>
          <w:rFonts w:cs="Times New Roman"/>
          <w:color w:val="000000"/>
          <w:sz w:val="30"/>
          <w:szCs w:val="30"/>
        </w:rPr>
      </w:pPr>
    </w:p>
    <w:p w14:paraId="6DF860D2">
      <w:pPr>
        <w:pStyle w:val="4"/>
        <w:shd w:val="clear" w:color="auto" w:fill="FFFFFF"/>
        <w:spacing w:before="0" w:beforeAutospacing="0" w:after="0" w:afterAutospacing="0"/>
        <w:jc w:val="center"/>
        <w:rPr>
          <w:rFonts w:cs="Times New Roman"/>
          <w:color w:val="000000"/>
          <w:sz w:val="30"/>
          <w:szCs w:val="30"/>
        </w:rPr>
      </w:pPr>
    </w:p>
    <w:p w14:paraId="1CE9E600">
      <w:pPr>
        <w:pStyle w:val="4"/>
        <w:shd w:val="clear" w:color="auto" w:fill="FFFFFF"/>
        <w:spacing w:before="0" w:beforeAutospacing="0" w:after="0" w:afterAutospacing="0"/>
        <w:jc w:val="center"/>
        <w:rPr>
          <w:rFonts w:ascii="Times New Roman" w:hAnsi="Times New Roman" w:cs="Times New Roman"/>
          <w:color w:val="000000"/>
          <w:sz w:val="96"/>
          <w:szCs w:val="96"/>
        </w:rPr>
      </w:pPr>
      <w:r>
        <w:rPr>
          <w:rFonts w:ascii="Times New Roman" w:hAnsi="Times New Roman" w:cs="Times New Roman"/>
          <w:color w:val="000000"/>
          <w:sz w:val="96"/>
          <w:szCs w:val="96"/>
        </w:rPr>
        <w:t> </w:t>
      </w:r>
    </w:p>
    <w:p w14:paraId="19DC827E">
      <w:pPr>
        <w:pStyle w:val="4"/>
        <w:shd w:val="clear" w:color="auto" w:fill="FFFFFF"/>
        <w:spacing w:before="0" w:beforeAutospacing="0" w:after="0" w:afterAutospacing="0"/>
        <w:jc w:val="center"/>
        <w:rPr>
          <w:rFonts w:ascii="Times New Roman" w:hAnsi="Times New Roman" w:cs="Times New Roman"/>
          <w:color w:val="000000"/>
          <w:sz w:val="96"/>
          <w:szCs w:val="96"/>
        </w:rPr>
      </w:pPr>
      <w:r>
        <w:rPr>
          <w:rFonts w:hint="eastAsia" w:cs="Times New Roman"/>
          <w:color w:val="000000"/>
          <w:sz w:val="30"/>
          <w:szCs w:val="30"/>
        </w:rPr>
        <w:t>第一部分</w:t>
      </w:r>
      <w:r>
        <w:rPr>
          <w:rFonts w:hint="eastAsia" w:ascii="微软雅黑" w:hAnsi="微软雅黑" w:eastAsia="微软雅黑" w:cs="Times New Roman"/>
          <w:color w:val="000000"/>
          <w:sz w:val="30"/>
          <w:szCs w:val="30"/>
        </w:rPr>
        <w:t> </w:t>
      </w:r>
      <w:r>
        <w:rPr>
          <w:rFonts w:hint="eastAsia" w:cs="Times New Roman"/>
          <w:color w:val="000000"/>
          <w:sz w:val="30"/>
          <w:szCs w:val="30"/>
        </w:rPr>
        <w:t>概况</w:t>
      </w:r>
    </w:p>
    <w:p w14:paraId="6A486FC8">
      <w:pPr>
        <w:pStyle w:val="4"/>
        <w:shd w:val="clear" w:color="auto" w:fill="FFFFFF"/>
        <w:spacing w:before="0" w:beforeAutospacing="0" w:after="0" w:afterAutospacing="0"/>
        <w:jc w:val="center"/>
        <w:rPr>
          <w:rFonts w:ascii="Times New Roman" w:hAnsi="Times New Roman" w:cs="Times New Roman"/>
          <w:color w:val="000000"/>
          <w:sz w:val="96"/>
          <w:szCs w:val="96"/>
        </w:rPr>
      </w:pPr>
      <w:r>
        <w:rPr>
          <w:rFonts w:ascii="Times New Roman" w:hAnsi="Times New Roman" w:cs="Times New Roman"/>
          <w:color w:val="000000"/>
          <w:sz w:val="96"/>
          <w:szCs w:val="96"/>
        </w:rPr>
        <w:t> </w:t>
      </w:r>
    </w:p>
    <w:p w14:paraId="07A14C3B">
      <w:pPr>
        <w:pStyle w:val="4"/>
        <w:shd w:val="clear" w:color="auto" w:fill="FFFFFF"/>
        <w:spacing w:before="0" w:beforeAutospacing="0" w:after="0" w:afterAutospacing="0"/>
        <w:ind w:firstLine="602"/>
        <w:jc w:val="both"/>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一、本单位职责</w:t>
      </w:r>
    </w:p>
    <w:p w14:paraId="41DBA035">
      <w:pPr>
        <w:pStyle w:val="4"/>
        <w:shd w:val="clear" w:color="auto" w:fill="FFFFFF"/>
        <w:spacing w:before="0" w:beforeAutospacing="0" w:after="0" w:afterAutospacing="0"/>
        <w:ind w:firstLine="450"/>
        <w:jc w:val="both"/>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 中共大同市委讲师团是市委宣传部管理的事业单位，为公益一类，副处级。主要职责为：（一）组织实施重大主题宣讲活动。按照省委、市委要求，在市委宣传部统一领导下，市委讲师团牵头负责重大主题宣讲活动的组织实施工作。（二）组织开展基层理论宣讲活动。以推动党的理论创新成果进企业、进学校、进机关、进农村、进社区、进军营、进网络为目标，实施基层宣讲联系示范点工程。（三）会同有关部门认真做好同级党委（党组）理论学习中心组学习服务工作。（四）扎实做好党委（党组）理论学习中心组指导工作。指导下级党委（党组）理论学习中心组学习，会同有关部门对下级党委（党组）理论学习中心组学习情况进行督查指导和年度通报。（五）积极推进党员干部在职理论教育。会同有关部门做好全市党员干部大理论学习教育规划的制订、组织实施工作。（六）大力开展理论和现实问题调查研究。积极参与智库一台建设。加强调查研究，加强研究成果转化，组织编写通俗理论读物，办好相关刊物和新媒体平台。（七）承办市委讲师团宣传部交办的其他事项。</w:t>
      </w:r>
    </w:p>
    <w:p w14:paraId="0F4B2255">
      <w:pPr>
        <w:pStyle w:val="4"/>
        <w:shd w:val="clear" w:color="auto" w:fill="FFFFFF"/>
        <w:spacing w:before="0" w:beforeAutospacing="0" w:after="0" w:afterAutospacing="0"/>
        <w:ind w:firstLine="602"/>
        <w:jc w:val="both"/>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二、机构设置情况</w:t>
      </w:r>
    </w:p>
    <w:p w14:paraId="3369E125">
      <w:pPr>
        <w:pStyle w:val="4"/>
        <w:shd w:val="clear" w:color="auto" w:fill="FFFFFF"/>
        <w:spacing w:before="0" w:beforeAutospacing="0" w:after="0" w:afterAutospacing="0"/>
        <w:ind w:firstLine="600"/>
        <w:jc w:val="both"/>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中共大同市委讲师为参公公益一类事业单位，编制19名。设团长1名（副处级），副团长2名（正科长级）。内设机构领导职数4正（正科长级）4副（副科长级）。</w:t>
      </w:r>
    </w:p>
    <w:p w14:paraId="3B76711E">
      <w:pPr>
        <w:pStyle w:val="4"/>
        <w:shd w:val="clear" w:color="auto" w:fill="FFFFFF"/>
        <w:spacing w:before="0" w:beforeAutospacing="0" w:after="0" w:afterAutospacing="0"/>
        <w:ind w:firstLine="602"/>
        <w:jc w:val="center"/>
        <w:rPr>
          <w:rFonts w:cs="Times New Roman" w:asciiTheme="minorEastAsia" w:hAnsiTheme="minorEastAsia" w:eastAsiaTheme="minorEastAsia"/>
          <w:color w:val="000000"/>
          <w:sz w:val="32"/>
          <w:szCs w:val="32"/>
        </w:rPr>
      </w:pPr>
      <w:r>
        <w:rPr>
          <w:rFonts w:cs="Times New Roman" w:asciiTheme="minorEastAsia" w:hAnsiTheme="minorEastAsia" w:eastAsiaTheme="minorEastAsia"/>
          <w:color w:val="000000"/>
          <w:sz w:val="32"/>
          <w:szCs w:val="32"/>
        </w:rPr>
        <w:t> </w:t>
      </w:r>
    </w:p>
    <w:p w14:paraId="4B7A337E">
      <w:pPr>
        <w:pStyle w:val="4"/>
        <w:shd w:val="clear" w:color="auto" w:fill="FFFFFF"/>
        <w:spacing w:before="0" w:beforeAutospacing="0" w:after="0" w:afterAutospacing="0"/>
        <w:ind w:firstLine="602"/>
        <w:jc w:val="center"/>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第二部分 2022 年度单位预算报表</w:t>
      </w:r>
    </w:p>
    <w:p w14:paraId="745E9FD8">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一、目录</w:t>
      </w:r>
    </w:p>
    <w:p w14:paraId="30C430B1">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二、2022年预算收支总表</w:t>
      </w:r>
    </w:p>
    <w:p w14:paraId="2AF2BD2A">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三、2022年预算收入总表</w:t>
      </w:r>
    </w:p>
    <w:p w14:paraId="5CC0649F">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四、2022年预算支出总表</w:t>
      </w:r>
    </w:p>
    <w:p w14:paraId="18CA26B2">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五、2022年财政拨款收支总表</w:t>
      </w:r>
    </w:p>
    <w:p w14:paraId="2B0C35D0">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六、2022年一般公共预算支出预算表</w:t>
      </w:r>
    </w:p>
    <w:p w14:paraId="10B1E7CE">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七、一般公共预算安排基本支出分经济科目表</w:t>
      </w:r>
    </w:p>
    <w:p w14:paraId="4577CA0A">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八、2022年政府性基金预算收入表</w:t>
      </w:r>
    </w:p>
    <w:p w14:paraId="4743F900">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九、2022年政府性基金预算支出表</w:t>
      </w:r>
    </w:p>
    <w:p w14:paraId="183970B0">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十、2022年国有资本经营预算收支预算表</w:t>
      </w:r>
    </w:p>
    <w:p w14:paraId="5A2CAA97">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十一、2022年一般公共预算“三公”经费支出情况统计表</w:t>
      </w:r>
    </w:p>
    <w:p w14:paraId="4E945E29">
      <w:pPr>
        <w:pStyle w:val="4"/>
        <w:shd w:val="clear" w:color="auto" w:fill="FFFFFF"/>
        <w:spacing w:before="0" w:beforeAutospacing="0" w:after="0" w:afterAutospacing="0"/>
        <w:rPr>
          <w:rFonts w:cs="Times New Roman" w:asciiTheme="minorEastAsia" w:hAnsiTheme="minorEastAsia" w:eastAsiaTheme="minorEastAsia"/>
          <w:color w:val="000000"/>
          <w:sz w:val="32"/>
          <w:szCs w:val="32"/>
        </w:rPr>
      </w:pPr>
      <w:r>
        <w:rPr>
          <w:rFonts w:hint="eastAsia" w:cs="Times New Roman" w:asciiTheme="minorEastAsia" w:hAnsiTheme="minorEastAsia" w:eastAsiaTheme="minorEastAsia"/>
          <w:color w:val="000000"/>
          <w:sz w:val="32"/>
          <w:szCs w:val="32"/>
        </w:rPr>
        <w:t>十二、2022年机关运行经费预算财政拨款情况统计表</w:t>
      </w:r>
    </w:p>
    <w:p w14:paraId="245CC541">
      <w:pPr>
        <w:pStyle w:val="4"/>
        <w:shd w:val="clear" w:color="auto" w:fill="FFFFFF"/>
        <w:spacing w:before="0" w:beforeAutospacing="0" w:after="0" w:afterAutospacing="0"/>
        <w:ind w:firstLine="602"/>
        <w:jc w:val="center"/>
        <w:rPr>
          <w:rFonts w:cs="Times New Roman" w:asciiTheme="minorEastAsia" w:hAnsiTheme="minorEastAsia" w:eastAsiaTheme="minorEastAsia"/>
          <w:color w:val="000000"/>
          <w:sz w:val="32"/>
          <w:szCs w:val="32"/>
        </w:rPr>
      </w:pPr>
    </w:p>
    <w:p w14:paraId="1A3B1946">
      <w:pPr>
        <w:widowControl/>
        <w:snapToGrid w:val="0"/>
        <w:spacing w:line="360" w:lineRule="auto"/>
        <w:ind w:firstLine="1920" w:firstLineChars="600"/>
        <w:jc w:val="left"/>
        <w:rPr>
          <w:rFonts w:cs="宋体" w:asciiTheme="minorEastAsia" w:hAnsiTheme="minorEastAsia"/>
          <w:kern w:val="0"/>
          <w:sz w:val="32"/>
          <w:szCs w:val="32"/>
        </w:rPr>
      </w:pPr>
      <w:r>
        <w:rPr>
          <w:rFonts w:hint="eastAsia" w:cs="宋体" w:asciiTheme="minorEastAsia" w:hAnsiTheme="minorEastAsia"/>
          <w:kern w:val="0"/>
          <w:sz w:val="32"/>
          <w:szCs w:val="32"/>
        </w:rPr>
        <w:t>第三部分部门预算情况说明</w:t>
      </w:r>
    </w:p>
    <w:p w14:paraId="479413BD">
      <w:pPr>
        <w:widowControl/>
        <w:snapToGrid w:val="0"/>
        <w:spacing w:line="360" w:lineRule="auto"/>
        <w:ind w:firstLine="640"/>
        <w:jc w:val="left"/>
        <w:rPr>
          <w:rFonts w:cs="宋体" w:asciiTheme="minorEastAsia" w:hAnsiTheme="minorEastAsia"/>
          <w:kern w:val="0"/>
          <w:sz w:val="32"/>
          <w:szCs w:val="32"/>
        </w:rPr>
      </w:pPr>
      <w:r>
        <w:rPr>
          <w:rFonts w:hint="eastAsia" w:cs="FangSong_GB2312-Identity-H" w:asciiTheme="minorEastAsia" w:hAnsiTheme="minorEastAsia"/>
          <w:kern w:val="0"/>
          <w:sz w:val="32"/>
          <w:szCs w:val="32"/>
        </w:rPr>
        <w:t>一、2022 年度部门预算收支情况</w:t>
      </w:r>
    </w:p>
    <w:p w14:paraId="6CD81AF7">
      <w:pPr>
        <w:widowControl/>
        <w:snapToGrid w:val="0"/>
        <w:spacing w:line="360" w:lineRule="auto"/>
        <w:ind w:firstLine="480"/>
        <w:jc w:val="left"/>
        <w:rPr>
          <w:rFonts w:cs="宋体" w:asciiTheme="minorEastAsia" w:hAnsiTheme="minorEastAsia"/>
          <w:kern w:val="0"/>
          <w:sz w:val="32"/>
          <w:szCs w:val="32"/>
        </w:rPr>
      </w:pPr>
      <w:r>
        <w:rPr>
          <w:rFonts w:hint="eastAsia" w:cs="宋体" w:asciiTheme="minorEastAsia" w:hAnsiTheme="minorEastAsia"/>
          <w:kern w:val="0"/>
          <w:sz w:val="32"/>
          <w:szCs w:val="32"/>
        </w:rPr>
        <w:t>（一）收入预算情况</w:t>
      </w:r>
    </w:p>
    <w:p w14:paraId="3E59AA24">
      <w:pPr>
        <w:widowControl/>
        <w:snapToGrid w:val="0"/>
        <w:spacing w:line="360" w:lineRule="auto"/>
        <w:ind w:firstLine="640"/>
        <w:jc w:val="left"/>
        <w:rPr>
          <w:rFonts w:cs="宋体" w:asciiTheme="minorEastAsia" w:hAnsiTheme="minorEastAsia"/>
          <w:kern w:val="0"/>
          <w:sz w:val="32"/>
          <w:szCs w:val="32"/>
        </w:rPr>
      </w:pPr>
      <w:r>
        <w:rPr>
          <w:rFonts w:hint="eastAsia" w:cs="宋体" w:asciiTheme="minorEastAsia" w:hAnsiTheme="minorEastAsia"/>
          <w:kern w:val="0"/>
          <w:sz w:val="32"/>
          <w:szCs w:val="32"/>
        </w:rPr>
        <w:t>2022年收支预算299.1万元，比2021年减少93.5万元, 增加40.8%。</w:t>
      </w:r>
    </w:p>
    <w:p w14:paraId="7B572AA3">
      <w:pPr>
        <w:widowControl/>
        <w:snapToGrid w:val="0"/>
        <w:spacing w:line="360" w:lineRule="auto"/>
        <w:ind w:firstLine="640"/>
        <w:jc w:val="left"/>
        <w:rPr>
          <w:rFonts w:cs="宋体" w:asciiTheme="minorEastAsia" w:hAnsiTheme="minorEastAsia"/>
          <w:kern w:val="0"/>
          <w:sz w:val="32"/>
          <w:szCs w:val="32"/>
        </w:rPr>
      </w:pPr>
      <w:r>
        <w:rPr>
          <w:rFonts w:hint="eastAsia" w:cs="宋体" w:asciiTheme="minorEastAsia" w:hAnsiTheme="minorEastAsia"/>
          <w:kern w:val="0"/>
          <w:sz w:val="32"/>
          <w:szCs w:val="32"/>
        </w:rPr>
        <w:t>（二）一般公共预算支出情况</w:t>
      </w:r>
    </w:p>
    <w:p w14:paraId="561C00F4">
      <w:pPr>
        <w:pStyle w:val="4"/>
        <w:shd w:val="clear" w:color="auto" w:fill="FFFFFF"/>
        <w:spacing w:before="0" w:beforeAutospacing="0" w:after="0" w:afterAutospacing="0" w:line="360" w:lineRule="auto"/>
        <w:ind w:firstLine="560"/>
        <w:jc w:val="both"/>
        <w:rPr>
          <w:rFonts w:asciiTheme="minorEastAsia" w:hAnsiTheme="minorEastAsia" w:eastAsiaTheme="minorEastAsia"/>
          <w:color w:val="000000"/>
          <w:sz w:val="32"/>
          <w:szCs w:val="32"/>
          <w:shd w:val="clear" w:color="auto" w:fill="FFFFFF"/>
        </w:rPr>
      </w:pPr>
      <w:r>
        <w:rPr>
          <w:rFonts w:hint="eastAsia" w:asciiTheme="minorEastAsia" w:hAnsiTheme="minorEastAsia" w:eastAsiaTheme="minorEastAsia"/>
          <w:sz w:val="32"/>
          <w:szCs w:val="32"/>
        </w:rPr>
        <w:t>1．2022年基本支出229.1万元，比2021年减少23万元，减少7.6%。</w:t>
      </w:r>
      <w:r>
        <w:rPr>
          <w:rFonts w:hint="eastAsia" w:asciiTheme="minorEastAsia" w:hAnsiTheme="minorEastAsia" w:eastAsiaTheme="minorEastAsia"/>
          <w:color w:val="000000"/>
          <w:sz w:val="32"/>
          <w:szCs w:val="32"/>
          <w:shd w:val="clear" w:color="auto" w:fill="FFFFFF"/>
        </w:rPr>
        <w:t>基本支出系按现有人员工资标准和公用经费定额标准核定，减少的主要原因是将经常性项目预算支出计入项目支出</w:t>
      </w:r>
      <w:r>
        <w:rPr>
          <w:rFonts w:hint="eastAsia" w:asciiTheme="minorEastAsia" w:hAnsiTheme="minorEastAsia" w:eastAsiaTheme="minorEastAsia"/>
          <w:sz w:val="32"/>
          <w:szCs w:val="32"/>
        </w:rPr>
        <w:t>。</w:t>
      </w:r>
      <w:r>
        <w:rPr>
          <w:rFonts w:hint="eastAsia" w:asciiTheme="minorEastAsia" w:hAnsiTheme="minorEastAsia" w:eastAsiaTheme="minorEastAsia"/>
          <w:color w:val="000000"/>
          <w:sz w:val="32"/>
          <w:szCs w:val="32"/>
          <w:shd w:val="clear" w:color="auto" w:fill="FFFFFF"/>
        </w:rPr>
        <w:t>其中：人员经费</w:t>
      </w:r>
      <w:r>
        <w:rPr>
          <w:rFonts w:asciiTheme="minorEastAsia" w:hAnsiTheme="minorEastAsia" w:eastAsiaTheme="minorEastAsia"/>
          <w:sz w:val="32"/>
          <w:szCs w:val="32"/>
          <w:shd w:val="clear" w:color="auto" w:fill="FFFFFF"/>
        </w:rPr>
        <w:t>254.8</w:t>
      </w:r>
      <w:r>
        <w:rPr>
          <w:rFonts w:hint="eastAsia" w:asciiTheme="minorEastAsia" w:hAnsiTheme="minorEastAsia" w:eastAsiaTheme="minorEastAsia"/>
          <w:sz w:val="32"/>
          <w:szCs w:val="32"/>
          <w:shd w:val="clear" w:color="auto" w:fill="FFFFFF"/>
        </w:rPr>
        <w:t>4</w:t>
      </w:r>
      <w:r>
        <w:rPr>
          <w:rFonts w:hint="eastAsia" w:asciiTheme="minorEastAsia" w:hAnsiTheme="minorEastAsia" w:eastAsiaTheme="minorEastAsia"/>
          <w:color w:val="000000"/>
          <w:sz w:val="32"/>
          <w:szCs w:val="32"/>
          <w:shd w:val="clear" w:color="auto" w:fill="FFFFFF"/>
        </w:rPr>
        <w:t>万元，主要包括基本工资、津贴补贴、奖金、绩效工资、机关事业单位基本养老保险缴费、城镇职工基本医疗保险缴费、职业年金缴费、医疗补助缴费、其他社会保障缴费、住房公积金、离休费、退休费、生活补助、奖励金；公用经费31.47万元， 主要包括办公费、印刷费、水电费、邮电费、取暖费、差旅费、会议费、培训费、公务接待费、劳务费、工会经费、福利费、公务用车运行维护费、其他交通费用、其他商品和服务支出。</w:t>
      </w:r>
    </w:p>
    <w:p w14:paraId="4721CF72">
      <w:pPr>
        <w:widowControl/>
        <w:snapToGrid w:val="0"/>
        <w:spacing w:line="360" w:lineRule="auto"/>
        <w:ind w:firstLine="537" w:firstLineChars="168"/>
        <w:jc w:val="left"/>
        <w:rPr>
          <w:rFonts w:cs="宋体" w:asciiTheme="minorEastAsia" w:hAnsiTheme="minorEastAsia"/>
          <w:kern w:val="0"/>
          <w:sz w:val="32"/>
          <w:szCs w:val="32"/>
        </w:rPr>
      </w:pPr>
      <w:r>
        <w:rPr>
          <w:rFonts w:hint="eastAsia" w:cs="宋体" w:asciiTheme="minorEastAsia" w:hAnsiTheme="minorEastAsia"/>
          <w:kern w:val="0"/>
          <w:sz w:val="32"/>
          <w:szCs w:val="32"/>
        </w:rPr>
        <w:t>2． 2022年项目支出44.25万元，比2021年减少1.05万元,增加2.3%</w:t>
      </w:r>
      <w:r>
        <w:rPr>
          <w:rFonts w:hint="eastAsia" w:asciiTheme="minorEastAsia" w:hAnsiTheme="minorEastAsia"/>
          <w:sz w:val="32"/>
          <w:szCs w:val="32"/>
        </w:rPr>
        <w:t>。减少的主要原因是核减项目经费。</w:t>
      </w:r>
    </w:p>
    <w:p w14:paraId="68E56F5F">
      <w:pPr>
        <w:widowControl/>
        <w:snapToGrid w:val="0"/>
        <w:spacing w:line="360" w:lineRule="auto"/>
        <w:ind w:firstLine="645"/>
        <w:jc w:val="left"/>
        <w:rPr>
          <w:rFonts w:cs="宋体" w:asciiTheme="minorEastAsia" w:hAnsiTheme="minorEastAsia"/>
          <w:kern w:val="0"/>
          <w:sz w:val="32"/>
          <w:szCs w:val="32"/>
        </w:rPr>
      </w:pPr>
      <w:r>
        <w:rPr>
          <w:rFonts w:hint="eastAsia" w:cs="宋体" w:asciiTheme="minorEastAsia" w:hAnsiTheme="minorEastAsia"/>
          <w:kern w:val="0"/>
          <w:sz w:val="32"/>
          <w:szCs w:val="32"/>
        </w:rPr>
        <w:t>（三）政府性基金预算情况</w:t>
      </w:r>
    </w:p>
    <w:p w14:paraId="2468C495">
      <w:pPr>
        <w:widowControl/>
        <w:snapToGrid w:val="0"/>
        <w:spacing w:line="360" w:lineRule="auto"/>
        <w:ind w:firstLine="540"/>
        <w:jc w:val="left"/>
        <w:rPr>
          <w:rFonts w:cs="宋体" w:asciiTheme="minorEastAsia" w:hAnsiTheme="minorEastAsia"/>
          <w:kern w:val="0"/>
          <w:sz w:val="32"/>
          <w:szCs w:val="32"/>
        </w:rPr>
      </w:pPr>
      <w:r>
        <w:rPr>
          <w:rFonts w:hint="eastAsia" w:cs="宋体" w:asciiTheme="minorEastAsia" w:hAnsiTheme="minorEastAsia"/>
          <w:kern w:val="0"/>
          <w:sz w:val="32"/>
          <w:szCs w:val="32"/>
        </w:rPr>
        <w:t>我单位没有政府性基金经费。</w:t>
      </w:r>
    </w:p>
    <w:p w14:paraId="55EDCB8A">
      <w:pPr>
        <w:widowControl/>
        <w:snapToGrid w:val="0"/>
        <w:spacing w:line="360" w:lineRule="auto"/>
        <w:ind w:firstLine="540"/>
        <w:jc w:val="left"/>
        <w:rPr>
          <w:rFonts w:cs="宋体" w:asciiTheme="minorEastAsia" w:hAnsiTheme="minorEastAsia"/>
          <w:kern w:val="0"/>
          <w:sz w:val="32"/>
          <w:szCs w:val="32"/>
        </w:rPr>
      </w:pPr>
      <w:r>
        <w:rPr>
          <w:rFonts w:hint="eastAsia" w:cs="宋体" w:asciiTheme="minorEastAsia" w:hAnsiTheme="minorEastAsia"/>
          <w:kern w:val="0"/>
          <w:sz w:val="32"/>
          <w:szCs w:val="32"/>
        </w:rPr>
        <w:t>二、“三公”经费情况</w:t>
      </w:r>
    </w:p>
    <w:p w14:paraId="469C79D7">
      <w:pPr>
        <w:widowControl/>
        <w:snapToGrid w:val="0"/>
        <w:spacing w:line="360" w:lineRule="auto"/>
        <w:ind w:firstLine="540"/>
        <w:jc w:val="left"/>
        <w:rPr>
          <w:rFonts w:cs="宋体" w:asciiTheme="minorEastAsia" w:hAnsiTheme="minorEastAsia"/>
          <w:kern w:val="0"/>
          <w:sz w:val="32"/>
          <w:szCs w:val="32"/>
        </w:rPr>
      </w:pPr>
      <w:r>
        <w:rPr>
          <w:rFonts w:hint="eastAsia" w:cs="宋体" w:asciiTheme="minorEastAsia" w:hAnsiTheme="minorEastAsia"/>
          <w:kern w:val="0"/>
          <w:sz w:val="32"/>
          <w:szCs w:val="32"/>
        </w:rPr>
        <w:t>2022 年“三公”经费预算3.5万元，公务用车运行维护费3.5万元。我单位认真贯彻落实</w:t>
      </w:r>
      <w:bookmarkStart w:id="0" w:name="_GoBack"/>
      <w:bookmarkEnd w:id="0"/>
      <w:r>
        <w:rPr>
          <w:rFonts w:hint="eastAsia" w:cs="宋体" w:asciiTheme="minorEastAsia" w:hAnsiTheme="minorEastAsia"/>
          <w:kern w:val="0"/>
          <w:sz w:val="32"/>
          <w:szCs w:val="32"/>
          <w:lang w:eastAsia="zh-CN"/>
        </w:rPr>
        <w:t>中央八项规定</w:t>
      </w:r>
      <w:r>
        <w:rPr>
          <w:rFonts w:hint="eastAsia" w:cs="宋体" w:asciiTheme="minorEastAsia" w:hAnsiTheme="minorEastAsia"/>
          <w:kern w:val="0"/>
          <w:sz w:val="32"/>
          <w:szCs w:val="32"/>
        </w:rPr>
        <w:t>精神和厉行节约要求，严格控制“三公”经费开支，公务用车运行维护费减少。</w:t>
      </w:r>
    </w:p>
    <w:p w14:paraId="1D435816">
      <w:pPr>
        <w:widowControl/>
        <w:snapToGrid w:val="0"/>
        <w:spacing w:line="360" w:lineRule="auto"/>
        <w:ind w:firstLine="540"/>
        <w:jc w:val="left"/>
        <w:rPr>
          <w:rFonts w:cs="FangSong_GB2312-Identity-H" w:asciiTheme="minorEastAsia" w:hAnsiTheme="minorEastAsia"/>
          <w:bCs/>
          <w:kern w:val="0"/>
          <w:sz w:val="32"/>
          <w:szCs w:val="32"/>
        </w:rPr>
      </w:pPr>
      <w:r>
        <w:rPr>
          <w:rFonts w:hint="eastAsia" w:cs="FangSong_GB2312-Identity-H" w:asciiTheme="minorEastAsia" w:hAnsiTheme="minorEastAsia"/>
          <w:bCs/>
          <w:kern w:val="0"/>
          <w:sz w:val="32"/>
          <w:szCs w:val="32"/>
        </w:rPr>
        <w:t>三、机关运行经费情况</w:t>
      </w:r>
    </w:p>
    <w:p w14:paraId="1791FD15">
      <w:pPr>
        <w:autoSpaceDE w:val="0"/>
        <w:autoSpaceDN w:val="0"/>
        <w:adjustRightInd w:val="0"/>
        <w:spacing w:line="360" w:lineRule="auto"/>
        <w:ind w:firstLine="640" w:firstLineChars="200"/>
        <w:jc w:val="left"/>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2022年机关运行经费预算财政拨款31.47万元。</w:t>
      </w:r>
      <w:r>
        <w:rPr>
          <w:rFonts w:cs="FangSong_GB2312-Identity-H" w:asciiTheme="minorEastAsia" w:hAnsiTheme="minorEastAsia"/>
          <w:kern w:val="0"/>
          <w:sz w:val="32"/>
          <w:szCs w:val="32"/>
        </w:rPr>
        <w:t xml:space="preserve"> </w:t>
      </w:r>
    </w:p>
    <w:p w14:paraId="3D67B15B">
      <w:pPr>
        <w:autoSpaceDE w:val="0"/>
        <w:autoSpaceDN w:val="0"/>
        <w:adjustRightInd w:val="0"/>
        <w:spacing w:line="360" w:lineRule="auto"/>
        <w:ind w:firstLine="480" w:firstLineChars="150"/>
        <w:jc w:val="left"/>
        <w:rPr>
          <w:rFonts w:cs="FangSong_GB2312-Identity-H" w:asciiTheme="minorEastAsia" w:hAnsiTheme="minorEastAsia"/>
          <w:bCs/>
          <w:kern w:val="0"/>
          <w:sz w:val="32"/>
          <w:szCs w:val="32"/>
        </w:rPr>
      </w:pPr>
      <w:r>
        <w:rPr>
          <w:rFonts w:hint="eastAsia" w:cs="FangSong_GB2312-Identity-H" w:asciiTheme="minorEastAsia" w:hAnsiTheme="minorEastAsia"/>
          <w:bCs/>
          <w:kern w:val="0"/>
          <w:sz w:val="32"/>
          <w:szCs w:val="32"/>
        </w:rPr>
        <w:t>四、政府采购情况</w:t>
      </w:r>
    </w:p>
    <w:p w14:paraId="5C787ECE">
      <w:pPr>
        <w:autoSpaceDE w:val="0"/>
        <w:autoSpaceDN w:val="0"/>
        <w:adjustRightInd w:val="0"/>
        <w:spacing w:line="360" w:lineRule="auto"/>
        <w:ind w:firstLine="640" w:firstLineChars="200"/>
        <w:jc w:val="left"/>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2022年无政府采购货物预算。</w:t>
      </w:r>
    </w:p>
    <w:p w14:paraId="6453709A">
      <w:pPr>
        <w:autoSpaceDE w:val="0"/>
        <w:autoSpaceDN w:val="0"/>
        <w:adjustRightInd w:val="0"/>
        <w:spacing w:line="360" w:lineRule="auto"/>
        <w:ind w:firstLine="480" w:firstLineChars="150"/>
        <w:jc w:val="left"/>
        <w:rPr>
          <w:rFonts w:cs="FangSong_GB2312-Identity-H" w:asciiTheme="minorEastAsia" w:hAnsiTheme="minorEastAsia"/>
          <w:bCs/>
          <w:kern w:val="0"/>
          <w:sz w:val="32"/>
          <w:szCs w:val="32"/>
        </w:rPr>
      </w:pPr>
      <w:r>
        <w:rPr>
          <w:rFonts w:hint="eastAsia" w:cs="FangSong_GB2312-Identity-H" w:asciiTheme="minorEastAsia" w:hAnsiTheme="minorEastAsia"/>
          <w:bCs/>
          <w:kern w:val="0"/>
          <w:sz w:val="32"/>
          <w:szCs w:val="32"/>
        </w:rPr>
        <w:t>五、国有资产占用情况说明</w:t>
      </w:r>
    </w:p>
    <w:p w14:paraId="0D0D2869">
      <w:pPr>
        <w:rPr>
          <w:rFonts w:cs="Arial" w:asciiTheme="minorEastAsia" w:hAnsiTheme="minorEastAsia"/>
          <w:color w:val="000000"/>
          <w:sz w:val="32"/>
          <w:szCs w:val="32"/>
        </w:rPr>
      </w:pPr>
      <w:r>
        <w:rPr>
          <w:rFonts w:hint="eastAsia" w:asciiTheme="minorEastAsia" w:hAnsiTheme="minorEastAsia"/>
          <w:sz w:val="32"/>
          <w:szCs w:val="32"/>
        </w:rPr>
        <w:t xml:space="preserve">    2022年固定资产中包含车辆5辆，其中机要通信用车1辆，本单位没有</w:t>
      </w:r>
      <w:r>
        <w:rPr>
          <w:rFonts w:hint="eastAsia" w:cs="Arial" w:asciiTheme="minorEastAsia" w:hAnsiTheme="minorEastAsia"/>
          <w:color w:val="000000"/>
          <w:sz w:val="32"/>
          <w:szCs w:val="32"/>
        </w:rPr>
        <w:t>单位价值100万元以上大型设备。</w:t>
      </w:r>
    </w:p>
    <w:p w14:paraId="0E4DF67A">
      <w:pPr>
        <w:autoSpaceDE w:val="0"/>
        <w:autoSpaceDN w:val="0"/>
        <w:adjustRightInd w:val="0"/>
        <w:spacing w:line="360" w:lineRule="auto"/>
        <w:ind w:firstLine="480" w:firstLineChars="150"/>
        <w:jc w:val="left"/>
        <w:rPr>
          <w:rFonts w:cs="FangSong_GB2312-Identity-H" w:asciiTheme="minorEastAsia" w:hAnsiTheme="minorEastAsia"/>
          <w:bCs/>
          <w:kern w:val="0"/>
          <w:sz w:val="32"/>
          <w:szCs w:val="32"/>
        </w:rPr>
      </w:pPr>
      <w:r>
        <w:rPr>
          <w:rFonts w:hint="eastAsia" w:cs="FangSong_GB2312-Identity-H" w:asciiTheme="minorEastAsia" w:hAnsiTheme="minorEastAsia"/>
          <w:bCs/>
          <w:kern w:val="0"/>
          <w:sz w:val="32"/>
          <w:szCs w:val="32"/>
        </w:rPr>
        <w:t>六、重点项目预算绩效情况说明</w:t>
      </w:r>
    </w:p>
    <w:p w14:paraId="1DA00F98">
      <w:pPr>
        <w:pStyle w:val="4"/>
        <w:shd w:val="clear" w:color="auto" w:fill="FFFFFF"/>
        <w:spacing w:before="0" w:beforeAutospacing="0" w:after="0" w:afterAutospacing="0"/>
        <w:ind w:firstLine="640" w:firstLineChars="200"/>
        <w:jc w:val="both"/>
        <w:rPr>
          <w:rFonts w:cs="Times New Roman" w:asciiTheme="minorEastAsia" w:hAnsiTheme="minorEastAsia" w:eastAsiaTheme="minorEastAsia"/>
          <w:kern w:val="2"/>
          <w:sz w:val="32"/>
          <w:szCs w:val="32"/>
        </w:rPr>
      </w:pPr>
      <w:r>
        <w:rPr>
          <w:rFonts w:hint="eastAsia" w:cs="Times New Roman" w:asciiTheme="minorEastAsia" w:hAnsiTheme="minorEastAsia" w:eastAsiaTheme="minorEastAsia"/>
          <w:kern w:val="2"/>
          <w:sz w:val="32"/>
          <w:szCs w:val="32"/>
        </w:rPr>
        <w:t>2022年无</w:t>
      </w:r>
      <w:r>
        <w:rPr>
          <w:rFonts w:hint="eastAsia" w:cs="FangSong_GB2312-Identity-H" w:asciiTheme="minorEastAsia" w:hAnsiTheme="minorEastAsia"/>
          <w:bCs/>
          <w:sz w:val="32"/>
          <w:szCs w:val="32"/>
        </w:rPr>
        <w:t>重点项目预算绩效</w:t>
      </w:r>
      <w:r>
        <w:rPr>
          <w:rFonts w:hint="eastAsia" w:cs="Times New Roman" w:asciiTheme="minorEastAsia" w:hAnsiTheme="minorEastAsia" w:eastAsiaTheme="minorEastAsia"/>
          <w:kern w:val="2"/>
          <w:sz w:val="32"/>
          <w:szCs w:val="32"/>
        </w:rPr>
        <w:t>。</w:t>
      </w:r>
    </w:p>
    <w:p w14:paraId="156B8467">
      <w:pPr>
        <w:pStyle w:val="4"/>
        <w:shd w:val="clear" w:color="auto" w:fill="FFFFFF"/>
        <w:spacing w:before="0" w:beforeAutospacing="0" w:after="0" w:afterAutospacing="0"/>
        <w:ind w:firstLine="645"/>
        <w:jc w:val="both"/>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四、名词解释</w:t>
      </w:r>
    </w:p>
    <w:p w14:paraId="0D53D140">
      <w:pPr>
        <w:pStyle w:val="4"/>
        <w:shd w:val="clear" w:color="auto" w:fill="FFFFFF"/>
        <w:spacing w:before="0" w:beforeAutospacing="0" w:after="0" w:afterAutospacing="0"/>
        <w:ind w:firstLine="640"/>
        <w:jc w:val="both"/>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（一）基本支出：指为保障机构正常运转、完成日常工作任务而发生的人员支出和公用支出。</w:t>
      </w:r>
    </w:p>
    <w:p w14:paraId="71A113E5">
      <w:pPr>
        <w:pStyle w:val="4"/>
        <w:shd w:val="clear" w:color="auto" w:fill="FFFFFF"/>
        <w:spacing w:before="0" w:beforeAutospacing="0" w:after="0" w:afterAutospacing="0"/>
        <w:ind w:firstLine="645"/>
        <w:jc w:val="both"/>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（二）项目支出：指在基本支出之外为完成特定行政任务和事业发展目标所发生的支出。</w:t>
      </w:r>
    </w:p>
    <w:p w14:paraId="3EF26346">
      <w:pPr>
        <w:pStyle w:val="4"/>
        <w:shd w:val="clear" w:color="auto" w:fill="FFFFFF"/>
        <w:spacing w:before="0" w:beforeAutospacing="0" w:after="0" w:afterAutospacing="0"/>
        <w:ind w:firstLine="645"/>
        <w:jc w:val="both"/>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（三）</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三公</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0C6D691D">
      <w:pPr>
        <w:autoSpaceDE w:val="0"/>
        <w:autoSpaceDN w:val="0"/>
        <w:adjustRightInd w:val="0"/>
        <w:ind w:firstLine="480" w:firstLineChars="150"/>
        <w:jc w:val="left"/>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（四）机关运行经费：指行政单位和参照公务员法管理的事业单位使用一般公共预算安排的基本支出中的日常公用经费支出。</w:t>
      </w:r>
    </w:p>
    <w:p w14:paraId="509AB71E">
      <w:pPr>
        <w:autoSpaceDE w:val="0"/>
        <w:autoSpaceDN w:val="0"/>
        <w:adjustRightInd w:val="0"/>
        <w:ind w:firstLine="480" w:firstLineChars="150"/>
        <w:jc w:val="left"/>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（五）政府购买服务：根据我国现行政策规定，政府购买服务，是指政府按照一定的方式和程序，把属于政府职责范围且适合通过市场化方式提供的服务事项，交由符合条件的社会力量和事业单位承担， 并根据服务数量和质量等向其支付费用的行为。政府购买服务是一种契约化的公共服务提供方式，具有权责清晰、结果导向、灵活高效等特点。</w:t>
      </w:r>
    </w:p>
    <w:p w14:paraId="77BFB4E4">
      <w:pPr>
        <w:autoSpaceDE w:val="0"/>
        <w:autoSpaceDN w:val="0"/>
        <w:adjustRightInd w:val="0"/>
        <w:ind w:firstLine="640" w:firstLineChars="200"/>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（六）一般公共预算：是指以税收为主体的财政收入，安排用于保障和改善民生、推动经济社会发展、维护国家安全、维持国家机构正常运转等方面的收支预算。</w:t>
      </w:r>
    </w:p>
    <w:p w14:paraId="040FE58F">
      <w:pPr>
        <w:autoSpaceDE w:val="0"/>
        <w:autoSpaceDN w:val="0"/>
        <w:adjustRightInd w:val="0"/>
        <w:ind w:firstLine="640" w:firstLineChars="200"/>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（七）政府性基金预算：是对依照法律、行政法规的规定在一定期限内向特定对象征收、收取或者以其他方式筹集的资金，专项用于特定公共事业发展的收支预算。</w:t>
      </w:r>
    </w:p>
    <w:p w14:paraId="2907D198">
      <w:pPr>
        <w:autoSpaceDE w:val="0"/>
        <w:autoSpaceDN w:val="0"/>
        <w:adjustRightInd w:val="0"/>
        <w:ind w:firstLine="640" w:firstLineChars="200"/>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（八）国有资本经营预算：是对国有资本收益作出支出安排的收支预算。</w:t>
      </w:r>
    </w:p>
    <w:p w14:paraId="1DD8F7BB">
      <w:pPr>
        <w:autoSpaceDE w:val="0"/>
        <w:autoSpaceDN w:val="0"/>
        <w:adjustRightInd w:val="0"/>
        <w:ind w:firstLine="640" w:firstLineChars="200"/>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 xml:space="preserve">（九）财政专户管理资金：专指教育收费，包括目前在财政专户管理的高中以上学费、住宿费，高校委托培养费，党校收费，教育考试考务费，函大、电大、夜大及短训班培训费等。  </w:t>
      </w:r>
    </w:p>
    <w:p w14:paraId="1F2F95B3">
      <w:pPr>
        <w:autoSpaceDE w:val="0"/>
        <w:autoSpaceDN w:val="0"/>
        <w:adjustRightInd w:val="0"/>
        <w:ind w:firstLine="640" w:firstLineChars="200"/>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（十）单位资金：是指除政府预算资金和财政专户管理资金以外的资金，包括事业收入、事业单位经营收入、上级补助收入、附属单位上缴收入、其他收入。</w:t>
      </w:r>
    </w:p>
    <w:p w14:paraId="7C5EEADC">
      <w:pPr>
        <w:autoSpaceDE w:val="0"/>
        <w:autoSpaceDN w:val="0"/>
        <w:adjustRightInd w:val="0"/>
        <w:ind w:firstLine="640" w:firstLineChars="200"/>
        <w:rPr>
          <w:rFonts w:cs="FangSong_GB2312-Identity-H" w:asciiTheme="minorEastAsia" w:hAnsiTheme="minorEastAsia"/>
          <w:kern w:val="0"/>
          <w:sz w:val="32"/>
          <w:szCs w:val="32"/>
        </w:rPr>
      </w:pPr>
      <w:r>
        <w:rPr>
          <w:rFonts w:hint="eastAsia" w:cs="FangSong_GB2312-Identity-H" w:asciiTheme="minorEastAsia" w:hAnsiTheme="minorEastAsia"/>
          <w:kern w:val="0"/>
          <w:sz w:val="32"/>
          <w:szCs w:val="32"/>
        </w:rPr>
        <w:t>（十一）上年结转：指以前年度预算安排、结转到本年仍按原规定用途继续使用的资金。</w:t>
      </w:r>
    </w:p>
    <w:p w14:paraId="38DB1046">
      <w:pPr>
        <w:autoSpaceDE w:val="0"/>
        <w:autoSpaceDN w:val="0"/>
        <w:adjustRightInd w:val="0"/>
        <w:ind w:firstLine="480" w:firstLineChars="150"/>
        <w:jc w:val="left"/>
        <w:rPr>
          <w:rFonts w:cs="FangSong_GB2312-Identity-H" w:asciiTheme="minorEastAsia" w:hAnsiTheme="minorEastAsia"/>
          <w:kern w:val="0"/>
          <w:sz w:val="32"/>
          <w:szCs w:val="32"/>
        </w:rPr>
      </w:pPr>
    </w:p>
    <w:p w14:paraId="086E3C25">
      <w:pPr>
        <w:pStyle w:val="4"/>
        <w:shd w:val="clear" w:color="auto" w:fill="FFFFFF"/>
        <w:spacing w:before="0" w:beforeAutospacing="0" w:after="0" w:afterAutospacing="0"/>
        <w:ind w:firstLine="602"/>
        <w:jc w:val="center"/>
        <w:rPr>
          <w:rFonts w:cs="Times New Roman" w:asciiTheme="minorEastAsia" w:hAnsiTheme="minorEastAsia" w:eastAsiaTheme="minorEastAsia"/>
          <w:color w:val="000000"/>
          <w:sz w:val="32"/>
          <w:szCs w:val="32"/>
        </w:rPr>
      </w:pPr>
    </w:p>
    <w:p w14:paraId="25BD5A0C">
      <w:pPr>
        <w:rPr>
          <w:rFonts w:asciiTheme="minorEastAsia"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FangSong_GB2312-Identity-H">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86500F"/>
    <w:multiLevelType w:val="multilevel"/>
    <w:tmpl w:val="6B86500F"/>
    <w:lvl w:ilvl="0" w:tentative="0">
      <w:start w:val="1"/>
      <w:numFmt w:val="japaneseCounting"/>
      <w:lvlText w:val="%1、"/>
      <w:lvlJc w:val="left"/>
      <w:pPr>
        <w:ind w:left="130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7765"/>
    <w:rsid w:val="000A55E7"/>
    <w:rsid w:val="001B2A5F"/>
    <w:rsid w:val="003E10E0"/>
    <w:rsid w:val="00482A2C"/>
    <w:rsid w:val="004D3BD7"/>
    <w:rsid w:val="0050538F"/>
    <w:rsid w:val="00594992"/>
    <w:rsid w:val="005A6972"/>
    <w:rsid w:val="007461D2"/>
    <w:rsid w:val="007B5CE9"/>
    <w:rsid w:val="007D4BC3"/>
    <w:rsid w:val="009F3ED2"/>
    <w:rsid w:val="00AC4D37"/>
    <w:rsid w:val="00C27765"/>
    <w:rsid w:val="00CA02AF"/>
    <w:rsid w:val="00D34FF3"/>
    <w:rsid w:val="00D63F17"/>
    <w:rsid w:val="00DA6056"/>
    <w:rsid w:val="00E6473D"/>
    <w:rsid w:val="00E93EF0"/>
    <w:rsid w:val="00E95126"/>
    <w:rsid w:val="00ED6E19"/>
    <w:rsid w:val="00FC0C03"/>
    <w:rsid w:val="0A73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2631</Words>
  <Characters>2785</Characters>
  <Lines>20</Lines>
  <Paragraphs>5</Paragraphs>
  <TotalTime>49</TotalTime>
  <ScaleCrop>false</ScaleCrop>
  <LinksUpToDate>false</LinksUpToDate>
  <CharactersWithSpaces>2808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2022-03-31T02:03:00Z</dcterms:created>
  <dc:creator>ftdrtu6</dc:creator>
  <cp:lastModifiedBy>甜蜜的微笑</cp:lastModifiedBy>
  <dcterms:modified xsi:type="dcterms:W3CDTF">2024-12-30T08:02:05Z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eyJoZGlkIjoiYWM3N2VmODg4MjZhZDk2YzkzY2Q2MDhmMGI5YzBiYzUiLCJ1c2VySWQiOiIzMTg1NTAxNTAifQ==</vt:lpwstr>
  </property>
  <property fmtid="{D5CDD505-2E9C-101B-9397-08002B2CF9AE}" pid="3" name="KSOProductBuildVer">
    <vt:lpwstr>2052-12.1.0.19302</vt:lpwstr>
  </property>
  <property fmtid="{D5CDD505-2E9C-101B-9397-08002B2CF9AE}" pid="4" name="ICV">
    <vt:lpwstr>34E56A0F062F4677B9DB345B11045A5A_12</vt:lpwstr>
  </property>
</Properties>
</file>