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20" w:lineRule="exact"/>
        <w:jc w:val="left"/>
        <w:rPr>
          <w:rFonts w:hint="eastAsia" w:ascii="黑体" w:hAnsi="黑体" w:eastAsia="黑体" w:cs="黑体"/>
          <w:b/>
          <w:bCs/>
          <w:kern w:val="0"/>
          <w:sz w:val="32"/>
          <w:szCs w:val="32"/>
          <w:lang w:val="en-US" w:eastAsia="zh-CN"/>
        </w:rPr>
      </w:pPr>
      <w:bookmarkStart w:id="0" w:name="_GoBack"/>
      <w:bookmarkEnd w:id="0"/>
    </w:p>
    <w:tbl>
      <w:tblPr>
        <w:tblStyle w:val="2"/>
        <w:tblW w:w="9146" w:type="dxa"/>
        <w:jc w:val="center"/>
        <w:tblLayout w:type="fixed"/>
        <w:tblCellMar>
          <w:top w:w="0" w:type="dxa"/>
          <w:left w:w="108" w:type="dxa"/>
          <w:bottom w:w="0" w:type="dxa"/>
          <w:right w:w="108" w:type="dxa"/>
        </w:tblCellMar>
      </w:tblPr>
      <w:tblGrid>
        <w:gridCol w:w="588"/>
        <w:gridCol w:w="980"/>
        <w:gridCol w:w="66"/>
        <w:gridCol w:w="1046"/>
        <w:gridCol w:w="730"/>
        <w:gridCol w:w="1134"/>
        <w:gridCol w:w="284"/>
        <w:gridCol w:w="956"/>
        <w:gridCol w:w="858"/>
        <w:gridCol w:w="170"/>
        <w:gridCol w:w="284"/>
        <w:gridCol w:w="425"/>
        <w:gridCol w:w="142"/>
        <w:gridCol w:w="709"/>
        <w:gridCol w:w="774"/>
      </w:tblGrid>
      <w:tr>
        <w:tblPrEx>
          <w:tblCellMar>
            <w:top w:w="0" w:type="dxa"/>
            <w:left w:w="108" w:type="dxa"/>
            <w:bottom w:w="0" w:type="dxa"/>
            <w:right w:w="108" w:type="dxa"/>
          </w:tblCellMar>
        </w:tblPrEx>
        <w:trPr>
          <w:trHeight w:val="529" w:hRule="exact"/>
          <w:jc w:val="center"/>
        </w:trPr>
        <w:tc>
          <w:tcPr>
            <w:tcW w:w="9146" w:type="dxa"/>
            <w:gridSpan w:val="15"/>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华文中宋" w:hAnsi="华文中宋" w:eastAsia="华文中宋" w:cs="华文中宋"/>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146" w:type="dxa"/>
            <w:gridSpan w:val="15"/>
            <w:tcBorders>
              <w:top w:val="nil"/>
              <w:left w:val="nil"/>
              <w:bottom w:val="nil"/>
              <w:right w:val="nil"/>
            </w:tcBorders>
            <w:vAlign w:val="top"/>
          </w:tcPr>
          <w:p>
            <w:pPr>
              <w:widowControl/>
              <w:jc w:val="both"/>
              <w:rPr>
                <w:rFonts w:ascii="宋体" w:hAnsi="宋体" w:eastAsia="宋体" w:cs="宋体"/>
                <w:kern w:val="0"/>
                <w:sz w:val="22"/>
                <w:szCs w:val="22"/>
              </w:rPr>
            </w:pPr>
            <w:r>
              <w:rPr>
                <w:rFonts w:hint="eastAsia" w:ascii="宋体" w:hAnsi="宋体" w:eastAsia="宋体" w:cs="宋体"/>
                <w:kern w:val="0"/>
                <w:sz w:val="22"/>
                <w:szCs w:val="22"/>
              </w:rPr>
              <w:t>填列单位（公章）：</w:t>
            </w:r>
            <w:r>
              <w:rPr>
                <w:rFonts w:hint="eastAsia" w:ascii="宋体" w:hAnsi="宋体" w:eastAsia="宋体" w:cs="宋体"/>
                <w:kern w:val="0"/>
                <w:sz w:val="22"/>
                <w:szCs w:val="22"/>
                <w:lang w:val="en-US" w:eastAsia="zh-CN"/>
              </w:rPr>
              <w:t xml:space="preserve">                </w:t>
            </w:r>
            <w:r>
              <w:rPr>
                <w:rFonts w:hint="eastAsia" w:ascii="宋体" w:hAnsi="宋体" w:eastAsia="宋体" w:cs="宋体"/>
                <w:kern w:val="0"/>
                <w:sz w:val="22"/>
                <w:szCs w:val="22"/>
              </w:rPr>
              <w:t xml:space="preserve">（  </w:t>
            </w:r>
            <w:r>
              <w:rPr>
                <w:rFonts w:hint="eastAsia" w:ascii="宋体" w:hAnsi="宋体" w:eastAsia="宋体" w:cs="宋体"/>
                <w:kern w:val="0"/>
                <w:sz w:val="22"/>
                <w:szCs w:val="22"/>
                <w:lang w:val="en-US" w:eastAsia="zh-CN"/>
              </w:rPr>
              <w:t>2021</w:t>
            </w:r>
            <w:r>
              <w:rPr>
                <w:rFonts w:hint="eastAsia" w:ascii="宋体" w:hAnsi="宋体" w:eastAsia="宋体" w:cs="宋体"/>
                <w:kern w:val="0"/>
                <w:sz w:val="22"/>
                <w:szCs w:val="22"/>
              </w:rPr>
              <w:t xml:space="preserve">  年度）</w:t>
            </w:r>
          </w:p>
        </w:tc>
      </w:tr>
      <w:tr>
        <w:tblPrEx>
          <w:tblCellMar>
            <w:top w:w="0" w:type="dxa"/>
            <w:left w:w="108" w:type="dxa"/>
            <w:bottom w:w="0" w:type="dxa"/>
            <w:right w:w="108" w:type="dxa"/>
          </w:tblCellMar>
        </w:tblPrEx>
        <w:trPr>
          <w:trHeight w:val="32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78"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残疾人保障金</w:t>
            </w:r>
          </w:p>
        </w:tc>
      </w:tr>
      <w:tr>
        <w:tblPrEx>
          <w:tblCellMar>
            <w:top w:w="0" w:type="dxa"/>
            <w:left w:w="108" w:type="dxa"/>
            <w:bottom w:w="0" w:type="dxa"/>
            <w:right w:w="108" w:type="dxa"/>
          </w:tblCellMar>
        </w:tblPrEx>
        <w:trPr>
          <w:trHeight w:val="47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21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大同市规划和自然资源局</w:t>
            </w:r>
          </w:p>
        </w:tc>
        <w:tc>
          <w:tcPr>
            <w:tcW w:w="102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33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大同市开发区规划事务服务中心</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24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02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7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3"/>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0.67</w:t>
            </w:r>
          </w:p>
        </w:tc>
        <w:tc>
          <w:tcPr>
            <w:tcW w:w="124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0.67</w:t>
            </w:r>
          </w:p>
        </w:tc>
        <w:tc>
          <w:tcPr>
            <w:tcW w:w="102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0.67</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77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0.67</w:t>
            </w:r>
          </w:p>
        </w:tc>
        <w:tc>
          <w:tcPr>
            <w:tcW w:w="124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0.67</w:t>
            </w:r>
          </w:p>
        </w:tc>
        <w:tc>
          <w:tcPr>
            <w:tcW w:w="102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0.67</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77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4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2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7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4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2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7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19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6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597"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19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通过该项目的实施，支持残疾人的就业情况，使残疾人参与社会生活，更好地保障残疾人权益。</w:t>
            </w:r>
          </w:p>
        </w:tc>
        <w:tc>
          <w:tcPr>
            <w:tcW w:w="336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完成</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单位人数</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9人</w:t>
            </w: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9人</w:t>
            </w: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雇佣残疾人人数</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0人</w:t>
            </w: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0人</w:t>
            </w: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经费保障率</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62"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残疾人保障金缴纳时间</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12月前</w:t>
            </w: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12月前</w:t>
            </w: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5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残疾人保障金总额</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0.67万元</w:t>
            </w: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0.67万元</w:t>
            </w: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不适用</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有效解决残疾人就业</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解决</w:t>
            </w: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解决</w:t>
            </w: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w:t>
            </w: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p>
            <w:pPr>
              <w:widowControl/>
              <w:spacing w:line="240" w:lineRule="exact"/>
              <w:jc w:val="left"/>
              <w:rPr>
                <w:rFonts w:hint="eastAsia"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不适用</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不适用</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残疾人满意度</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90%</w:t>
            </w: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5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6642"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45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p>
        </w:tc>
        <w:tc>
          <w:tcPr>
            <w:tcW w:w="14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190" w:hRule="atLeast"/>
          <w:jc w:val="center"/>
        </w:trPr>
        <w:tc>
          <w:tcPr>
            <w:tcW w:w="58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项目绩效分析</w:t>
            </w:r>
          </w:p>
        </w:tc>
        <w:tc>
          <w:tcPr>
            <w:tcW w:w="1046"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自评结果分析</w:t>
            </w:r>
          </w:p>
        </w:tc>
        <w:tc>
          <w:tcPr>
            <w:tcW w:w="104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项目实施和预算执行情况及分析</w:t>
            </w:r>
          </w:p>
        </w:tc>
        <w:tc>
          <w:tcPr>
            <w:tcW w:w="6466" w:type="dxa"/>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lang w:val="en-US" w:eastAsia="zh-CN"/>
              </w:rPr>
              <w:t>项目执行区别概况合规，项目按规定执行项目支出预算，项目执行情况履行程序规范</w:t>
            </w:r>
          </w:p>
        </w:tc>
      </w:tr>
      <w:tr>
        <w:tblPrEx>
          <w:tblCellMar>
            <w:top w:w="0" w:type="dxa"/>
            <w:left w:w="108" w:type="dxa"/>
            <w:bottom w:w="0" w:type="dxa"/>
            <w:right w:w="108" w:type="dxa"/>
          </w:tblCellMar>
        </w:tblPrEx>
        <w:trPr>
          <w:trHeight w:val="1045" w:hRule="atLeas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p>
        </w:tc>
        <w:tc>
          <w:tcPr>
            <w:tcW w:w="104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p>
        </w:tc>
        <w:tc>
          <w:tcPr>
            <w:tcW w:w="104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产出情况及分析</w:t>
            </w:r>
          </w:p>
        </w:tc>
        <w:tc>
          <w:tcPr>
            <w:tcW w:w="6466" w:type="dxa"/>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无</w:t>
            </w:r>
          </w:p>
        </w:tc>
      </w:tr>
      <w:tr>
        <w:tblPrEx>
          <w:tblCellMar>
            <w:top w:w="0" w:type="dxa"/>
            <w:left w:w="108" w:type="dxa"/>
            <w:bottom w:w="0" w:type="dxa"/>
            <w:right w:w="108" w:type="dxa"/>
          </w:tblCellMar>
        </w:tblPrEx>
        <w:trPr>
          <w:trHeight w:val="1100" w:hRule="atLeas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p>
        </w:tc>
        <w:tc>
          <w:tcPr>
            <w:tcW w:w="104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p>
        </w:tc>
        <w:tc>
          <w:tcPr>
            <w:tcW w:w="104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效益情况及分析</w:t>
            </w:r>
          </w:p>
        </w:tc>
        <w:tc>
          <w:tcPr>
            <w:tcW w:w="6466" w:type="dxa"/>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缴纳保障金是用人单位履行按比例安排残疾人就业义务的一种代偿形式，是让用人单位平等履行应尽责任和义务。收费不是目的，目的是引导、鼓励和督促用人单位尽可能多安排残疾人就业，使有能力的残疾人实现就业，参与社会生活，更好地保障残疾人权益。</w:t>
            </w:r>
          </w:p>
        </w:tc>
      </w:tr>
      <w:tr>
        <w:tblPrEx>
          <w:tblCellMar>
            <w:top w:w="0" w:type="dxa"/>
            <w:left w:w="108" w:type="dxa"/>
            <w:bottom w:w="0" w:type="dxa"/>
            <w:right w:w="108" w:type="dxa"/>
          </w:tblCellMar>
        </w:tblPrEx>
        <w:trPr>
          <w:trHeight w:val="890" w:hRule="atLeas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p>
        </w:tc>
        <w:tc>
          <w:tcPr>
            <w:tcW w:w="104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p>
        </w:tc>
        <w:tc>
          <w:tcPr>
            <w:tcW w:w="104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满意度情况及分析</w:t>
            </w:r>
          </w:p>
        </w:tc>
        <w:tc>
          <w:tcPr>
            <w:tcW w:w="6466" w:type="dxa"/>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满意</w:t>
            </w:r>
          </w:p>
        </w:tc>
      </w:tr>
      <w:tr>
        <w:tblPrEx>
          <w:tblCellMar>
            <w:top w:w="0" w:type="dxa"/>
            <w:left w:w="108" w:type="dxa"/>
            <w:bottom w:w="0" w:type="dxa"/>
            <w:right w:w="108" w:type="dxa"/>
          </w:tblCellMar>
        </w:tblPrEx>
        <w:trPr>
          <w:trHeight w:val="2240"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p>
        </w:tc>
        <w:tc>
          <w:tcPr>
            <w:tcW w:w="2092"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主要经验做法</w:t>
            </w:r>
          </w:p>
        </w:tc>
        <w:tc>
          <w:tcPr>
            <w:tcW w:w="6466" w:type="dxa"/>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lang w:val="en-US" w:eastAsia="zh-CN"/>
              </w:rPr>
              <w:t>过该项目的实施，支持残疾人的就业情况，使残疾人参与社会生活，更好地保障残疾人权益。</w:t>
            </w:r>
          </w:p>
        </w:tc>
      </w:tr>
      <w:tr>
        <w:tblPrEx>
          <w:tblCellMar>
            <w:top w:w="0" w:type="dxa"/>
            <w:left w:w="108" w:type="dxa"/>
            <w:bottom w:w="0" w:type="dxa"/>
            <w:right w:w="108" w:type="dxa"/>
          </w:tblCellMar>
        </w:tblPrEx>
        <w:trPr>
          <w:trHeight w:val="4900"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p>
        </w:tc>
        <w:tc>
          <w:tcPr>
            <w:tcW w:w="2092"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项目管理中存在的</w:t>
            </w:r>
          </w:p>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主要问题及原因分析</w:t>
            </w:r>
          </w:p>
        </w:tc>
        <w:tc>
          <w:tcPr>
            <w:tcW w:w="6466" w:type="dxa"/>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1785" w:hRule="exact"/>
          <w:jc w:val="center"/>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p>
        </w:tc>
        <w:tc>
          <w:tcPr>
            <w:tcW w:w="2092"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下一步改进措施及</w:t>
            </w:r>
          </w:p>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管理建议</w:t>
            </w:r>
          </w:p>
        </w:tc>
        <w:tc>
          <w:tcPr>
            <w:tcW w:w="6466" w:type="dxa"/>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支持残疾人的就业情况，使残疾人参与社会生活，更好地保障残疾人权益。</w:t>
            </w:r>
          </w:p>
        </w:tc>
      </w:tr>
    </w:tbl>
    <w:tbl>
      <w:tblPr>
        <w:tblStyle w:val="2"/>
        <w:tblpPr w:leftFromText="180" w:rightFromText="180" w:vertAnchor="text" w:horzAnchor="page" w:tblpX="1562" w:tblpY="151"/>
        <w:tblOverlap w:val="never"/>
        <w:tblW w:w="9342" w:type="dxa"/>
        <w:tblInd w:w="0" w:type="dxa"/>
        <w:tblLayout w:type="fixed"/>
        <w:tblCellMar>
          <w:top w:w="0" w:type="dxa"/>
          <w:left w:w="108" w:type="dxa"/>
          <w:bottom w:w="0" w:type="dxa"/>
          <w:right w:w="108" w:type="dxa"/>
        </w:tblCellMar>
      </w:tblPr>
      <w:tblGrid>
        <w:gridCol w:w="588"/>
        <w:gridCol w:w="980"/>
        <w:gridCol w:w="66"/>
        <w:gridCol w:w="1046"/>
        <w:gridCol w:w="730"/>
        <w:gridCol w:w="1134"/>
        <w:gridCol w:w="284"/>
        <w:gridCol w:w="956"/>
        <w:gridCol w:w="868"/>
        <w:gridCol w:w="160"/>
        <w:gridCol w:w="284"/>
        <w:gridCol w:w="425"/>
        <w:gridCol w:w="81"/>
        <w:gridCol w:w="770"/>
        <w:gridCol w:w="970"/>
      </w:tblGrid>
      <w:tr>
        <w:tblPrEx>
          <w:tblCellMar>
            <w:top w:w="0" w:type="dxa"/>
            <w:left w:w="108" w:type="dxa"/>
            <w:bottom w:w="0" w:type="dxa"/>
            <w:right w:w="108" w:type="dxa"/>
          </w:tblCellMar>
        </w:tblPrEx>
        <w:trPr>
          <w:trHeight w:val="529" w:hRule="exact"/>
        </w:trPr>
        <w:tc>
          <w:tcPr>
            <w:tcW w:w="9342" w:type="dxa"/>
            <w:gridSpan w:val="15"/>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华文中宋" w:hAnsi="华文中宋" w:eastAsia="华文中宋" w:cs="华文中宋"/>
                <w:b/>
                <w:bCs/>
                <w:kern w:val="0"/>
                <w:sz w:val="32"/>
                <w:szCs w:val="32"/>
              </w:rPr>
              <w:t>项目支出绩效自评表</w:t>
            </w:r>
          </w:p>
        </w:tc>
      </w:tr>
      <w:tr>
        <w:tblPrEx>
          <w:tblCellMar>
            <w:top w:w="0" w:type="dxa"/>
            <w:left w:w="108" w:type="dxa"/>
            <w:bottom w:w="0" w:type="dxa"/>
            <w:right w:w="108" w:type="dxa"/>
          </w:tblCellMar>
        </w:tblPrEx>
        <w:trPr>
          <w:trHeight w:val="201" w:hRule="atLeast"/>
        </w:trPr>
        <w:tc>
          <w:tcPr>
            <w:tcW w:w="9342" w:type="dxa"/>
            <w:gridSpan w:val="15"/>
            <w:tcBorders>
              <w:top w:val="nil"/>
              <w:left w:val="nil"/>
              <w:bottom w:val="nil"/>
              <w:right w:val="nil"/>
            </w:tcBorders>
            <w:vAlign w:val="top"/>
          </w:tcPr>
          <w:p>
            <w:pPr>
              <w:widowControl/>
              <w:jc w:val="both"/>
              <w:rPr>
                <w:rFonts w:ascii="宋体" w:hAnsi="宋体" w:eastAsia="宋体" w:cs="宋体"/>
                <w:kern w:val="0"/>
                <w:sz w:val="22"/>
                <w:szCs w:val="22"/>
              </w:rPr>
            </w:pPr>
            <w:r>
              <w:rPr>
                <w:rFonts w:hint="eastAsia" w:ascii="宋体" w:hAnsi="宋体" w:eastAsia="宋体" w:cs="宋体"/>
                <w:kern w:val="0"/>
                <w:sz w:val="22"/>
                <w:szCs w:val="22"/>
              </w:rPr>
              <w:t>填列单位（公章）：</w:t>
            </w:r>
            <w:r>
              <w:rPr>
                <w:rFonts w:hint="eastAsia" w:ascii="宋体" w:hAnsi="宋体" w:eastAsia="宋体" w:cs="宋体"/>
                <w:kern w:val="0"/>
                <w:sz w:val="22"/>
                <w:szCs w:val="22"/>
                <w:lang w:val="en-US" w:eastAsia="zh-CN"/>
              </w:rPr>
              <w:t xml:space="preserve">                </w:t>
            </w:r>
            <w:r>
              <w:rPr>
                <w:rFonts w:hint="eastAsia" w:ascii="宋体" w:hAnsi="宋体" w:eastAsia="宋体" w:cs="宋体"/>
                <w:kern w:val="0"/>
                <w:sz w:val="22"/>
                <w:szCs w:val="22"/>
              </w:rPr>
              <w:t xml:space="preserve">（  </w:t>
            </w:r>
            <w:r>
              <w:rPr>
                <w:rFonts w:hint="eastAsia" w:ascii="宋体" w:hAnsi="宋体" w:eastAsia="宋体" w:cs="宋体"/>
                <w:kern w:val="0"/>
                <w:sz w:val="22"/>
                <w:szCs w:val="22"/>
                <w:lang w:val="en-US" w:eastAsia="zh-CN"/>
              </w:rPr>
              <w:t>2021</w:t>
            </w:r>
            <w:r>
              <w:rPr>
                <w:rFonts w:hint="eastAsia" w:ascii="宋体" w:hAnsi="宋体" w:eastAsia="宋体" w:cs="宋体"/>
                <w:kern w:val="0"/>
                <w:sz w:val="22"/>
                <w:szCs w:val="22"/>
              </w:rPr>
              <w:t xml:space="preserve">  年度）</w:t>
            </w:r>
          </w:p>
        </w:tc>
      </w:tr>
      <w:tr>
        <w:tblPrEx>
          <w:tblCellMar>
            <w:top w:w="0" w:type="dxa"/>
            <w:left w:w="108" w:type="dxa"/>
            <w:bottom w:w="0" w:type="dxa"/>
            <w:right w:w="108" w:type="dxa"/>
          </w:tblCellMar>
        </w:tblPrEx>
        <w:trPr>
          <w:trHeight w:val="320" w:hRule="exact"/>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774"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规划业务经费</w:t>
            </w:r>
          </w:p>
        </w:tc>
      </w:tr>
      <w:tr>
        <w:tblPrEx>
          <w:tblCellMar>
            <w:top w:w="0" w:type="dxa"/>
            <w:left w:w="108" w:type="dxa"/>
            <w:bottom w:w="0" w:type="dxa"/>
            <w:right w:w="108" w:type="dxa"/>
          </w:tblCellMar>
        </w:tblPrEx>
        <w:trPr>
          <w:trHeight w:val="470" w:hRule="exact"/>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21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大同市规划和自然资源局</w:t>
            </w:r>
          </w:p>
        </w:tc>
        <w:tc>
          <w:tcPr>
            <w:tcW w:w="102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53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大同市开发区规划事务服务中心</w:t>
            </w:r>
          </w:p>
        </w:tc>
      </w:tr>
      <w:tr>
        <w:tblPrEx>
          <w:tblCellMar>
            <w:top w:w="0" w:type="dxa"/>
            <w:left w:w="108" w:type="dxa"/>
            <w:bottom w:w="0" w:type="dxa"/>
            <w:right w:w="108" w:type="dxa"/>
          </w:tblCellMar>
        </w:tblPrEx>
        <w:trPr>
          <w:trHeight w:val="300" w:hRule="exact"/>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24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02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97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3"/>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24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02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97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24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02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6.67</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66.7%</w:t>
            </w:r>
          </w:p>
        </w:tc>
        <w:tc>
          <w:tcPr>
            <w:tcW w:w="97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w:t>
            </w:r>
          </w:p>
        </w:tc>
      </w:tr>
      <w:tr>
        <w:tblPrEx>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4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2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4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2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19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558"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597" w:hRule="exact"/>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19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通过该项目的实施，保障本单位的工作顺利开展</w:t>
            </w:r>
          </w:p>
        </w:tc>
        <w:tc>
          <w:tcPr>
            <w:tcW w:w="3558"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未完成</w:t>
            </w:r>
          </w:p>
        </w:tc>
      </w:tr>
      <w:tr>
        <w:tblPrEx>
          <w:tblCellMar>
            <w:top w:w="0" w:type="dxa"/>
            <w:left w:w="108" w:type="dxa"/>
            <w:bottom w:w="0" w:type="dxa"/>
            <w:right w:w="108" w:type="dxa"/>
          </w:tblCellMar>
        </w:tblPrEx>
        <w:trPr>
          <w:trHeight w:val="533" w:hRule="exact"/>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单位人数</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9人</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9人</w:t>
            </w: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38"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工作完成率</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100%</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66.7%</w:t>
            </w: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8</w:t>
            </w: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预算培训费未支出</w:t>
            </w:r>
          </w:p>
        </w:tc>
      </w:tr>
      <w:tr>
        <w:tblPrEx>
          <w:tblCellMar>
            <w:top w:w="0" w:type="dxa"/>
            <w:left w:w="108" w:type="dxa"/>
            <w:bottom w:w="0" w:type="dxa"/>
            <w:right w:w="108" w:type="dxa"/>
          </w:tblCellMar>
        </w:tblPrEx>
        <w:trPr>
          <w:trHeight w:val="263"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425"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经费保障率</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66.7%</w:t>
            </w: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475"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拨付时间</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12月底</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12月底</w:t>
            </w: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5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支付的专项业务费与定额标准的比率</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66.7%</w:t>
            </w: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不适用</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763"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长效管理机制</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业务管理制度，协调管理制度完善</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项目管理制度及内控制度均已建立，且执行良好</w:t>
            </w: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w:t>
            </w: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沟通协调机制及项目跟踪管理方面进一步完善</w:t>
            </w: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不适用</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63"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不适用</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服务对象满意度</w:t>
            </w: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90%</w:t>
            </w: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gridSpan w:val="2"/>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p>
        </w:tc>
        <w:tc>
          <w:tcPr>
            <w:tcW w:w="95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trPr>
        <w:tc>
          <w:tcPr>
            <w:tcW w:w="6652"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4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88</w:t>
            </w:r>
          </w:p>
        </w:tc>
        <w:tc>
          <w:tcPr>
            <w:tcW w:w="17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190" w:hRule="atLeast"/>
        </w:trPr>
        <w:tc>
          <w:tcPr>
            <w:tcW w:w="58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项目绩效分析</w:t>
            </w:r>
          </w:p>
        </w:tc>
        <w:tc>
          <w:tcPr>
            <w:tcW w:w="1046"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自评结果分析</w:t>
            </w:r>
          </w:p>
        </w:tc>
        <w:tc>
          <w:tcPr>
            <w:tcW w:w="104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项目实施和预算执行情况及分析</w:t>
            </w:r>
          </w:p>
        </w:tc>
        <w:tc>
          <w:tcPr>
            <w:tcW w:w="6662" w:type="dxa"/>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lang w:val="en-US" w:eastAsia="zh-CN"/>
              </w:rPr>
              <w:t>项目执行区别概况合规，项目按规定执行项目支出预算，项目执行情况履行程序规范</w:t>
            </w:r>
          </w:p>
        </w:tc>
      </w:tr>
      <w:tr>
        <w:tblPrEx>
          <w:tblCellMar>
            <w:top w:w="0" w:type="dxa"/>
            <w:left w:w="108" w:type="dxa"/>
            <w:bottom w:w="0" w:type="dxa"/>
            <w:right w:w="108" w:type="dxa"/>
          </w:tblCellMar>
        </w:tblPrEx>
        <w:trPr>
          <w:trHeight w:val="1045" w:hRule="atLeast"/>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p>
        </w:tc>
        <w:tc>
          <w:tcPr>
            <w:tcW w:w="104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p>
        </w:tc>
        <w:tc>
          <w:tcPr>
            <w:tcW w:w="104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产出情况及分析</w:t>
            </w:r>
          </w:p>
        </w:tc>
        <w:tc>
          <w:tcPr>
            <w:tcW w:w="6662" w:type="dxa"/>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无</w:t>
            </w:r>
          </w:p>
        </w:tc>
      </w:tr>
      <w:tr>
        <w:tblPrEx>
          <w:tblCellMar>
            <w:top w:w="0" w:type="dxa"/>
            <w:left w:w="108" w:type="dxa"/>
            <w:bottom w:w="0" w:type="dxa"/>
            <w:right w:w="108" w:type="dxa"/>
          </w:tblCellMar>
        </w:tblPrEx>
        <w:trPr>
          <w:trHeight w:val="1100" w:hRule="atLeast"/>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p>
        </w:tc>
        <w:tc>
          <w:tcPr>
            <w:tcW w:w="104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p>
        </w:tc>
        <w:tc>
          <w:tcPr>
            <w:tcW w:w="104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效益情况及分析</w:t>
            </w:r>
          </w:p>
        </w:tc>
        <w:tc>
          <w:tcPr>
            <w:tcW w:w="6662" w:type="dxa"/>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rPr>
              <w:t>有效保障规划业务工作的顺利开展，发挥城市规划的龙头作用，建立长效机制。</w:t>
            </w:r>
          </w:p>
        </w:tc>
      </w:tr>
      <w:tr>
        <w:tblPrEx>
          <w:tblCellMar>
            <w:top w:w="0" w:type="dxa"/>
            <w:left w:w="108" w:type="dxa"/>
            <w:bottom w:w="0" w:type="dxa"/>
            <w:right w:w="108" w:type="dxa"/>
          </w:tblCellMar>
        </w:tblPrEx>
        <w:trPr>
          <w:trHeight w:val="890" w:hRule="atLeast"/>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p>
        </w:tc>
        <w:tc>
          <w:tcPr>
            <w:tcW w:w="104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p>
        </w:tc>
        <w:tc>
          <w:tcPr>
            <w:tcW w:w="104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满意度情况及分析</w:t>
            </w:r>
          </w:p>
        </w:tc>
        <w:tc>
          <w:tcPr>
            <w:tcW w:w="6662" w:type="dxa"/>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满意</w:t>
            </w:r>
          </w:p>
        </w:tc>
      </w:tr>
      <w:tr>
        <w:tblPrEx>
          <w:tblCellMar>
            <w:top w:w="0" w:type="dxa"/>
            <w:left w:w="108" w:type="dxa"/>
            <w:bottom w:w="0" w:type="dxa"/>
            <w:right w:w="108" w:type="dxa"/>
          </w:tblCellMar>
        </w:tblPrEx>
        <w:trPr>
          <w:trHeight w:val="2240" w:hRule="exact"/>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p>
        </w:tc>
        <w:tc>
          <w:tcPr>
            <w:tcW w:w="2092"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主要经验做法</w:t>
            </w:r>
          </w:p>
        </w:tc>
        <w:tc>
          <w:tcPr>
            <w:tcW w:w="6662" w:type="dxa"/>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基于开发区的新常态背景，本着对土地更节约、更高效、更可持续的发展策略，对规划实施绩效评估起到重要支撑作用。</w:t>
            </w:r>
          </w:p>
        </w:tc>
      </w:tr>
      <w:tr>
        <w:tblPrEx>
          <w:tblCellMar>
            <w:top w:w="0" w:type="dxa"/>
            <w:left w:w="108" w:type="dxa"/>
            <w:bottom w:w="0" w:type="dxa"/>
            <w:right w:w="108" w:type="dxa"/>
          </w:tblCellMar>
        </w:tblPrEx>
        <w:trPr>
          <w:trHeight w:val="2555" w:hRule="exact"/>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p>
        </w:tc>
        <w:tc>
          <w:tcPr>
            <w:tcW w:w="2092"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项目管理中存在的</w:t>
            </w:r>
          </w:p>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主要问题及原因分析</w:t>
            </w:r>
          </w:p>
        </w:tc>
        <w:tc>
          <w:tcPr>
            <w:tcW w:w="6662" w:type="dxa"/>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3095" w:hRule="exact"/>
        </w:trPr>
        <w:tc>
          <w:tcPr>
            <w:tcW w:w="58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p>
        </w:tc>
        <w:tc>
          <w:tcPr>
            <w:tcW w:w="2092"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下一步改进措施及</w:t>
            </w:r>
          </w:p>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管理建议</w:t>
            </w:r>
          </w:p>
        </w:tc>
        <w:tc>
          <w:tcPr>
            <w:tcW w:w="6662" w:type="dxa"/>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r>
    </w:tbl>
    <w:p/>
    <w:p>
      <w:pPr>
        <w:widowControl/>
        <w:spacing w:line="320" w:lineRule="exact"/>
        <w:jc w:val="left"/>
        <w:rPr>
          <w:rFonts w:hint="eastAsia" w:ascii="黑体" w:hAnsi="黑体" w:eastAsia="黑体" w:cs="黑体"/>
          <w:b/>
          <w:bCs/>
          <w:kern w:val="0"/>
          <w:sz w:val="32"/>
          <w:szCs w:val="32"/>
          <w:lang w:val="en-US" w:eastAsia="zh-CN"/>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xN2QyODFkM2E1ODNmN2M2NzMwMmFkZGVjMDBiMGIifQ=="/>
  </w:docVars>
  <w:rsids>
    <w:rsidRoot w:val="00000000"/>
    <w:rsid w:val="0DC967CB"/>
    <w:rsid w:val="17216581"/>
    <w:rsid w:val="211F3123"/>
    <w:rsid w:val="228C52F3"/>
    <w:rsid w:val="283C7623"/>
    <w:rsid w:val="33004F45"/>
    <w:rsid w:val="3558508A"/>
    <w:rsid w:val="386E3B0E"/>
    <w:rsid w:val="3CCA099B"/>
    <w:rsid w:val="3F3B5E70"/>
    <w:rsid w:val="3FD2264A"/>
    <w:rsid w:val="45474CFE"/>
    <w:rsid w:val="4B2D4BE3"/>
    <w:rsid w:val="58657C88"/>
    <w:rsid w:val="5D635B69"/>
    <w:rsid w:val="608134B3"/>
    <w:rsid w:val="625C416A"/>
    <w:rsid w:val="645A14E0"/>
    <w:rsid w:val="66AB54E3"/>
    <w:rsid w:val="686C771B"/>
    <w:rsid w:val="6A747C16"/>
    <w:rsid w:val="6DB53DEA"/>
    <w:rsid w:val="6DD0644C"/>
    <w:rsid w:val="6E6EC1C1"/>
    <w:rsid w:val="7008645C"/>
    <w:rsid w:val="74886D07"/>
    <w:rsid w:val="790A14F7"/>
    <w:rsid w:val="79801D9B"/>
    <w:rsid w:val="7DF52339"/>
    <w:rsid w:val="CFB6E3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1367</Words>
  <Characters>1494</Characters>
  <Lines>0</Lines>
  <Paragraphs>0</Paragraphs>
  <TotalTime>0</TotalTime>
  <ScaleCrop>false</ScaleCrop>
  <LinksUpToDate>false</LinksUpToDate>
  <CharactersWithSpaces>1550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2022-03-09T23:15:00Z</dcterms:created>
  <dc:creator>Administrator</dc:creator>
  <cp:lastModifiedBy>Administrator</cp:lastModifiedBy>
  <cp:lastPrinted>2022-07-28T02:00:00Z</cp:lastPrinted>
  <dcterms:modified xsi:type="dcterms:W3CDTF">2022-07-08T07:56:21Z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4C482D0D1DDB4B0AAF9B228570716ABF</vt:lpwstr>
  </property>
  <property fmtid="{D5CDD505-2E9C-101B-9397-08002B2CF9AE}" pid="4" name="commondata">
    <vt:lpwstr>eyJoZGlkIjoiNzAyNGNmOTcwMWI2OTYzZDY3ODJjOGY0NWU4ZTZhODkifQ==</vt:lpwstr>
  </property>
</Properties>
</file>