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leftChars="0" w:right="0" w:rightChars="0" w:firstLine="0" w:firstLineChars="0"/>
        <w:jc w:val="center"/>
        <w:rPr>
          <w:rFonts w:ascii="宋体" w:hAnsi="宋体" w:eastAsia="宋体"/>
          <w:b/>
          <w:bCs/>
          <w:sz w:val="32"/>
          <w:szCs w:val="32"/>
          <w:lang w:val="en-US"/>
        </w:rPr>
      </w:pPr>
      <w:bookmarkStart w:id="0" w:name="_Toc20644"/>
      <w:bookmarkEnd w:id="0"/>
      <w:bookmarkStart w:id="1" w:name="_Toc8401"/>
      <w:bookmarkEnd w:id="1"/>
      <w:bookmarkStart w:id="2" w:name="_Toc5216"/>
      <w:bookmarkEnd w:id="2"/>
      <w:bookmarkStart w:id="3" w:name="_Toc18283"/>
      <w:bookmarkStart w:id="4" w:name="_Toc8877"/>
    </w:p>
    <w:p>
      <w:pPr>
        <w:spacing w:before="0" w:after="0" w:line="240" w:lineRule="auto"/>
        <w:ind w:left="0" w:leftChars="0" w:right="0" w:rightChars="0" w:firstLine="0" w:firstLineChars="0"/>
        <w:jc w:val="center"/>
        <w:rPr>
          <w:rFonts w:ascii="宋体" w:hAnsi="宋体" w:eastAsia="宋体"/>
          <w:b/>
          <w:bCs/>
          <w:sz w:val="32"/>
          <w:szCs w:val="32"/>
        </w:rPr>
      </w:pPr>
      <w:r>
        <w:rPr>
          <w:rFonts w:ascii="宋体" w:hAnsi="宋体" w:eastAsia="宋体"/>
          <w:b/>
          <w:bCs/>
          <w:sz w:val="32"/>
          <w:szCs w:val="32"/>
          <w:lang w:val="en-US"/>
        </w:rPr>
        <w:t>大同市公安局云泉分局2021年部门决算</w:t>
      </w:r>
    </w:p>
    <w:p>
      <w:pPr>
        <w:spacing w:before="0" w:after="0" w:line="240" w:lineRule="auto"/>
        <w:ind w:left="0" w:leftChars="0" w:right="0" w:rightChars="0" w:firstLine="0" w:firstLineChars="0"/>
        <w:jc w:val="left"/>
        <w:rPr>
          <w:rFonts w:ascii="宋体" w:hAnsi="宋体" w:eastAsia="宋体"/>
          <w:sz w:val="21"/>
        </w:rPr>
      </w:pPr>
    </w:p>
    <w:p>
      <w:pPr>
        <w:spacing w:before="0" w:after="0" w:line="240" w:lineRule="auto"/>
        <w:ind w:left="0" w:leftChars="0" w:right="0" w:rightChars="0" w:firstLine="0" w:firstLineChars="0"/>
        <w:jc w:val="center"/>
        <w:rPr>
          <w:rFonts w:ascii="宋体" w:hAnsi="宋体" w:eastAsia="宋体"/>
          <w:sz w:val="21"/>
        </w:rPr>
      </w:pPr>
    </w:p>
    <w:p>
      <w:pPr>
        <w:spacing w:before="0" w:after="0" w:line="240" w:lineRule="auto"/>
        <w:ind w:left="0" w:leftChars="0" w:right="0" w:rightChars="0" w:firstLine="0" w:firstLineChars="0"/>
        <w:jc w:val="center"/>
        <w:rPr>
          <w:rFonts w:ascii="宋体" w:hAnsi="宋体" w:eastAsia="宋体"/>
          <w:sz w:val="21"/>
        </w:rPr>
      </w:pPr>
    </w:p>
    <w:p>
      <w:pPr>
        <w:spacing w:before="0" w:after="0" w:line="240" w:lineRule="auto"/>
        <w:ind w:left="0" w:leftChars="0" w:right="0" w:rightChars="0" w:firstLine="0" w:firstLineChars="0"/>
        <w:jc w:val="center"/>
        <w:rPr>
          <w:b/>
          <w:bCs/>
          <w:sz w:val="24"/>
          <w:szCs w:val="24"/>
        </w:rPr>
      </w:pPr>
      <w:r>
        <w:rPr>
          <w:rFonts w:ascii="宋体" w:hAnsi="宋体" w:eastAsia="宋体"/>
          <w:b/>
          <w:bCs/>
          <w:sz w:val="24"/>
          <w:szCs w:val="24"/>
        </w:rPr>
        <w:t>目录</w:t>
      </w:r>
    </w:p>
    <w:p>
      <w:pPr>
        <w:spacing w:before="0" w:after="0" w:line="240" w:lineRule="auto"/>
        <w:ind w:left="0" w:leftChars="0" w:right="0" w:rightChars="0" w:firstLine="0" w:firstLineChars="0"/>
        <w:jc w:val="center"/>
      </w:pPr>
    </w:p>
    <w:p>
      <w:pPr>
        <w:pStyle w:val="13"/>
        <w:tabs>
          <w:tab w:val="right" w:leader="dot" w:pos="8306"/>
        </w:tabs>
      </w:pPr>
      <w:r>
        <w:fldChar w:fldCharType="begin"/>
      </w:r>
      <w:r>
        <w:instrText xml:space="preserve">TOC \o "1-3" \h \u </w:instrText>
      </w:r>
      <w:r>
        <w:fldChar w:fldCharType="separate"/>
      </w:r>
    </w:p>
    <w:p>
      <w:pPr>
        <w:pStyle w:val="13"/>
        <w:tabs>
          <w:tab w:val="right" w:leader="dot" w:pos="8306"/>
        </w:tabs>
      </w:pPr>
      <w:r>
        <w:fldChar w:fldCharType="begin"/>
      </w:r>
      <w:r>
        <w:instrText xml:space="preserve"> HYPERLINK \l _Toc29347 </w:instrText>
      </w:r>
      <w:r>
        <w:fldChar w:fldCharType="separate"/>
      </w:r>
      <w:r>
        <w:rPr>
          <w:rFonts w:ascii="黑体" w:hAnsi="黑体" w:eastAsia="黑体"/>
          <w:szCs w:val="32"/>
        </w:rPr>
        <w:t xml:space="preserve">第一部分 </w:t>
      </w:r>
      <w:r>
        <w:rPr>
          <w:rFonts w:hint="eastAsia" w:ascii="黑体" w:hAnsi="黑体" w:eastAsia="黑体"/>
          <w:szCs w:val="32"/>
        </w:rPr>
        <w:t>概况</w:t>
      </w:r>
      <w:r>
        <w:tab/>
      </w:r>
      <w:r>
        <w:fldChar w:fldCharType="begin"/>
      </w:r>
      <w:r>
        <w:instrText xml:space="preserve"> PAGEREF _Toc29347 \h </w:instrText>
      </w:r>
      <w:r>
        <w:fldChar w:fldCharType="separate"/>
      </w:r>
      <w:r>
        <w:t>2</w:t>
      </w:r>
      <w:r>
        <w:fldChar w:fldCharType="end"/>
      </w:r>
      <w:r>
        <w:fldChar w:fldCharType="end"/>
      </w:r>
    </w:p>
    <w:p>
      <w:pPr>
        <w:pStyle w:val="14"/>
        <w:tabs>
          <w:tab w:val="right" w:leader="dot" w:pos="8306"/>
        </w:tabs>
      </w:pPr>
      <w:r>
        <w:fldChar w:fldCharType="begin"/>
      </w:r>
      <w:r>
        <w:instrText xml:space="preserve"> HYPERLINK \l _Toc29084 </w:instrText>
      </w:r>
      <w:r>
        <w:fldChar w:fldCharType="separate"/>
      </w:r>
      <w:r>
        <w:rPr>
          <w:rFonts w:ascii="仿宋" w:hAnsi="仿宋" w:eastAsia="仿宋" w:cs="仿宋"/>
          <w:bCs/>
          <w:szCs w:val="36"/>
        </w:rPr>
        <w:t>一、</w:t>
      </w:r>
      <w:r>
        <w:rPr>
          <w:rFonts w:hint="eastAsia" w:ascii="仿宋" w:hAnsi="仿宋" w:eastAsia="仿宋" w:cs="仿宋"/>
          <w:bCs/>
          <w:szCs w:val="36"/>
        </w:rPr>
        <w:t>本部门职责</w:t>
      </w:r>
      <w:r>
        <w:tab/>
      </w:r>
      <w:r>
        <w:fldChar w:fldCharType="begin"/>
      </w:r>
      <w:r>
        <w:instrText xml:space="preserve"> PAGEREF _Toc29084 \h </w:instrText>
      </w:r>
      <w:r>
        <w:fldChar w:fldCharType="separate"/>
      </w:r>
      <w:r>
        <w:t>2</w:t>
      </w:r>
      <w:r>
        <w:fldChar w:fldCharType="end"/>
      </w:r>
      <w:r>
        <w:fldChar w:fldCharType="end"/>
      </w:r>
    </w:p>
    <w:p>
      <w:pPr>
        <w:pStyle w:val="14"/>
        <w:tabs>
          <w:tab w:val="right" w:leader="dot" w:pos="8306"/>
        </w:tabs>
      </w:pPr>
      <w:r>
        <w:fldChar w:fldCharType="begin"/>
      </w:r>
      <w:r>
        <w:instrText xml:space="preserve"> HYPERLINK \l _Toc13364 </w:instrText>
      </w:r>
      <w:r>
        <w:fldChar w:fldCharType="separate"/>
      </w:r>
      <w:r>
        <w:rPr>
          <w:rFonts w:hint="eastAsia" w:ascii="仿宋" w:hAnsi="仿宋" w:eastAsia="仿宋" w:cs="仿宋"/>
          <w:bCs/>
          <w:szCs w:val="36"/>
        </w:rPr>
        <w:t>二、 机构设置情况</w:t>
      </w:r>
      <w:r>
        <w:tab/>
      </w:r>
      <w:r>
        <w:fldChar w:fldCharType="begin"/>
      </w:r>
      <w:r>
        <w:instrText xml:space="preserve"> PAGEREF _Toc13364 \h </w:instrText>
      </w:r>
      <w:r>
        <w:fldChar w:fldCharType="separate"/>
      </w:r>
      <w:r>
        <w:t>2</w:t>
      </w:r>
      <w:r>
        <w:fldChar w:fldCharType="end"/>
      </w:r>
      <w:r>
        <w:fldChar w:fldCharType="end"/>
      </w:r>
    </w:p>
    <w:p>
      <w:pPr>
        <w:pStyle w:val="13"/>
        <w:tabs>
          <w:tab w:val="right" w:leader="dot" w:pos="8306"/>
        </w:tabs>
      </w:pPr>
      <w:r>
        <w:fldChar w:fldCharType="begin"/>
      </w:r>
      <w:r>
        <w:instrText xml:space="preserve"> HYPERLINK \l _Toc15602 </w:instrText>
      </w:r>
      <w:r>
        <w:fldChar w:fldCharType="separate"/>
      </w:r>
      <w:r>
        <w:rPr>
          <w:rFonts w:hint="eastAsia" w:ascii="黑体" w:hAnsi="黑体" w:eastAsia="黑体"/>
          <w:szCs w:val="32"/>
        </w:rPr>
        <w:t xml:space="preserve">第二部分  </w:t>
      </w:r>
      <w:r>
        <w:rPr>
          <w:rFonts w:ascii="黑体" w:hAnsi="黑体" w:eastAsia="黑体"/>
          <w:szCs w:val="32"/>
        </w:rPr>
        <w:t>202</w:t>
      </w:r>
      <w:r>
        <w:rPr>
          <w:rFonts w:hint="eastAsia" w:ascii="黑体" w:hAnsi="黑体" w:eastAsia="黑体"/>
          <w:szCs w:val="32"/>
        </w:rPr>
        <w:t>1</w:t>
      </w:r>
      <w:r>
        <w:rPr>
          <w:rFonts w:ascii="黑体" w:hAnsi="黑体" w:eastAsia="黑体"/>
          <w:szCs w:val="32"/>
        </w:rPr>
        <w:t>年</w:t>
      </w:r>
      <w:r>
        <w:rPr>
          <w:rFonts w:hint="eastAsia" w:ascii="黑体" w:hAnsi="黑体" w:eastAsia="黑体"/>
          <w:szCs w:val="32"/>
        </w:rPr>
        <w:t>度</w:t>
      </w:r>
      <w:r>
        <w:rPr>
          <w:rFonts w:ascii="黑体" w:hAnsi="黑体" w:eastAsia="黑体"/>
          <w:szCs w:val="32"/>
        </w:rPr>
        <w:t>部门决算</w:t>
      </w:r>
      <w:r>
        <w:rPr>
          <w:rFonts w:hint="eastAsia" w:ascii="黑体" w:hAnsi="黑体" w:eastAsia="黑体"/>
          <w:szCs w:val="32"/>
        </w:rPr>
        <w:t>报</w:t>
      </w:r>
      <w:r>
        <w:rPr>
          <w:rFonts w:ascii="黑体" w:hAnsi="黑体" w:eastAsia="黑体"/>
          <w:szCs w:val="32"/>
        </w:rPr>
        <w:t>表</w:t>
      </w:r>
      <w:r>
        <w:tab/>
      </w:r>
      <w:r>
        <w:fldChar w:fldCharType="begin"/>
      </w:r>
      <w:r>
        <w:instrText xml:space="preserve"> PAGEREF _Toc15602 \h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_Toc31501 </w:instrText>
      </w:r>
      <w:r>
        <w:fldChar w:fldCharType="separate"/>
      </w:r>
      <w:r>
        <w:rPr>
          <w:rFonts w:hint="eastAsia" w:ascii="仿宋" w:hAnsi="仿宋" w:eastAsia="仿宋" w:cs="仿宋"/>
          <w:bCs/>
          <w:szCs w:val="36"/>
        </w:rPr>
        <w:t>一、收入支出决算总表</w:t>
      </w:r>
      <w:r>
        <w:tab/>
      </w:r>
      <w:r>
        <w:fldChar w:fldCharType="begin"/>
      </w:r>
      <w:r>
        <w:instrText xml:space="preserve"> PAGEREF _Toc31501 \h </w:instrText>
      </w:r>
      <w:r>
        <w:fldChar w:fldCharType="separate"/>
      </w:r>
      <w:r>
        <w:t>5</w:t>
      </w:r>
      <w:r>
        <w:fldChar w:fldCharType="end"/>
      </w:r>
      <w:r>
        <w:fldChar w:fldCharType="end"/>
      </w:r>
    </w:p>
    <w:p>
      <w:pPr>
        <w:pStyle w:val="13"/>
        <w:tabs>
          <w:tab w:val="right" w:leader="dot" w:pos="8306"/>
        </w:tabs>
      </w:pPr>
      <w:r>
        <w:fldChar w:fldCharType="begin"/>
      </w:r>
      <w:r>
        <w:instrText xml:space="preserve"> HYPERLINK \l _Toc8195 </w:instrText>
      </w:r>
      <w:r>
        <w:fldChar w:fldCharType="separate"/>
      </w:r>
      <w:r>
        <w:rPr>
          <w:rFonts w:hint="eastAsia" w:ascii="黑体" w:hAnsi="黑体" w:eastAsia="黑体" w:cs="Arial"/>
          <w:kern w:val="1"/>
          <w:szCs w:val="32"/>
          <w:lang w:val="en-US" w:eastAsia="zh-CN" w:bidi="ar-SA"/>
        </w:rPr>
        <w:t xml:space="preserve">第三部分 </w:t>
      </w:r>
      <w:r>
        <w:rPr>
          <w:rFonts w:hint="eastAsia" w:ascii="黑体" w:hAnsi="黑体" w:eastAsia="黑体"/>
          <w:szCs w:val="32"/>
        </w:rPr>
        <w:t xml:space="preserve"> 2021年度部门决算情况说明</w:t>
      </w:r>
      <w:r>
        <w:tab/>
      </w:r>
      <w:r>
        <w:fldChar w:fldCharType="begin"/>
      </w:r>
      <w:r>
        <w:instrText xml:space="preserve"> PAGEREF _Toc8195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_Toc7744 </w:instrText>
      </w:r>
      <w:r>
        <w:fldChar w:fldCharType="separate"/>
      </w:r>
      <w:r>
        <w:rPr>
          <w:rFonts w:hint="eastAsia" w:ascii="仿宋" w:hAnsi="仿宋" w:eastAsia="仿宋" w:cs="仿宋"/>
          <w:bCs/>
          <w:szCs w:val="36"/>
        </w:rPr>
        <w:t>一、收入支出决算总体情况说明</w:t>
      </w:r>
      <w:r>
        <w:tab/>
      </w:r>
      <w:r>
        <w:fldChar w:fldCharType="begin"/>
      </w:r>
      <w:r>
        <w:instrText xml:space="preserve"> PAGEREF _Toc7744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_Toc31583 </w:instrText>
      </w:r>
      <w:r>
        <w:fldChar w:fldCharType="separate"/>
      </w:r>
      <w:r>
        <w:rPr>
          <w:rFonts w:hint="eastAsia" w:ascii="仿宋" w:hAnsi="仿宋" w:eastAsia="仿宋" w:cs="仿宋"/>
          <w:bCs/>
          <w:szCs w:val="36"/>
        </w:rPr>
        <w:t>二、收入决算情况说明</w:t>
      </w:r>
      <w:r>
        <w:tab/>
      </w:r>
      <w:r>
        <w:fldChar w:fldCharType="begin"/>
      </w:r>
      <w:r>
        <w:instrText xml:space="preserve"> PAGEREF _Toc31583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_Toc16112 </w:instrText>
      </w:r>
      <w:r>
        <w:fldChar w:fldCharType="separate"/>
      </w:r>
      <w:r>
        <w:rPr>
          <w:rFonts w:hint="eastAsia" w:ascii="仿宋" w:hAnsi="仿宋" w:eastAsia="仿宋" w:cs="仿宋"/>
          <w:bCs/>
          <w:szCs w:val="36"/>
        </w:rPr>
        <w:t>三、支出决算情况说明</w:t>
      </w:r>
      <w:r>
        <w:tab/>
      </w:r>
      <w:r>
        <w:fldChar w:fldCharType="begin"/>
      </w:r>
      <w:r>
        <w:instrText xml:space="preserve"> PAGEREF _Toc16112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_Toc31778 </w:instrText>
      </w:r>
      <w:r>
        <w:fldChar w:fldCharType="separate"/>
      </w:r>
      <w:r>
        <w:rPr>
          <w:rFonts w:hint="eastAsia" w:ascii="仿宋" w:hAnsi="仿宋" w:eastAsia="仿宋" w:cs="仿宋"/>
          <w:bCs/>
          <w:szCs w:val="36"/>
        </w:rPr>
        <w:t>四、财政拨款收入支出决算总体情况说明</w:t>
      </w:r>
      <w:r>
        <w:tab/>
      </w:r>
      <w:r>
        <w:fldChar w:fldCharType="begin"/>
      </w:r>
      <w:r>
        <w:instrText xml:space="preserve"> PAGEREF _Toc31778 \h </w:instrText>
      </w:r>
      <w:r>
        <w:fldChar w:fldCharType="separate"/>
      </w:r>
      <w:r>
        <w:t>17</w:t>
      </w:r>
      <w:r>
        <w:fldChar w:fldCharType="end"/>
      </w:r>
      <w:r>
        <w:fldChar w:fldCharType="end"/>
      </w:r>
    </w:p>
    <w:p>
      <w:pPr>
        <w:pStyle w:val="14"/>
        <w:tabs>
          <w:tab w:val="right" w:leader="dot" w:pos="8306"/>
        </w:tabs>
      </w:pPr>
      <w:r>
        <w:fldChar w:fldCharType="begin"/>
      </w:r>
      <w:r>
        <w:instrText xml:space="preserve"> HYPERLINK \l _Toc8909 </w:instrText>
      </w:r>
      <w:r>
        <w:fldChar w:fldCharType="separate"/>
      </w:r>
      <w:r>
        <w:rPr>
          <w:rFonts w:hint="eastAsia" w:ascii="仿宋" w:hAnsi="仿宋" w:eastAsia="仿宋" w:cs="仿宋"/>
          <w:bCs/>
          <w:szCs w:val="36"/>
        </w:rPr>
        <w:t>五、一般公共预算财政拨款支出决算情况说明</w:t>
      </w:r>
      <w:r>
        <w:tab/>
      </w:r>
      <w:r>
        <w:fldChar w:fldCharType="begin"/>
      </w:r>
      <w:r>
        <w:instrText xml:space="preserve"> PAGEREF _Toc8909 \h </w:instrText>
      </w:r>
      <w:r>
        <w:fldChar w:fldCharType="separate"/>
      </w:r>
      <w:r>
        <w:t>17</w:t>
      </w:r>
      <w:r>
        <w:fldChar w:fldCharType="end"/>
      </w:r>
      <w:r>
        <w:fldChar w:fldCharType="end"/>
      </w:r>
    </w:p>
    <w:p>
      <w:pPr>
        <w:pStyle w:val="15"/>
        <w:tabs>
          <w:tab w:val="right" w:leader="dot" w:pos="8306"/>
        </w:tabs>
      </w:pPr>
      <w:r>
        <w:fldChar w:fldCharType="begin"/>
      </w:r>
      <w:r>
        <w:instrText xml:space="preserve"> HYPERLINK \l _Toc29238 </w:instrText>
      </w:r>
      <w:r>
        <w:fldChar w:fldCharType="separate"/>
      </w:r>
      <w:r>
        <w:rPr>
          <w:rFonts w:hint="eastAsia" w:ascii="仿宋" w:hAnsi="仿宋" w:eastAsia="仿宋" w:cs="仿宋"/>
          <w:bCs/>
          <w:szCs w:val="36"/>
        </w:rPr>
        <w:t>（一）财政拨款支出决算总体情况</w:t>
      </w:r>
      <w:r>
        <w:tab/>
      </w:r>
      <w:r>
        <w:fldChar w:fldCharType="begin"/>
      </w:r>
      <w:r>
        <w:instrText xml:space="preserve"> PAGEREF _Toc29238 \h </w:instrText>
      </w:r>
      <w:r>
        <w:fldChar w:fldCharType="separate"/>
      </w:r>
      <w:r>
        <w:t>17</w:t>
      </w:r>
      <w:r>
        <w:fldChar w:fldCharType="end"/>
      </w:r>
      <w:r>
        <w:fldChar w:fldCharType="end"/>
      </w:r>
    </w:p>
    <w:p>
      <w:pPr>
        <w:pStyle w:val="15"/>
        <w:tabs>
          <w:tab w:val="right" w:leader="dot" w:pos="8306"/>
        </w:tabs>
      </w:pPr>
      <w:r>
        <w:fldChar w:fldCharType="begin"/>
      </w:r>
      <w:r>
        <w:instrText xml:space="preserve"> HYPERLINK \l _Toc24364 </w:instrText>
      </w:r>
      <w:r>
        <w:fldChar w:fldCharType="separate"/>
      </w:r>
      <w:r>
        <w:rPr>
          <w:rFonts w:hint="eastAsia" w:ascii="仿宋" w:hAnsi="仿宋" w:eastAsia="仿宋" w:cs="仿宋"/>
          <w:bCs/>
          <w:szCs w:val="36"/>
        </w:rPr>
        <w:t>（二）财政拨款支出决算结构情况</w:t>
      </w:r>
      <w:r>
        <w:tab/>
      </w:r>
      <w:r>
        <w:fldChar w:fldCharType="begin"/>
      </w:r>
      <w:r>
        <w:instrText xml:space="preserve"> PAGEREF _Toc24364 \h </w:instrText>
      </w:r>
      <w:r>
        <w:fldChar w:fldCharType="separate"/>
      </w:r>
      <w:r>
        <w:t>17</w:t>
      </w:r>
      <w:r>
        <w:fldChar w:fldCharType="end"/>
      </w:r>
      <w:r>
        <w:fldChar w:fldCharType="end"/>
      </w:r>
    </w:p>
    <w:p>
      <w:pPr>
        <w:pStyle w:val="15"/>
        <w:tabs>
          <w:tab w:val="right" w:leader="dot" w:pos="8306"/>
        </w:tabs>
      </w:pPr>
      <w:r>
        <w:fldChar w:fldCharType="begin"/>
      </w:r>
      <w:r>
        <w:instrText xml:space="preserve"> HYPERLINK \l _Toc22122 </w:instrText>
      </w:r>
      <w:r>
        <w:fldChar w:fldCharType="separate"/>
      </w:r>
      <w:r>
        <w:rPr>
          <w:rFonts w:hint="eastAsia" w:ascii="仿宋" w:hAnsi="仿宋" w:eastAsia="仿宋" w:cs="仿宋"/>
          <w:bCs/>
          <w:szCs w:val="36"/>
        </w:rPr>
        <w:t>（三）财政拨款支出决算具体情况</w:t>
      </w:r>
      <w:r>
        <w:tab/>
      </w:r>
      <w:r>
        <w:fldChar w:fldCharType="begin"/>
      </w:r>
      <w:r>
        <w:instrText xml:space="preserve"> PAGEREF _Toc22122 \h </w:instrText>
      </w:r>
      <w:r>
        <w:fldChar w:fldCharType="separate"/>
      </w:r>
      <w:r>
        <w:t>18</w:t>
      </w:r>
      <w:r>
        <w:fldChar w:fldCharType="end"/>
      </w:r>
      <w:r>
        <w:fldChar w:fldCharType="end"/>
      </w:r>
    </w:p>
    <w:p>
      <w:pPr>
        <w:pStyle w:val="14"/>
        <w:tabs>
          <w:tab w:val="right" w:leader="dot" w:pos="8306"/>
        </w:tabs>
      </w:pPr>
      <w:r>
        <w:fldChar w:fldCharType="begin"/>
      </w:r>
      <w:r>
        <w:instrText xml:space="preserve"> HYPERLINK \l _Toc1856 </w:instrText>
      </w:r>
      <w:r>
        <w:fldChar w:fldCharType="separate"/>
      </w:r>
      <w:r>
        <w:rPr>
          <w:rFonts w:hint="eastAsia" w:ascii="仿宋" w:hAnsi="仿宋" w:eastAsia="仿宋" w:cs="仿宋"/>
          <w:bCs/>
          <w:szCs w:val="36"/>
        </w:rPr>
        <w:t>六、一般公共预算财政拨款基本支出决算情况说明</w:t>
      </w:r>
      <w:r>
        <w:tab/>
      </w:r>
      <w:r>
        <w:fldChar w:fldCharType="begin"/>
      </w:r>
      <w:r>
        <w:instrText xml:space="preserve"> PAGEREF _Toc1856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_Toc32313 </w:instrText>
      </w:r>
      <w:r>
        <w:fldChar w:fldCharType="separate"/>
      </w:r>
      <w:r>
        <w:rPr>
          <w:rFonts w:hint="eastAsia" w:ascii="仿宋" w:hAnsi="仿宋" w:eastAsia="仿宋" w:cs="仿宋"/>
          <w:bCs/>
          <w:szCs w:val="36"/>
        </w:rPr>
        <w:t>七、一般公共预算财政拨款“三公”经费支出决算情况说明</w:t>
      </w:r>
      <w:r>
        <w:tab/>
      </w:r>
      <w:r>
        <w:fldChar w:fldCharType="begin"/>
      </w:r>
      <w:r>
        <w:instrText xml:space="preserve"> PAGEREF _Toc32313 \h </w:instrText>
      </w:r>
      <w:r>
        <w:fldChar w:fldCharType="separate"/>
      </w:r>
      <w:r>
        <w:t>19</w:t>
      </w:r>
      <w:r>
        <w:fldChar w:fldCharType="end"/>
      </w:r>
      <w:r>
        <w:fldChar w:fldCharType="end"/>
      </w:r>
    </w:p>
    <w:p>
      <w:pPr>
        <w:pStyle w:val="15"/>
        <w:tabs>
          <w:tab w:val="right" w:leader="dot" w:pos="8306"/>
        </w:tabs>
      </w:pPr>
      <w:r>
        <w:fldChar w:fldCharType="begin"/>
      </w:r>
      <w:r>
        <w:instrText xml:space="preserve"> HYPERLINK \l _Toc21836 </w:instrText>
      </w:r>
      <w:r>
        <w:fldChar w:fldCharType="separate"/>
      </w:r>
      <w:r>
        <w:rPr>
          <w:rFonts w:hint="eastAsia" w:ascii="仿宋" w:hAnsi="仿宋" w:eastAsia="仿宋" w:cs="仿宋"/>
          <w:bCs/>
          <w:szCs w:val="36"/>
        </w:rPr>
        <w:t>（一）“三公”经费财政拨款支出决算总体情况说明</w:t>
      </w:r>
      <w:r>
        <w:tab/>
      </w:r>
      <w:r>
        <w:fldChar w:fldCharType="begin"/>
      </w:r>
      <w:r>
        <w:instrText xml:space="preserve"> PAGEREF _Toc21836 \h </w:instrText>
      </w:r>
      <w:r>
        <w:fldChar w:fldCharType="separate"/>
      </w:r>
      <w:r>
        <w:t>19</w:t>
      </w:r>
      <w:r>
        <w:fldChar w:fldCharType="end"/>
      </w:r>
      <w:r>
        <w:fldChar w:fldCharType="end"/>
      </w:r>
    </w:p>
    <w:p>
      <w:pPr>
        <w:pStyle w:val="15"/>
        <w:tabs>
          <w:tab w:val="right" w:leader="dot" w:pos="8306"/>
        </w:tabs>
      </w:pPr>
      <w:r>
        <w:fldChar w:fldCharType="begin"/>
      </w:r>
      <w:r>
        <w:instrText xml:space="preserve"> HYPERLINK \l _Toc21195 </w:instrText>
      </w:r>
      <w:r>
        <w:fldChar w:fldCharType="separate"/>
      </w:r>
      <w:r>
        <w:rPr>
          <w:rFonts w:hint="eastAsia" w:ascii="仿宋" w:hAnsi="仿宋" w:eastAsia="仿宋" w:cs="仿宋"/>
          <w:bCs/>
          <w:szCs w:val="36"/>
        </w:rPr>
        <w:t>（二）“三公”经费财政拨款支出决算具体情况说明</w:t>
      </w:r>
      <w:r>
        <w:tab/>
      </w:r>
      <w:r>
        <w:fldChar w:fldCharType="begin"/>
      </w:r>
      <w:r>
        <w:instrText xml:space="preserve"> PAGEREF _Toc21195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_Toc28187 </w:instrText>
      </w:r>
      <w:r>
        <w:fldChar w:fldCharType="separate"/>
      </w:r>
      <w:r>
        <w:rPr>
          <w:rFonts w:hint="eastAsia" w:ascii="仿宋" w:hAnsi="仿宋" w:eastAsia="仿宋" w:cs="仿宋"/>
          <w:bCs/>
          <w:szCs w:val="36"/>
        </w:rPr>
        <w:t>八、其他重要事项情况说明</w:t>
      </w:r>
      <w:r>
        <w:tab/>
      </w:r>
      <w:r>
        <w:fldChar w:fldCharType="begin"/>
      </w:r>
      <w:r>
        <w:instrText xml:space="preserve"> PAGEREF _Toc28187 \h </w:instrText>
      </w:r>
      <w:r>
        <w:fldChar w:fldCharType="separate"/>
      </w:r>
      <w:r>
        <w:t>20</w:t>
      </w:r>
      <w:r>
        <w:fldChar w:fldCharType="end"/>
      </w:r>
      <w:r>
        <w:fldChar w:fldCharType="end"/>
      </w:r>
    </w:p>
    <w:p>
      <w:pPr>
        <w:pStyle w:val="15"/>
        <w:tabs>
          <w:tab w:val="right" w:leader="dot" w:pos="8306"/>
        </w:tabs>
      </w:pPr>
      <w:r>
        <w:fldChar w:fldCharType="begin"/>
      </w:r>
      <w:r>
        <w:instrText xml:space="preserve"> HYPERLINK \l _Toc19699 </w:instrText>
      </w:r>
      <w:r>
        <w:fldChar w:fldCharType="separate"/>
      </w:r>
      <w:r>
        <w:rPr>
          <w:rFonts w:hint="eastAsia" w:ascii="仿宋" w:hAnsi="仿宋" w:eastAsia="仿宋" w:cs="仿宋"/>
          <w:bCs/>
          <w:szCs w:val="36"/>
        </w:rPr>
        <w:t>（一）机关运行经费支出情况说明</w:t>
      </w:r>
      <w:r>
        <w:tab/>
      </w:r>
      <w:r>
        <w:fldChar w:fldCharType="begin"/>
      </w:r>
      <w:r>
        <w:instrText xml:space="preserve"> PAGEREF _Toc19699 \h </w:instrText>
      </w:r>
      <w:r>
        <w:fldChar w:fldCharType="separate"/>
      </w:r>
      <w:r>
        <w:t>20</w:t>
      </w:r>
      <w:r>
        <w:fldChar w:fldCharType="end"/>
      </w:r>
      <w:r>
        <w:fldChar w:fldCharType="end"/>
      </w:r>
    </w:p>
    <w:p>
      <w:pPr>
        <w:pStyle w:val="15"/>
        <w:tabs>
          <w:tab w:val="right" w:leader="dot" w:pos="8306"/>
        </w:tabs>
      </w:pPr>
      <w:r>
        <w:fldChar w:fldCharType="begin"/>
      </w:r>
      <w:r>
        <w:instrText xml:space="preserve"> HYPERLINK \l _Toc6530 </w:instrText>
      </w:r>
      <w:r>
        <w:fldChar w:fldCharType="separate"/>
      </w:r>
      <w:r>
        <w:rPr>
          <w:rFonts w:hint="eastAsia" w:ascii="仿宋" w:hAnsi="仿宋" w:eastAsia="仿宋" w:cs="仿宋"/>
          <w:bCs/>
          <w:szCs w:val="36"/>
        </w:rPr>
        <w:t>（二）政府采购情况说明</w:t>
      </w:r>
      <w:r>
        <w:tab/>
      </w:r>
      <w:r>
        <w:fldChar w:fldCharType="begin"/>
      </w:r>
      <w:r>
        <w:instrText xml:space="preserve"> PAGEREF _Toc6530 \h </w:instrText>
      </w:r>
      <w:r>
        <w:fldChar w:fldCharType="separate"/>
      </w:r>
      <w:r>
        <w:t>20</w:t>
      </w:r>
      <w:r>
        <w:fldChar w:fldCharType="end"/>
      </w:r>
      <w:r>
        <w:fldChar w:fldCharType="end"/>
      </w:r>
    </w:p>
    <w:p>
      <w:pPr>
        <w:pStyle w:val="15"/>
        <w:tabs>
          <w:tab w:val="right" w:leader="dot" w:pos="8306"/>
        </w:tabs>
      </w:pPr>
      <w:r>
        <w:fldChar w:fldCharType="begin"/>
      </w:r>
      <w:r>
        <w:instrText xml:space="preserve"> HYPERLINK \l _Toc17982 </w:instrText>
      </w:r>
      <w:r>
        <w:fldChar w:fldCharType="separate"/>
      </w:r>
      <w:r>
        <w:rPr>
          <w:rFonts w:hint="eastAsia" w:ascii="仿宋" w:hAnsi="仿宋" w:eastAsia="仿宋" w:cs="仿宋"/>
          <w:bCs/>
          <w:szCs w:val="36"/>
        </w:rPr>
        <w:t>（三）国有资产占用情况说明</w:t>
      </w:r>
      <w:r>
        <w:tab/>
      </w:r>
      <w:r>
        <w:fldChar w:fldCharType="begin"/>
      </w:r>
      <w:r>
        <w:instrText xml:space="preserve"> PAGEREF _Toc17982 \h </w:instrText>
      </w:r>
      <w:r>
        <w:fldChar w:fldCharType="separate"/>
      </w:r>
      <w:r>
        <w:t>20</w:t>
      </w:r>
      <w:r>
        <w:fldChar w:fldCharType="end"/>
      </w:r>
      <w:r>
        <w:fldChar w:fldCharType="end"/>
      </w:r>
    </w:p>
    <w:p>
      <w:pPr>
        <w:pStyle w:val="15"/>
        <w:tabs>
          <w:tab w:val="right" w:leader="dot" w:pos="8306"/>
        </w:tabs>
      </w:pPr>
      <w:r>
        <w:fldChar w:fldCharType="begin"/>
      </w:r>
      <w:r>
        <w:instrText xml:space="preserve"> HYPERLINK \l _Toc24512 </w:instrText>
      </w:r>
      <w:r>
        <w:fldChar w:fldCharType="separate"/>
      </w:r>
      <w:r>
        <w:rPr>
          <w:rFonts w:hint="eastAsia" w:ascii="仿宋" w:hAnsi="仿宋" w:eastAsia="仿宋" w:cs="仿宋"/>
          <w:bCs/>
          <w:szCs w:val="36"/>
        </w:rPr>
        <w:t>（四）预算绩效情况说明</w:t>
      </w:r>
      <w:r>
        <w:tab/>
      </w:r>
      <w:r>
        <w:fldChar w:fldCharType="begin"/>
      </w:r>
      <w:r>
        <w:instrText xml:space="preserve"> PAGEREF _Toc24512 \h </w:instrText>
      </w:r>
      <w:r>
        <w:fldChar w:fldCharType="separate"/>
      </w:r>
      <w:r>
        <w:t>20</w:t>
      </w:r>
      <w:r>
        <w:fldChar w:fldCharType="end"/>
      </w:r>
      <w:r>
        <w:fldChar w:fldCharType="end"/>
      </w:r>
    </w:p>
    <w:p>
      <w:pPr>
        <w:pStyle w:val="13"/>
        <w:tabs>
          <w:tab w:val="right" w:leader="dot" w:pos="8306"/>
        </w:tabs>
      </w:pPr>
      <w:r>
        <w:fldChar w:fldCharType="begin"/>
      </w:r>
      <w:r>
        <w:instrText xml:space="preserve"> HYPERLINK \l _Toc28489 </w:instrText>
      </w:r>
      <w:r>
        <w:fldChar w:fldCharType="separate"/>
      </w:r>
      <w:r>
        <w:rPr>
          <w:rFonts w:hint="eastAsia" w:ascii="黑体" w:hAnsi="黑体" w:eastAsia="黑体" w:cs="Arial"/>
          <w:kern w:val="1"/>
          <w:szCs w:val="32"/>
          <w:lang w:val="en-US" w:eastAsia="zh-CN" w:bidi="ar-SA"/>
        </w:rPr>
        <w:t xml:space="preserve">第四部分  </w:t>
      </w:r>
      <w:r>
        <w:rPr>
          <w:rFonts w:hint="eastAsia" w:ascii="黑体" w:hAnsi="黑体" w:eastAsia="黑体"/>
          <w:szCs w:val="32"/>
        </w:rPr>
        <w:t>名词解释</w:t>
      </w:r>
      <w:r>
        <w:tab/>
      </w:r>
      <w:r>
        <w:fldChar w:fldCharType="begin"/>
      </w:r>
      <w:r>
        <w:instrText xml:space="preserve"> PAGEREF _Toc28489 \h </w:instrText>
      </w:r>
      <w:r>
        <w:fldChar w:fldCharType="separate"/>
      </w:r>
      <w:r>
        <w:t>27</w:t>
      </w:r>
      <w:r>
        <w:fldChar w:fldCharType="end"/>
      </w:r>
      <w:r>
        <w:fldChar w:fldCharType="end"/>
      </w:r>
    </w:p>
    <w:p>
      <w:pPr>
        <w:pStyle w:val="13"/>
        <w:tabs>
          <w:tab w:val="right" w:leader="dot" w:pos="8306"/>
        </w:tabs>
      </w:pPr>
      <w:r>
        <w:fldChar w:fldCharType="begin"/>
      </w:r>
      <w:r>
        <w:instrText xml:space="preserve"> HYPERLINK \l _Toc32250 </w:instrText>
      </w:r>
      <w:r>
        <w:fldChar w:fldCharType="separate"/>
      </w:r>
      <w:r>
        <w:rPr>
          <w:rFonts w:hint="eastAsia" w:ascii="黑体" w:hAnsi="黑体" w:eastAsia="黑体"/>
          <w:szCs w:val="32"/>
        </w:rPr>
        <w:t>第五部分 附件</w:t>
      </w:r>
      <w:r>
        <w:tab/>
      </w:r>
      <w:r>
        <w:fldChar w:fldCharType="begin"/>
      </w:r>
      <w:r>
        <w:instrText xml:space="preserve"> PAGEREF _Toc32250 \h </w:instrText>
      </w:r>
      <w:r>
        <w:fldChar w:fldCharType="separate"/>
      </w:r>
      <w:r>
        <w:t>29</w:t>
      </w:r>
      <w:r>
        <w:fldChar w:fldCharType="end"/>
      </w:r>
      <w:r>
        <w:fldChar w:fldCharType="end"/>
      </w:r>
    </w:p>
    <w:p>
      <w:pPr>
        <w:pStyle w:val="13"/>
        <w:tabs>
          <w:tab w:val="right" w:leader="dot" w:pos="8306"/>
        </w:tabs>
      </w:pPr>
    </w:p>
    <w:p>
      <w:r>
        <w:fldChar w:fldCharType="end"/>
      </w:r>
    </w:p>
    <w:bookmarkEnd w:id="3"/>
    <w:bookmarkEnd w:id="4"/>
    <w:p>
      <w:pPr>
        <w:keepNext w:val="0"/>
        <w:keepLines w:val="0"/>
        <w:pageBreakBefore w:val="0"/>
        <w:widowControl w:val="0"/>
        <w:kinsoku/>
        <w:wordWrap/>
        <w:overflowPunct/>
        <w:topLinePunct w:val="0"/>
        <w:autoSpaceDE/>
        <w:autoSpaceDN/>
        <w:bidi w:val="0"/>
        <w:adjustRightInd/>
        <w:snapToGrid/>
        <w:spacing w:before="0" w:after="0" w:line="480" w:lineRule="auto"/>
        <w:ind w:left="0" w:leftChars="0" w:right="0" w:rightChars="0" w:firstLine="0" w:firstLineChars="0"/>
        <w:jc w:val="left"/>
        <w:textAlignment w:val="auto"/>
        <w:rPr>
          <w:rFonts w:hint="eastAsia" w:ascii="仿宋" w:hAnsi="仿宋" w:eastAsia="仿宋" w:cs="仿宋"/>
          <w:sz w:val="22"/>
          <w:szCs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Pr>
        <w:spacing w:line="288" w:lineRule="auto"/>
        <w:rPr>
          <w:sz w:val="22"/>
        </w:rPr>
      </w:pPr>
    </w:p>
    <w:p/>
    <w:p/>
    <w:p>
      <w:pPr>
        <w:numPr>
          <w:ilvl w:val="0"/>
          <w:numId w:val="1"/>
        </w:numPr>
        <w:ind w:left="0" w:firstLine="0"/>
        <w:outlineLvl w:val="0"/>
        <w:rPr>
          <w:rFonts w:ascii="黑体" w:hAnsi="黑体" w:eastAsia="黑体"/>
          <w:b/>
          <w:sz w:val="32"/>
          <w:szCs w:val="32"/>
        </w:rPr>
      </w:pPr>
      <w:bookmarkStart w:id="5" w:name="_Toc3387"/>
      <w:bookmarkEnd w:id="5"/>
      <w:bookmarkStart w:id="6" w:name="_Toc29137"/>
      <w:bookmarkEnd w:id="6"/>
      <w:r>
        <w:rPr>
          <w:rFonts w:hint="eastAsia" w:ascii="黑体" w:hAnsi="黑体" w:eastAsia="黑体"/>
          <w:b/>
          <w:sz w:val="32"/>
          <w:szCs w:val="32"/>
          <w:lang w:val="en-US" w:eastAsia="zh-CN"/>
        </w:rPr>
        <w:t xml:space="preserve"> </w:t>
      </w:r>
      <w:bookmarkStart w:id="7" w:name="_Toc7019"/>
      <w:bookmarkStart w:id="8" w:name="_Toc29347"/>
      <w:bookmarkStart w:id="9" w:name="_Toc30188"/>
      <w:r>
        <w:rPr>
          <w:rFonts w:hint="eastAsia" w:ascii="黑体" w:hAnsi="黑体" w:eastAsia="黑体"/>
          <w:b/>
          <w:sz w:val="32"/>
          <w:szCs w:val="32"/>
        </w:rPr>
        <w:t>概况</w:t>
      </w:r>
      <w:bookmarkEnd w:id="7"/>
      <w:bookmarkEnd w:id="8"/>
      <w:bookmarkEnd w:id="9"/>
    </w:p>
    <w:p>
      <w:pPr>
        <w:numPr>
          <w:ilvl w:val="0"/>
          <w:numId w:val="0"/>
        </w:numPr>
        <w:ind w:leftChars="0"/>
        <w:outlineLvl w:val="9"/>
        <w:rPr>
          <w:rFonts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10" w:name="_Toc447"/>
      <w:bookmarkEnd w:id="10"/>
      <w:bookmarkStart w:id="11" w:name="_Toc17859"/>
      <w:bookmarkEnd w:id="11"/>
      <w:bookmarkStart w:id="12" w:name="_Toc29084"/>
      <w:bookmarkStart w:id="13" w:name="_Toc24235"/>
      <w:r>
        <w:rPr>
          <w:rFonts w:ascii="仿宋" w:hAnsi="仿宋" w:eastAsia="仿宋" w:cs="仿宋"/>
          <w:b/>
          <w:bCs/>
          <w:sz w:val="32"/>
          <w:szCs w:val="36"/>
        </w:rPr>
        <w:t>一、</w:t>
      </w:r>
      <w:r>
        <w:rPr>
          <w:rFonts w:hint="eastAsia" w:ascii="仿宋" w:hAnsi="仿宋" w:eastAsia="仿宋" w:cs="仿宋"/>
          <w:b/>
          <w:bCs/>
          <w:sz w:val="32"/>
          <w:szCs w:val="36"/>
        </w:rPr>
        <w:t>本部门职责</w:t>
      </w:r>
      <w:bookmarkEnd w:id="12"/>
      <w:bookmarkEnd w:id="1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副处级建制，主要职责是：负责同煤集团的社会治安管理，并完成上级机关赋予的维护社会治安等项任务。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3" w:firstLineChars="200"/>
        <w:textAlignment w:val="auto"/>
        <w:outlineLvl w:val="1"/>
        <w:rPr>
          <w:rFonts w:hint="eastAsia" w:ascii="仿宋" w:hAnsi="仿宋" w:eastAsia="仿宋" w:cs="仿宋"/>
          <w:b/>
          <w:bCs/>
          <w:sz w:val="32"/>
          <w:szCs w:val="36"/>
        </w:rPr>
      </w:pPr>
      <w:bookmarkStart w:id="14" w:name="_Toc12133"/>
      <w:bookmarkEnd w:id="14"/>
      <w:bookmarkStart w:id="15" w:name="_Toc3054"/>
      <w:bookmarkEnd w:id="15"/>
      <w:bookmarkStart w:id="16" w:name="_Toc23065"/>
      <w:bookmarkStart w:id="17" w:name="_Toc13364"/>
      <w:r>
        <w:rPr>
          <w:rFonts w:hint="eastAsia" w:ascii="仿宋" w:hAnsi="仿宋" w:eastAsia="仿宋" w:cs="仿宋"/>
          <w:b/>
          <w:bCs/>
          <w:sz w:val="32"/>
          <w:szCs w:val="36"/>
        </w:rPr>
        <w:t>机构设置情况</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大同市公安局云泉分局下设27个队（所）：指挥中心、政工室、督察大队、警务保障室、执法监督科、国内安全保卫大队、刑事侦查大队、治安管理大队、巡警大队、网络警察大队、禁毒大队、危险物品管理大队、15个派出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（1）</w:t>
      </w:r>
      <w:r>
        <w:rPr>
          <w:rFonts w:ascii="仿宋" w:hAnsi="仿宋" w:eastAsia="仿宋" w:cs="仿宋"/>
          <w:sz w:val="32"/>
          <w:szCs w:val="36"/>
        </w:rPr>
        <w:t>指挥中心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正科级建制，主要职责是:负责公安审计、信访、接处警和警务保障工作等。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（2）</w:t>
      </w:r>
      <w:r>
        <w:rPr>
          <w:rFonts w:ascii="仿宋" w:hAnsi="仿宋" w:eastAsia="仿宋" w:cs="仿宋"/>
          <w:sz w:val="32"/>
          <w:szCs w:val="36"/>
        </w:rPr>
        <w:t>政工室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正科级建制，主要职责是:负责全体民警的政治思想工作，加强队伍的管理和教育，组织开展内部效能考核和各类比武竞赛以及评先创优、立功创模活动，办理组织、人事、工资周整工作。负责工青妇群和离退休人员、计生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（3）</w:t>
      </w:r>
      <w:r>
        <w:rPr>
          <w:rFonts w:ascii="仿宋" w:hAnsi="仿宋" w:eastAsia="仿宋" w:cs="仿宋"/>
          <w:sz w:val="32"/>
          <w:szCs w:val="36"/>
        </w:rPr>
        <w:t>纪检监察室(</w:t>
      </w:r>
      <w:r>
        <w:rPr>
          <w:rFonts w:hint="eastAsia" w:ascii="仿宋" w:hAnsi="仿宋" w:eastAsia="仿宋" w:cs="仿宋"/>
          <w:sz w:val="32"/>
          <w:szCs w:val="36"/>
        </w:rPr>
        <w:t>督</w:t>
      </w:r>
      <w:r>
        <w:rPr>
          <w:rFonts w:ascii="仿宋" w:hAnsi="仿宋" w:eastAsia="仿宋" w:cs="仿宋"/>
          <w:sz w:val="32"/>
          <w:szCs w:val="36"/>
        </w:rPr>
        <w:t>察大队)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副科级建制，主要职债是:负责纪检、监察、督察的工作;受理群众的检举、控告案件，办理上级机关交办的违法违纪案件;负责全体民警的党风廉政建设工作，开展行风评议工作，监察和督查民警形象、执法情况。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（4）</w:t>
      </w:r>
      <w:r>
        <w:rPr>
          <w:rFonts w:ascii="仿宋" w:hAnsi="仿宋" w:eastAsia="仿宋" w:cs="仿宋"/>
          <w:sz w:val="32"/>
          <w:szCs w:val="36"/>
        </w:rPr>
        <w:t>警务保障室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副科级建制，主要职责是:负责业务经费及其它专款的申请划拨工作，制定支队经费、装备的长远计划、年度计划;负责装备、被装及警衔标志的发放、调拨;负责对公安业务经费的使用情况进行监督、检查。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（5）</w:t>
      </w:r>
      <w:r>
        <w:rPr>
          <w:rFonts w:ascii="仿宋" w:hAnsi="仿宋" w:eastAsia="仿宋" w:cs="仿宋"/>
          <w:sz w:val="32"/>
          <w:szCs w:val="36"/>
        </w:rPr>
        <w:t>执法监督科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正科级建制，主要职责是:负责法制工作;组织执法检查和执法质量考核，对案件进行审核把关等工作;负责组织法制培训和法律咨询。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（6）</w:t>
      </w:r>
      <w:r>
        <w:rPr>
          <w:rFonts w:ascii="仿宋" w:hAnsi="仿宋" w:eastAsia="仿宋" w:cs="仿宋"/>
          <w:sz w:val="32"/>
          <w:szCs w:val="36"/>
        </w:rPr>
        <w:t>国内安全保卫大队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副科级建制，主要职责是:安负责国内安全保卫义反邪教等工作，负责对维权活动、非政府组织的调查工作</w:t>
      </w:r>
      <w:r>
        <w:rPr>
          <w:rFonts w:hint="eastAsia" w:ascii="仿宋" w:hAnsi="仿宋" w:eastAsia="仿宋" w:cs="仿宋"/>
          <w:sz w:val="32"/>
          <w:szCs w:val="36"/>
        </w:rPr>
        <w:t>；</w:t>
      </w:r>
      <w:r>
        <w:rPr>
          <w:rFonts w:ascii="仿宋" w:hAnsi="仿宋" w:eastAsia="仿宋" w:cs="仿宋"/>
          <w:sz w:val="32"/>
          <w:szCs w:val="36"/>
        </w:rPr>
        <w:t>负责民族，宗教、意识形态领域等方面的维护国家安全工作、掌握研究敌情、社情和社会政治动向，搜集、分析社会稳定和国家安全的情报信息，为上级提供社会稳定方面的信息;负责办理危害国家安全的案件。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（7）</w:t>
      </w:r>
      <w:r>
        <w:rPr>
          <w:rFonts w:ascii="仿宋" w:hAnsi="仿宋" w:eastAsia="仿宋" w:cs="仿宋"/>
          <w:sz w:val="32"/>
          <w:szCs w:val="36"/>
        </w:rPr>
        <w:t>刑事侦查大队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正科级建制，主要职责是:负责刑事侦查、禁毒工作;刑事科学技术工作;承担同煤集团禁毒委员会的日常工作等。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hint="eastAsia" w:ascii="仿宋" w:hAnsi="仿宋" w:eastAsia="仿宋" w:cs="仿宋"/>
          <w:sz w:val="32"/>
          <w:szCs w:val="36"/>
        </w:rPr>
        <w:t>（8）</w:t>
      </w:r>
      <w:r>
        <w:rPr>
          <w:rFonts w:ascii="仿宋" w:hAnsi="仿宋" w:eastAsia="仿宋" w:cs="仿宋"/>
          <w:sz w:val="32"/>
          <w:szCs w:val="36"/>
        </w:rPr>
        <w:t>治安管理大队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6"/>
        </w:rPr>
      </w:pPr>
      <w:r>
        <w:rPr>
          <w:rFonts w:ascii="仿宋" w:hAnsi="仿宋" w:eastAsia="仿宋" w:cs="仿宋"/>
          <w:sz w:val="32"/>
          <w:szCs w:val="36"/>
        </w:rPr>
        <w:t>正科级建制，主要职责是:负责辖区内治安管理、出入境管理、公共信息网络安全监察等工作;负责特种行业的管理，依法对社会上吸毒、卖淫嫖娼、赌博等违法活动进行治理;负责突发事件处置等工作;负责国内安全保卫等工作;维护国家安全工作;负责监督、检查、指导辖区内公共信息网络的安全保护工作，建设和维护信息网络监控、侦控技术设施</w:t>
      </w:r>
      <w:r>
        <w:rPr>
          <w:rFonts w:hint="eastAsia" w:ascii="仿宋" w:hAnsi="仿宋" w:eastAsia="仿宋" w:cs="仿宋"/>
          <w:sz w:val="32"/>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（9）派出所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sz w:val="32"/>
          <w:szCs w:val="36"/>
        </w:rPr>
      </w:pPr>
      <w:bookmarkStart w:id="18" w:name="_Toc20351"/>
      <w:bookmarkStart w:id="19" w:name="_Toc23325"/>
      <w:bookmarkStart w:id="20" w:name="_Toc15827"/>
      <w:r>
        <w:rPr>
          <w:rFonts w:hint="eastAsia" w:ascii="仿宋" w:hAnsi="仿宋" w:eastAsia="仿宋" w:cs="仿宋"/>
          <w:sz w:val="32"/>
          <w:szCs w:val="36"/>
        </w:rPr>
        <w:t>正科级建制，主要职责是:维护辖区</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大同市公安局云泉分局设置21个派出所，核定公安专项编制128名，其中:所长21名(正科长级 11名，副科长级10名)，教导员 21名(正科长级11名，副科长级10名)，副所长22名(副科长级)。</w:t>
      </w:r>
    </w:p>
    <w:p>
      <w:pPr>
        <w:numPr>
          <w:ilvl w:val="0"/>
          <w:numId w:val="0"/>
        </w:numPr>
        <w:ind w:firstLine="640"/>
        <w:rPr>
          <w:rFonts w:hint="eastAsia" w:ascii="仿宋" w:hAnsi="仿宋" w:eastAsia="仿宋" w:cs="仿宋"/>
          <w:sz w:val="32"/>
          <w:szCs w:val="36"/>
        </w:rPr>
      </w:pPr>
    </w:p>
    <w:p>
      <w:pPr>
        <w:numPr>
          <w:ilvl w:val="0"/>
          <w:numId w:val="0"/>
        </w:numPr>
        <w:ind w:firstLine="640"/>
        <w:rPr>
          <w:rFonts w:hint="eastAsia" w:ascii="仿宋" w:hAnsi="仿宋" w:eastAsia="仿宋" w:cs="仿宋"/>
          <w:sz w:val="32"/>
          <w:szCs w:val="36"/>
        </w:rPr>
      </w:pPr>
    </w:p>
    <w:p>
      <w:pPr>
        <w:numPr>
          <w:ilvl w:val="0"/>
          <w:numId w:val="0"/>
        </w:numPr>
        <w:ind w:firstLine="640"/>
        <w:rPr>
          <w:rFonts w:hint="eastAsia" w:ascii="仿宋" w:hAnsi="仿宋" w:eastAsia="仿宋" w:cs="仿宋"/>
          <w:sz w:val="32"/>
          <w:szCs w:val="36"/>
        </w:rPr>
      </w:pPr>
    </w:p>
    <w:p>
      <w:pPr>
        <w:numPr>
          <w:ilvl w:val="0"/>
          <w:numId w:val="0"/>
        </w:numPr>
        <w:rPr>
          <w:rFonts w:ascii="黑体" w:hAnsi="黑体" w:eastAsia="黑体"/>
          <w:b/>
          <w:sz w:val="32"/>
          <w:szCs w:val="32"/>
        </w:rPr>
      </w:pPr>
      <w:bookmarkStart w:id="21" w:name="_Toc3941"/>
      <w:bookmarkEnd w:id="21"/>
      <w:bookmarkStart w:id="22" w:name="_Toc32221"/>
      <w:bookmarkEnd w:id="22"/>
      <w:bookmarkStart w:id="23" w:name="_Toc31253"/>
      <w:bookmarkEnd w:id="23"/>
      <w:bookmarkStart w:id="24" w:name="_Toc19344"/>
      <w:bookmarkEnd w:id="24"/>
    </w:p>
    <w:p>
      <w:pPr>
        <w:numPr>
          <w:ilvl w:val="0"/>
          <w:numId w:val="0"/>
        </w:numPr>
        <w:rPr>
          <w:rFonts w:ascii="黑体" w:hAnsi="黑体" w:eastAsia="黑体"/>
          <w:b/>
          <w:sz w:val="32"/>
          <w:szCs w:val="32"/>
        </w:rPr>
      </w:pPr>
    </w:p>
    <w:tbl>
      <w:tblPr>
        <w:tblStyle w:val="10"/>
        <w:tblpPr w:leftFromText="180" w:rightFromText="180" w:vertAnchor="text" w:horzAnchor="page" w:tblpX="716" w:tblpY="-12380"/>
        <w:tblOverlap w:val="never"/>
        <w:tblW w:w="0" w:type="auto"/>
        <w:tblInd w:w="0" w:type="dxa"/>
        <w:tblLayout w:type="autofit"/>
        <w:tblCellMar>
          <w:top w:w="0" w:type="dxa"/>
          <w:left w:w="10" w:type="dxa"/>
          <w:bottom w:w="0" w:type="dxa"/>
          <w:right w:w="10" w:type="dxa"/>
        </w:tblCellMar>
      </w:tblPr>
      <w:tblGrid>
        <w:gridCol w:w="2557"/>
        <w:gridCol w:w="520"/>
        <w:gridCol w:w="1256"/>
        <w:gridCol w:w="2412"/>
        <w:gridCol w:w="520"/>
        <w:gridCol w:w="1257"/>
      </w:tblGrid>
      <w:tr>
        <w:tblPrEx>
          <w:tblCellMar>
            <w:top w:w="0" w:type="dxa"/>
            <w:left w:w="10" w:type="dxa"/>
            <w:bottom w:w="0" w:type="dxa"/>
            <w:right w:w="10" w:type="dxa"/>
          </w:tblCellMar>
        </w:tblPrEx>
        <w:trPr>
          <w:trHeight w:val="390" w:hRule="atLeast"/>
        </w:trPr>
        <w:tc>
          <w:tcPr>
            <w:tcW w:w="0" w:type="auto"/>
            <w:gridSpan w:val="6"/>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Cs w:val="21"/>
              </w:rPr>
            </w:pPr>
          </w:p>
          <w:p>
            <w:pPr>
              <w:numPr>
                <w:ilvl w:val="0"/>
                <w:numId w:val="0"/>
              </w:numPr>
              <w:outlineLvl w:val="0"/>
              <w:rPr>
                <w:rFonts w:ascii="黑体" w:hAnsi="黑体" w:eastAsia="黑体"/>
                <w:b/>
                <w:sz w:val="32"/>
                <w:szCs w:val="32"/>
              </w:rPr>
            </w:pPr>
            <w:bookmarkStart w:id="25" w:name="_Toc15602"/>
            <w:bookmarkStart w:id="26" w:name="_Toc26039"/>
            <w:bookmarkStart w:id="27" w:name="_Toc24108"/>
            <w:r>
              <w:rPr>
                <w:rFonts w:hint="eastAsia" w:ascii="黑体" w:hAnsi="黑体" w:eastAsia="黑体"/>
                <w:b/>
                <w:sz w:val="32"/>
                <w:szCs w:val="32"/>
              </w:rPr>
              <w:t xml:space="preserve">第二部分  </w:t>
            </w:r>
            <w:r>
              <w:rPr>
                <w:rFonts w:ascii="黑体" w:hAnsi="黑体" w:eastAsia="黑体"/>
                <w:b/>
                <w:sz w:val="32"/>
                <w:szCs w:val="32"/>
              </w:rPr>
              <w:t>202</w:t>
            </w:r>
            <w:r>
              <w:rPr>
                <w:rFonts w:hint="eastAsia" w:ascii="黑体" w:hAnsi="黑体" w:eastAsia="黑体"/>
                <w:b/>
                <w:sz w:val="32"/>
                <w:szCs w:val="32"/>
              </w:rPr>
              <w:t>1</w:t>
            </w:r>
            <w:r>
              <w:rPr>
                <w:rFonts w:ascii="黑体" w:hAnsi="黑体" w:eastAsia="黑体"/>
                <w:b/>
                <w:sz w:val="32"/>
                <w:szCs w:val="32"/>
              </w:rPr>
              <w:t>年</w:t>
            </w:r>
            <w:r>
              <w:rPr>
                <w:rFonts w:hint="eastAsia" w:ascii="黑体" w:hAnsi="黑体" w:eastAsia="黑体"/>
                <w:b/>
                <w:sz w:val="32"/>
                <w:szCs w:val="32"/>
              </w:rPr>
              <w:t>度</w:t>
            </w:r>
            <w:r>
              <w:rPr>
                <w:rFonts w:ascii="黑体" w:hAnsi="黑体" w:eastAsia="黑体"/>
                <w:b/>
                <w:sz w:val="32"/>
                <w:szCs w:val="32"/>
              </w:rPr>
              <w:t>部门决算</w:t>
            </w:r>
            <w:r>
              <w:rPr>
                <w:rFonts w:hint="eastAsia" w:ascii="黑体" w:hAnsi="黑体" w:eastAsia="黑体"/>
                <w:b/>
                <w:sz w:val="32"/>
                <w:szCs w:val="32"/>
              </w:rPr>
              <w:t>报</w:t>
            </w:r>
            <w:r>
              <w:rPr>
                <w:rFonts w:ascii="黑体" w:hAnsi="黑体" w:eastAsia="黑体"/>
                <w:b/>
                <w:sz w:val="32"/>
                <w:szCs w:val="32"/>
              </w:rPr>
              <w:t>表</w:t>
            </w:r>
            <w:bookmarkEnd w:id="25"/>
            <w:bookmarkEnd w:id="26"/>
            <w:bookmarkEnd w:id="27"/>
          </w:p>
          <w:p>
            <w:pPr>
              <w:widowControl/>
              <w:jc w:val="center"/>
              <w:rPr>
                <w:rFonts w:hint="eastAsia" w:ascii="宋体" w:hAnsi="宋体" w:cs="宋体"/>
                <w:szCs w:val="21"/>
              </w:rPr>
            </w:pPr>
          </w:p>
          <w:p>
            <w:pPr>
              <w:widowControl/>
              <w:jc w:val="center"/>
              <w:rPr>
                <w:rFonts w:hint="eastAsia" w:ascii="宋体" w:hAnsi="宋体" w:cs="宋体"/>
                <w:szCs w:val="21"/>
              </w:rPr>
            </w:pPr>
          </w:p>
          <w:p>
            <w:pPr>
              <w:widowControl/>
              <w:jc w:val="center"/>
              <w:rPr>
                <w:rFonts w:hint="eastAsia" w:ascii="宋体" w:hAnsi="宋体" w:cs="宋体"/>
                <w:szCs w:val="21"/>
              </w:rPr>
            </w:pPr>
          </w:p>
          <w:p>
            <w:pPr>
              <w:ind w:firstLine="643" w:firstLineChars="200"/>
              <w:outlineLvl w:val="1"/>
              <w:rPr>
                <w:rFonts w:hint="eastAsia" w:ascii="仿宋" w:hAnsi="仿宋" w:eastAsia="仿宋" w:cs="仿宋"/>
                <w:b/>
                <w:bCs/>
                <w:sz w:val="32"/>
                <w:szCs w:val="36"/>
              </w:rPr>
            </w:pPr>
            <w:bookmarkStart w:id="28" w:name="_Toc13244"/>
            <w:bookmarkStart w:id="29" w:name="_Toc31501"/>
            <w:r>
              <w:rPr>
                <w:rFonts w:hint="eastAsia" w:ascii="仿宋" w:hAnsi="仿宋" w:eastAsia="仿宋" w:cs="仿宋"/>
                <w:b/>
                <w:bCs/>
                <w:sz w:val="32"/>
                <w:szCs w:val="36"/>
              </w:rPr>
              <w:t>一、收入支出决算总表</w:t>
            </w:r>
            <w:bookmarkEnd w:id="28"/>
            <w:bookmarkEnd w:id="29"/>
          </w:p>
          <w:p>
            <w:pPr>
              <w:widowControl/>
              <w:jc w:val="center"/>
              <w:rPr>
                <w:rFonts w:hint="eastAsia" w:ascii="宋体" w:hAnsi="宋体" w:cs="宋体"/>
                <w:szCs w:val="21"/>
              </w:rPr>
            </w:pPr>
          </w:p>
          <w:p>
            <w:pPr>
              <w:widowControl/>
              <w:jc w:val="center"/>
              <w:rPr>
                <w:rFonts w:hint="eastAsia" w:ascii="宋体" w:hAnsi="宋体" w:cs="宋体"/>
                <w:szCs w:val="21"/>
              </w:rPr>
            </w:pPr>
            <w:r>
              <w:rPr>
                <w:rFonts w:hint="eastAsia" w:ascii="宋体" w:hAnsi="宋体" w:cs="宋体"/>
                <w:szCs w:val="21"/>
              </w:rPr>
              <w:t>收入支出决算总表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公开01表</w:t>
            </w:r>
          </w:p>
        </w:tc>
      </w:tr>
      <w:tr>
        <w:tblPrEx>
          <w:tblCellMar>
            <w:top w:w="0" w:type="dxa"/>
            <w:left w:w="10" w:type="dxa"/>
            <w:bottom w:w="0" w:type="dxa"/>
            <w:right w:w="10" w:type="dxa"/>
          </w:tblCellMar>
        </w:tblPrEx>
        <w:trPr>
          <w:trHeight w:val="335" w:hRule="atLeast"/>
        </w:trPr>
        <w:tc>
          <w:tcPr>
            <w:tcW w:w="0" w:type="auto"/>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支出</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行次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金额</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行次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金额</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一、一般公共预算财政拨款收入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44,783,477.72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一、一般公共服务支出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二、政府性基金预算财政拨款收入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二、外交支出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三、国有资本经营预算财政拨款收入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三、国防支出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四、上级补助收入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四、公共安全支出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37,701,790.37</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五、事业收入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五、教育支出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六、经营收入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六、科学技术支出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七、附属单位上缴收入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七、文化旅游体育与传媒支出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八、其他收入</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2,902.60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八、社会保障和就业支出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九、卫生健康支出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十、节能环保支出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十一、城乡社区支出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十二、农林水支出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十三、交通运输支出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十四、资源勘探工业信息等支出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十五、商业服务业等支出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十六、金融支出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十七、援助其他地区支出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十八、自然资源海洋气象等支出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十九、住房保障支出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二十、粮油物资储备支出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二十一、国有资本经营预算支出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二十二、灾害防治及应急管理支出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二十三、其他支出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b/>
                <w:bCs/>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3"/>
                <w:szCs w:val="13"/>
              </w:rPr>
            </w:pPr>
            <w:r>
              <w:rPr>
                <w:rFonts w:hint="eastAsia" w:ascii="宋体" w:hAnsi="宋体" w:cs="宋体"/>
                <w:sz w:val="13"/>
                <w:szCs w:val="13"/>
              </w:rPr>
              <w:t>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二十四、债务还本支出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3"/>
                <w:szCs w:val="13"/>
              </w:rPr>
            </w:pPr>
            <w:r>
              <w:rPr>
                <w:rFonts w:hint="eastAsia" w:ascii="宋体" w:hAnsi="宋体" w:cs="宋体"/>
                <w:sz w:val="13"/>
                <w:szCs w:val="13"/>
              </w:rPr>
              <w:t>25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二十五、债务付息支出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3"/>
                <w:szCs w:val="13"/>
              </w:rPr>
            </w:pPr>
            <w:r>
              <w:rPr>
                <w:rFonts w:hint="eastAsia" w:ascii="宋体" w:hAnsi="宋体" w:cs="宋体"/>
                <w:sz w:val="13"/>
                <w:szCs w:val="13"/>
              </w:rPr>
              <w:t>26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3"/>
                <w:szCs w:val="13"/>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二十六、抗疫特别国债安排的支出</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本年收入合计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44,786,380.32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本年支出合计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44,731,366.62</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使用非财政拨款结余</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结余分配</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年初结转和结余</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835,994.51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年末结转和结余</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891,008.21</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总计</w:t>
            </w:r>
          </w:p>
        </w:tc>
        <w:tc>
          <w:tcPr>
            <w:tcW w:w="0" w:type="auto"/>
            <w:tcBorders>
              <w:top w:val="nil"/>
              <w:left w:val="nil"/>
              <w:bottom w:val="single" w:color="000000" w:sz="8"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45,622,374.83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总计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45,622,374.83</w:t>
            </w:r>
          </w:p>
        </w:tc>
      </w:tr>
    </w:tbl>
    <w:p/>
    <w:p>
      <w:pPr>
        <w:rPr>
          <w:rFonts w:hint="eastAsia" w:ascii="仿宋" w:hAnsi="仿宋" w:eastAsia="仿宋" w:cs="仿宋"/>
          <w:sz w:val="32"/>
          <w:szCs w:val="36"/>
        </w:rPr>
      </w:pPr>
    </w:p>
    <w:p/>
    <w:p>
      <w:pPr>
        <w:sectPr>
          <w:footerReference r:id="rId3" w:type="default"/>
          <w:footnotePr>
            <w:numFmt w:val="decimal"/>
          </w:footnotePr>
          <w:endnotePr>
            <w:numFmt w:val="decimal"/>
          </w:endnotePr>
          <w:pgSz w:w="11906" w:h="16838"/>
          <w:pgMar w:top="1440" w:right="1800" w:bottom="1440" w:left="1800" w:header="720" w:footer="992" w:gutter="0"/>
          <w:pgNumType w:fmt="decimal" w:start="1"/>
          <w:cols w:space="720" w:num="1"/>
        </w:sectPr>
      </w:pPr>
    </w:p>
    <w:tbl>
      <w:tblPr>
        <w:tblStyle w:val="10"/>
        <w:tblW w:w="0" w:type="auto"/>
        <w:tblInd w:w="-108" w:type="dxa"/>
        <w:tblLayout w:type="autofit"/>
        <w:tblCellMar>
          <w:top w:w="0" w:type="dxa"/>
          <w:left w:w="10" w:type="dxa"/>
          <w:bottom w:w="0" w:type="dxa"/>
          <w:right w:w="10" w:type="dxa"/>
        </w:tblCellMar>
      </w:tblPr>
      <w:tblGrid>
        <w:gridCol w:w="1906"/>
        <w:gridCol w:w="222"/>
        <w:gridCol w:w="222"/>
        <w:gridCol w:w="2936"/>
        <w:gridCol w:w="1265"/>
        <w:gridCol w:w="1265"/>
        <w:gridCol w:w="1176"/>
        <w:gridCol w:w="856"/>
        <w:gridCol w:w="856"/>
        <w:gridCol w:w="1496"/>
        <w:gridCol w:w="996"/>
      </w:tblGrid>
      <w:tr>
        <w:tblPrEx>
          <w:tblCellMar>
            <w:top w:w="0" w:type="dxa"/>
            <w:left w:w="10" w:type="dxa"/>
            <w:bottom w:w="0" w:type="dxa"/>
            <w:right w:w="10" w:type="dxa"/>
          </w:tblCellMar>
        </w:tblPrEx>
        <w:trPr>
          <w:trHeight w:val="563" w:hRule="atLeast"/>
        </w:trPr>
        <w:tc>
          <w:tcPr>
            <w:tcW w:w="0" w:type="auto"/>
            <w:gridSpan w:val="11"/>
            <w:tcBorders>
              <w:top w:val="nil"/>
              <w:left w:val="nil"/>
              <w:bottom w:val="nil"/>
              <w:right w:val="nil"/>
            </w:tcBorders>
            <w:tcMar>
              <w:top w:w="0" w:type="dxa"/>
              <w:left w:w="108" w:type="dxa"/>
              <w:bottom w:w="0" w:type="dxa"/>
              <w:right w:w="108" w:type="dxa"/>
            </w:tcMar>
            <w:vAlign w:val="bottom"/>
          </w:tcPr>
          <w:p>
            <w:pPr>
              <w:numPr>
                <w:ilvl w:val="0"/>
                <w:numId w:val="0"/>
              </w:numPr>
              <w:rPr>
                <w:rFonts w:hint="eastAsia" w:ascii="仿宋" w:hAnsi="仿宋" w:eastAsia="仿宋" w:cs="仿宋"/>
                <w:sz w:val="32"/>
                <w:szCs w:val="36"/>
              </w:rPr>
            </w:pPr>
            <w:r>
              <w:rPr>
                <w:rFonts w:hint="eastAsia" w:ascii="仿宋" w:hAnsi="仿宋" w:eastAsia="仿宋" w:cs="仿宋"/>
                <w:sz w:val="32"/>
                <w:szCs w:val="36"/>
              </w:rPr>
              <w:t xml:space="preserve">  </w:t>
            </w:r>
            <w:r>
              <w:rPr>
                <w:rFonts w:hint="eastAsia" w:ascii="仿宋" w:hAnsi="仿宋" w:eastAsia="仿宋" w:cs="仿宋"/>
                <w:b/>
                <w:bCs/>
                <w:sz w:val="32"/>
                <w:szCs w:val="36"/>
              </w:rPr>
              <w:t xml:space="preserve"> 二、收入决算表</w:t>
            </w:r>
          </w:p>
          <w:p>
            <w:pPr>
              <w:widowControl/>
              <w:jc w:val="center"/>
              <w:rPr>
                <w:rFonts w:hint="eastAsia" w:ascii="宋体" w:hAnsi="宋体" w:cs="宋体"/>
                <w:szCs w:val="21"/>
              </w:rPr>
            </w:pPr>
            <w:r>
              <w:rPr>
                <w:rFonts w:hint="eastAsia" w:ascii="宋体" w:hAnsi="宋体" w:cs="宋体"/>
                <w:szCs w:val="21"/>
              </w:rPr>
              <w:t>收入决算表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公开02表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其他收入</w:t>
            </w:r>
          </w:p>
        </w:tc>
      </w:tr>
      <w:tr>
        <w:tblPrEx>
          <w:tblCellMar>
            <w:top w:w="0" w:type="dxa"/>
            <w:left w:w="10" w:type="dxa"/>
            <w:bottom w:w="0" w:type="dxa"/>
            <w:right w:w="1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功能分类科目编码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7</w:t>
            </w:r>
          </w:p>
        </w:tc>
      </w:tr>
      <w:tr>
        <w:tblPrEx>
          <w:tblCellMar>
            <w:top w:w="0" w:type="dxa"/>
            <w:left w:w="10" w:type="dxa"/>
            <w:bottom w:w="0" w:type="dxa"/>
            <w:right w:w="1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44,786,380.32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44,783,477.72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2,902.60</w:t>
            </w: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公共安全支出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37,732,979.26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37,730,076.66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2,902.60</w:t>
            </w: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公安</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37,732,979.26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37,730,076.66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2,902.60</w:t>
            </w: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行政运行</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36,303,399.26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36,300,496.66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2,902.60</w:t>
            </w: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一般行政管理事务</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2040220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执法办案</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社会保障和就业支出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行政事业单位养老支出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行政单位离退休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机关事业单位基本养老保险缴费支出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卫生健康支出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1,225,299.37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1,225,299.37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行政事业单位医疗</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1,225,299.37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1,225,299.37</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行政单位医疗</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事业单位医疗</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142,886.04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142,886.04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住房保障支出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住房改革支出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住房公积金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提租补贴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0" w:type="auto"/>
            <w:gridSpan w:val="11"/>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注：本表反映部门本年度取得的各项收入情况。</w:t>
            </w:r>
          </w:p>
        </w:tc>
      </w:tr>
    </w:tbl>
    <w:p>
      <w:pPr>
        <w:numPr>
          <w:ilvl w:val="0"/>
          <w:numId w:val="0"/>
        </w:numPr>
        <w:tabs>
          <w:tab w:val="left" w:pos="2525"/>
        </w:tabs>
        <w:rPr>
          <w:rFonts w:ascii="仿宋" w:hAnsi="仿宋" w:eastAsia="仿宋" w:cs="仿宋"/>
          <w:sz w:val="32"/>
          <w:szCs w:val="36"/>
        </w:rPr>
      </w:pPr>
      <w:r>
        <w:rPr>
          <w:rFonts w:hint="eastAsia" w:ascii="仿宋" w:hAnsi="仿宋" w:eastAsia="仿宋" w:cs="仿宋"/>
          <w:sz w:val="32"/>
          <w:szCs w:val="36"/>
        </w:rPr>
        <w:t xml:space="preserve"> </w:t>
      </w:r>
    </w:p>
    <w:p>
      <w:pPr>
        <w:numPr>
          <w:ilvl w:val="0"/>
          <w:numId w:val="0"/>
        </w:numPr>
        <w:ind w:firstLine="640"/>
        <w:rPr>
          <w:b/>
          <w:bCs/>
        </w:rPr>
      </w:pPr>
      <w:r>
        <w:rPr>
          <w:rFonts w:hint="eastAsia" w:ascii="仿宋" w:hAnsi="仿宋" w:eastAsia="仿宋" w:cs="仿宋"/>
          <w:b/>
          <w:bCs/>
          <w:sz w:val="32"/>
          <w:szCs w:val="36"/>
        </w:rPr>
        <w:t>三、支出决算表</w:t>
      </w:r>
    </w:p>
    <w:p>
      <w:r>
        <mc:AlternateContent>
          <mc:Choice Requires="wps">
            <w:drawing>
              <wp:anchor distT="0" distB="0" distL="114300" distR="114300" simplePos="0" relativeHeight="251659264" behindDoc="0" locked="0" layoutInCell="0" allowOverlap="1">
                <wp:simplePos x="0" y="0"/>
                <wp:positionH relativeFrom="page">
                  <wp:posOffset>906145</wp:posOffset>
                </wp:positionH>
                <wp:positionV relativeFrom="paragraph">
                  <wp:posOffset>198120</wp:posOffset>
                </wp:positionV>
                <wp:extent cx="10692130" cy="4867275"/>
                <wp:effectExtent l="0" t="0" r="0" b="0"/>
                <wp:wrapSquare wrapText="bothSides"/>
                <wp:docPr id="1026" name="文本框2"/>
                <wp:cNvGraphicFramePr/>
                <a:graphic xmlns:a="http://schemas.openxmlformats.org/drawingml/2006/main">
                  <a:graphicData uri="http://schemas.microsoft.com/office/word/2010/wordprocessingShape">
                    <wps:wsp>
                      <wps:cNvSpPr/>
                      <wps:spPr>
                        <a:xfrm>
                          <a:off x="0" y="0"/>
                          <a:ext cx="10692130" cy="4867275"/>
                        </a:xfrm>
                        <a:prstGeom prst="rect">
                          <a:avLst/>
                        </a:prstGeom>
                        <a:ln>
                          <a:noFill/>
                        </a:ln>
                      </wps:spPr>
                      <wps:txbx>
                        <w:txbxContent>
                          <w:tbl>
                            <w:tblPr>
                              <w:tblStyle w:val="10"/>
                              <w:tblW w:w="16827" w:type="dxa"/>
                              <w:tblInd w:w="0" w:type="dxa"/>
                              <w:tblLayout w:type="autofit"/>
                              <w:tblCellMar>
                                <w:top w:w="0" w:type="dxa"/>
                                <w:left w:w="10" w:type="dxa"/>
                                <w:bottom w:w="0" w:type="dxa"/>
                                <w:right w:w="10" w:type="dxa"/>
                              </w:tblCellMar>
                            </w:tblPr>
                            <w:tblGrid>
                              <w:gridCol w:w="3298"/>
                              <w:gridCol w:w="269"/>
                              <w:gridCol w:w="252"/>
                              <w:gridCol w:w="17"/>
                              <w:gridCol w:w="4627"/>
                              <w:gridCol w:w="1935"/>
                              <w:gridCol w:w="1935"/>
                              <w:gridCol w:w="1817"/>
                              <w:gridCol w:w="505"/>
                              <w:gridCol w:w="505"/>
                              <w:gridCol w:w="1667"/>
                            </w:tblGrid>
                            <w:tr>
                              <w:tblPrEx>
                                <w:tblCellMar>
                                  <w:top w:w="0" w:type="dxa"/>
                                  <w:left w:w="10" w:type="dxa"/>
                                  <w:bottom w:w="0" w:type="dxa"/>
                                  <w:right w:w="10" w:type="dxa"/>
                                </w:tblCellMar>
                              </w:tblPrEx>
                              <w:trPr>
                                <w:trHeight w:val="390" w:hRule="atLeast"/>
                              </w:trPr>
                              <w:tc>
                                <w:tcPr>
                                  <w:tcW w:w="5000" w:type="pct"/>
                                  <w:gridSpan w:val="11"/>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Cs w:val="21"/>
                                    </w:rPr>
                                  </w:pPr>
                                  <w:r>
                                    <w:rPr>
                                      <w:rFonts w:hint="eastAsia" w:ascii="宋体" w:hAnsi="宋体" w:cs="宋体"/>
                                      <w:szCs w:val="21"/>
                                    </w:rPr>
                                    <w:t>支出决算表</w:t>
                                  </w:r>
                                </w:p>
                              </w:tc>
                            </w:tr>
                            <w:tr>
                              <w:tblPrEx>
                                <w:tblCellMar>
                                  <w:top w:w="0" w:type="dxa"/>
                                  <w:left w:w="10" w:type="dxa"/>
                                  <w:bottom w:w="0" w:type="dxa"/>
                                  <w:right w:w="10" w:type="dxa"/>
                                </w:tblCellMar>
                              </w:tblPrEx>
                              <w:trPr>
                                <w:trHeight w:val="255" w:hRule="atLeast"/>
                              </w:trPr>
                              <w:tc>
                                <w:tcPr>
                                  <w:tcW w:w="980" w:type="pct"/>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8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8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3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4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90"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公开03表</w:t>
                                  </w:r>
                                </w:p>
                              </w:tc>
                            </w:tr>
                            <w:tr>
                              <w:tblPrEx>
                                <w:tblCellMar>
                                  <w:top w:w="0" w:type="dxa"/>
                                  <w:left w:w="10" w:type="dxa"/>
                                  <w:bottom w:w="0" w:type="dxa"/>
                                  <w:right w:w="10" w:type="dxa"/>
                                </w:tblCellMar>
                              </w:tblPrEx>
                              <w:trPr>
                                <w:trHeight w:val="255" w:hRule="atLeast"/>
                              </w:trPr>
                              <w:tc>
                                <w:tcPr>
                                  <w:tcW w:w="980" w:type="pct"/>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8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8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3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4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90"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2510" w:type="pct"/>
                                  <w:gridSpan w:val="5"/>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575"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本年支出合计</w:t>
                                  </w:r>
                                </w:p>
                              </w:tc>
                              <w:tc>
                                <w:tcPr>
                                  <w:tcW w:w="575"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基本支出</w:t>
                                  </w:r>
                                </w:p>
                              </w:tc>
                              <w:tc>
                                <w:tcPr>
                                  <w:tcW w:w="54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项目支出</w:t>
                                  </w:r>
                                </w:p>
                              </w:tc>
                              <w:tc>
                                <w:tcPr>
                                  <w:tcW w:w="15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上缴上级支出</w:t>
                                  </w:r>
                                </w:p>
                              </w:tc>
                              <w:tc>
                                <w:tcPr>
                                  <w:tcW w:w="15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经营支出</w:t>
                                  </w:r>
                                </w:p>
                              </w:tc>
                              <w:tc>
                                <w:tcPr>
                                  <w:tcW w:w="49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对附属单位补助支出</w:t>
                                  </w:r>
                                </w:p>
                              </w:tc>
                            </w:tr>
                            <w:tr>
                              <w:tblPrEx>
                                <w:tblCellMar>
                                  <w:top w:w="0" w:type="dxa"/>
                                  <w:left w:w="10" w:type="dxa"/>
                                  <w:bottom w:w="0" w:type="dxa"/>
                                  <w:right w:w="10" w:type="dxa"/>
                                </w:tblCellMar>
                              </w:tblPrEx>
                              <w:trPr>
                                <w:trHeight w:val="308" w:hRule="atLeast"/>
                              </w:trPr>
                              <w:tc>
                                <w:tcPr>
                                  <w:tcW w:w="1135" w:type="pct"/>
                                  <w:gridSpan w:val="3"/>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功能分类科目编码</w:t>
                                  </w:r>
                                </w:p>
                              </w:tc>
                              <w:tc>
                                <w:tcPr>
                                  <w:tcW w:w="1375"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科目名称</w:t>
                                  </w: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135" w:type="pct"/>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375"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135" w:type="pct"/>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375"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510" w:type="pct"/>
                                  <w:gridSpan w:val="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575"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575"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54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15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15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49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r>
                            <w:tr>
                              <w:tblPrEx>
                                <w:tblCellMar>
                                  <w:top w:w="0" w:type="dxa"/>
                                  <w:left w:w="10" w:type="dxa"/>
                                  <w:bottom w:w="0" w:type="dxa"/>
                                  <w:right w:w="10" w:type="dxa"/>
                                </w:tblCellMar>
                              </w:tblPrEx>
                              <w:trPr>
                                <w:trHeight w:val="308" w:hRule="atLeast"/>
                              </w:trPr>
                              <w:tc>
                                <w:tcPr>
                                  <w:tcW w:w="2510" w:type="pct"/>
                                  <w:gridSpan w:val="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44,731,366.62</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41,604,226.62</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公共安全支出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37,701,790.37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公安</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37,701,790.37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行政运行</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36,272,210.37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1,697,560.00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一般行政管理事务</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2040220</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执法办案</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社会保障和就业支出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行政事业单位养老支出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行政单位离退休</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2080505</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机关事业单位基本养老保险缴费支出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卫生健康支出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事业单位医疗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住房保障支出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住房改革支出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住房公积金</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提租补贴</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11"/>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注：本表反映部门本年度各项支出情况。</w:t>
                                  </w:r>
                                </w:p>
                              </w:tc>
                            </w:tr>
                          </w:tbl>
                          <w:p/>
                        </w:txbxContent>
                      </wps:txbx>
                      <wps:bodyPr wrap="none" lIns="0" tIns="0" rIns="6985" bIns="6985">
                        <a:noAutofit/>
                      </wps:bodyPr>
                    </wps:wsp>
                  </a:graphicData>
                </a:graphic>
              </wp:anchor>
            </w:drawing>
          </mc:Choice>
          <mc:Fallback>
            <w:pict>
              <v:rect id="文本框2" o:spid="_x0000_s1026" o:spt="1" style="position:absolute;left:0pt;margin-left:71.35pt;margin-top:15.6pt;height:383.25pt;width:841.9pt;mso-position-horizontal-relative:page;mso-wrap-distance-bottom:0pt;mso-wrap-distance-left:9pt;mso-wrap-distance-right:9pt;mso-wrap-distance-top:0pt;mso-wrap-style:none;z-index:251659264;mso-width-relative:page;mso-height-relative:page;" filled="f" stroked="f" coordsize="21600,21600" o:allowincell="f" o:gfxdata="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h0eCNcAAAALAQAADwAAAAAAAAABACAAAAAiAAAAZHJzL2Rvd25y&#10;ZXYueG1sUEsBAhQAFAAAAAgAh07iQOdc/abGAQAAgQMAAA4AAAAAAAAAAQAgAAAAJgEAAGRycy9l&#10;Mm9Eb2MueG1sUEsFBgAAAAAGAAYAWQEAAF4FAAAAAA==&#10;">
                <v:fill on="f" focussize="0,0"/>
                <v:stroke on="f"/>
                <v:imagedata o:title=""/>
                <o:lock v:ext="edit" aspectratio="f"/>
                <v:textbox inset="0mm,0mm,11,11">
                  <w:txbxContent>
                    <w:tbl>
                      <w:tblPr>
                        <w:tblStyle w:val="10"/>
                        <w:tblW w:w="16827" w:type="dxa"/>
                        <w:tblInd w:w="0" w:type="dxa"/>
                        <w:tblLayout w:type="autofit"/>
                        <w:tblCellMar>
                          <w:top w:w="0" w:type="dxa"/>
                          <w:left w:w="10" w:type="dxa"/>
                          <w:bottom w:w="0" w:type="dxa"/>
                          <w:right w:w="10" w:type="dxa"/>
                        </w:tblCellMar>
                      </w:tblPr>
                      <w:tblGrid>
                        <w:gridCol w:w="3298"/>
                        <w:gridCol w:w="269"/>
                        <w:gridCol w:w="252"/>
                        <w:gridCol w:w="17"/>
                        <w:gridCol w:w="4627"/>
                        <w:gridCol w:w="1935"/>
                        <w:gridCol w:w="1935"/>
                        <w:gridCol w:w="1817"/>
                        <w:gridCol w:w="505"/>
                        <w:gridCol w:w="505"/>
                        <w:gridCol w:w="1667"/>
                      </w:tblGrid>
                      <w:tr>
                        <w:tblPrEx>
                          <w:tblCellMar>
                            <w:top w:w="0" w:type="dxa"/>
                            <w:left w:w="10" w:type="dxa"/>
                            <w:bottom w:w="0" w:type="dxa"/>
                            <w:right w:w="10" w:type="dxa"/>
                          </w:tblCellMar>
                        </w:tblPrEx>
                        <w:trPr>
                          <w:trHeight w:val="390" w:hRule="atLeast"/>
                        </w:trPr>
                        <w:tc>
                          <w:tcPr>
                            <w:tcW w:w="5000" w:type="pct"/>
                            <w:gridSpan w:val="11"/>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Cs w:val="21"/>
                              </w:rPr>
                            </w:pPr>
                            <w:r>
                              <w:rPr>
                                <w:rFonts w:hint="eastAsia" w:ascii="宋体" w:hAnsi="宋体" w:cs="宋体"/>
                                <w:szCs w:val="21"/>
                              </w:rPr>
                              <w:t>支出决算表</w:t>
                            </w:r>
                          </w:p>
                        </w:tc>
                      </w:tr>
                      <w:tr>
                        <w:tblPrEx>
                          <w:tblCellMar>
                            <w:top w:w="0" w:type="dxa"/>
                            <w:left w:w="10" w:type="dxa"/>
                            <w:bottom w:w="0" w:type="dxa"/>
                            <w:right w:w="10" w:type="dxa"/>
                          </w:tblCellMar>
                        </w:tblPrEx>
                        <w:trPr>
                          <w:trHeight w:val="255" w:hRule="atLeast"/>
                        </w:trPr>
                        <w:tc>
                          <w:tcPr>
                            <w:tcW w:w="980" w:type="pct"/>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8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8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3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4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90"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公开03表</w:t>
                            </w:r>
                          </w:p>
                        </w:tc>
                      </w:tr>
                      <w:tr>
                        <w:tblPrEx>
                          <w:tblCellMar>
                            <w:top w:w="0" w:type="dxa"/>
                            <w:left w:w="10" w:type="dxa"/>
                            <w:bottom w:w="0" w:type="dxa"/>
                            <w:right w:w="10" w:type="dxa"/>
                          </w:tblCellMar>
                        </w:tblPrEx>
                        <w:trPr>
                          <w:trHeight w:val="255" w:hRule="atLeast"/>
                        </w:trPr>
                        <w:tc>
                          <w:tcPr>
                            <w:tcW w:w="980" w:type="pct"/>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8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8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3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75"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4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50"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90"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2510" w:type="pct"/>
                            <w:gridSpan w:val="5"/>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575"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本年支出合计</w:t>
                            </w:r>
                          </w:p>
                        </w:tc>
                        <w:tc>
                          <w:tcPr>
                            <w:tcW w:w="575"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基本支出</w:t>
                            </w:r>
                          </w:p>
                        </w:tc>
                        <w:tc>
                          <w:tcPr>
                            <w:tcW w:w="54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项目支出</w:t>
                            </w:r>
                          </w:p>
                        </w:tc>
                        <w:tc>
                          <w:tcPr>
                            <w:tcW w:w="15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上缴上级支出</w:t>
                            </w:r>
                          </w:p>
                        </w:tc>
                        <w:tc>
                          <w:tcPr>
                            <w:tcW w:w="15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经营支出</w:t>
                            </w:r>
                          </w:p>
                        </w:tc>
                        <w:tc>
                          <w:tcPr>
                            <w:tcW w:w="490" w:type="pct"/>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对附属单位补助支出</w:t>
                            </w:r>
                          </w:p>
                        </w:tc>
                      </w:tr>
                      <w:tr>
                        <w:tblPrEx>
                          <w:tblCellMar>
                            <w:top w:w="0" w:type="dxa"/>
                            <w:left w:w="10" w:type="dxa"/>
                            <w:bottom w:w="0" w:type="dxa"/>
                            <w:right w:w="10" w:type="dxa"/>
                          </w:tblCellMar>
                        </w:tblPrEx>
                        <w:trPr>
                          <w:trHeight w:val="308" w:hRule="atLeast"/>
                        </w:trPr>
                        <w:tc>
                          <w:tcPr>
                            <w:tcW w:w="1135" w:type="pct"/>
                            <w:gridSpan w:val="3"/>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功能分类科目编码</w:t>
                            </w:r>
                          </w:p>
                        </w:tc>
                        <w:tc>
                          <w:tcPr>
                            <w:tcW w:w="1375"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科目名称</w:t>
                            </w: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135" w:type="pct"/>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375"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135" w:type="pct"/>
                            <w:gridSpan w:val="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375"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75"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4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5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90" w:type="pct"/>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rPr>
                          <w:trHeight w:val="308" w:hRule="atLeast"/>
                        </w:trPr>
                        <w:tc>
                          <w:tcPr>
                            <w:tcW w:w="2510" w:type="pct"/>
                            <w:gridSpan w:val="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575"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575"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54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15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15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490"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r>
                      <w:tr>
                        <w:tblPrEx>
                          <w:tblCellMar>
                            <w:top w:w="0" w:type="dxa"/>
                            <w:left w:w="10" w:type="dxa"/>
                            <w:bottom w:w="0" w:type="dxa"/>
                            <w:right w:w="10" w:type="dxa"/>
                          </w:tblCellMar>
                        </w:tblPrEx>
                        <w:trPr>
                          <w:trHeight w:val="308" w:hRule="atLeast"/>
                        </w:trPr>
                        <w:tc>
                          <w:tcPr>
                            <w:tcW w:w="2510" w:type="pct"/>
                            <w:gridSpan w:val="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44,731,366.62</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41,604,226.62</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公共安全支出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37,701,790.37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公安</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37,701,790.37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行政运行</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36,272,210.37</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34,574,650.37</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1,697,560.00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一般行政管理事务</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2040220</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执法办案</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社会保障和就业支出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行政事业单位养老支出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行政单位离退休</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2080505</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机关事业单位基本养老保险缴费支出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卫生健康支出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事业单位医疗</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住房保障支出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住房改革支出</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2210201</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住房公积金</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135" w:type="pct"/>
                            <w:gridSpan w:val="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2210202</w:t>
                            </w:r>
                          </w:p>
                        </w:tc>
                        <w:tc>
                          <w:tcPr>
                            <w:tcW w:w="1375"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提租补贴</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575" w:type="pct"/>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54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5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90"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11"/>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注：本表反映部门本年度各项支出情况。</w:t>
                            </w:r>
                          </w:p>
                        </w:tc>
                      </w:tr>
                    </w:tbl>
                    <w:p/>
                  </w:txbxContent>
                </v:textbox>
                <w10:wrap type="square"/>
              </v:rect>
            </w:pict>
          </mc:Fallback>
        </mc:AlternateContent>
      </w:r>
    </w:p>
    <w:p>
      <w:pPr>
        <w:rPr>
          <w:b/>
          <w:bCs/>
        </w:rPr>
      </w:pPr>
    </w:p>
    <w:p>
      <w:pPr>
        <w:numPr>
          <w:ilvl w:val="0"/>
          <w:numId w:val="0"/>
        </w:numPr>
        <w:ind w:firstLine="640"/>
        <w:rPr>
          <w:b/>
          <w:bCs/>
        </w:rPr>
      </w:pPr>
      <w:r>
        <w:rPr>
          <w:rFonts w:hint="eastAsia" w:ascii="仿宋" w:hAnsi="仿宋" w:eastAsia="仿宋" w:cs="仿宋"/>
          <w:b/>
          <w:bCs/>
          <w:sz w:val="32"/>
          <w:szCs w:val="36"/>
        </w:rPr>
        <w:t>四、财政拨款收入支出决算总表</w:t>
      </w:r>
    </w:p>
    <w:tbl>
      <w:tblPr>
        <w:tblStyle w:val="10"/>
        <w:tblW w:w="5000" w:type="pct"/>
        <w:tblInd w:w="0" w:type="dxa"/>
        <w:tblLayout w:type="autofit"/>
        <w:tblCellMar>
          <w:top w:w="0" w:type="dxa"/>
          <w:left w:w="10" w:type="dxa"/>
          <w:bottom w:w="0" w:type="dxa"/>
          <w:right w:w="10" w:type="dxa"/>
        </w:tblCellMar>
      </w:tblPr>
      <w:tblGrid>
        <w:gridCol w:w="2736"/>
        <w:gridCol w:w="420"/>
        <w:gridCol w:w="85"/>
        <w:gridCol w:w="227"/>
        <w:gridCol w:w="77"/>
        <w:gridCol w:w="249"/>
        <w:gridCol w:w="96"/>
        <w:gridCol w:w="346"/>
        <w:gridCol w:w="714"/>
        <w:gridCol w:w="71"/>
        <w:gridCol w:w="431"/>
        <w:gridCol w:w="238"/>
        <w:gridCol w:w="215"/>
        <w:gridCol w:w="1094"/>
        <w:gridCol w:w="794"/>
        <w:gridCol w:w="493"/>
        <w:gridCol w:w="272"/>
        <w:gridCol w:w="218"/>
        <w:gridCol w:w="153"/>
        <w:gridCol w:w="723"/>
        <w:gridCol w:w="601"/>
        <w:gridCol w:w="218"/>
        <w:gridCol w:w="462"/>
        <w:gridCol w:w="340"/>
        <w:gridCol w:w="184"/>
        <w:gridCol w:w="281"/>
        <w:gridCol w:w="493"/>
        <w:gridCol w:w="147"/>
        <w:gridCol w:w="346"/>
        <w:gridCol w:w="1450"/>
      </w:tblGrid>
      <w:tr>
        <w:tblPrEx>
          <w:tblCellMar>
            <w:top w:w="0" w:type="dxa"/>
            <w:left w:w="10" w:type="dxa"/>
            <w:bottom w:w="0" w:type="dxa"/>
            <w:right w:w="10" w:type="dxa"/>
          </w:tblCellMar>
        </w:tblPrEx>
        <w:trPr>
          <w:trHeight w:val="390" w:hRule="atLeast"/>
        </w:trPr>
        <w:tc>
          <w:tcPr>
            <w:tcW w:w="5000" w:type="pct"/>
            <w:gridSpan w:val="30"/>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Cs w:val="21"/>
              </w:rPr>
            </w:pPr>
            <w:r>
              <w:rPr>
                <w:rFonts w:hint="eastAsia" w:ascii="宋体" w:hAnsi="宋体" w:cs="宋体"/>
                <w:szCs w:val="21"/>
              </w:rPr>
              <w:t>财政拨款收入支出决算总表</w:t>
            </w:r>
          </w:p>
        </w:tc>
      </w:tr>
      <w:tr>
        <w:tblPrEx>
          <w:tblCellMar>
            <w:top w:w="0" w:type="dxa"/>
            <w:left w:w="10" w:type="dxa"/>
            <w:bottom w:w="0" w:type="dxa"/>
            <w:right w:w="10" w:type="dxa"/>
          </w:tblCellMar>
        </w:tblPrEx>
        <w:trPr>
          <w:trHeight w:val="255" w:hRule="atLeast"/>
        </w:trPr>
        <w:tc>
          <w:tcPr>
            <w:tcW w:w="965" w:type="pct"/>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178"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03" w:type="pct"/>
            <w:gridSpan w:val="6"/>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177" w:type="pct"/>
            <w:gridSpan w:val="7"/>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73"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1"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4"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334"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2"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公开04表</w:t>
            </w:r>
          </w:p>
        </w:tc>
      </w:tr>
      <w:tr>
        <w:tblPrEx>
          <w:tblCellMar>
            <w:top w:w="0" w:type="dxa"/>
            <w:left w:w="10" w:type="dxa"/>
            <w:bottom w:w="0" w:type="dxa"/>
            <w:right w:w="10" w:type="dxa"/>
          </w:tblCellMar>
        </w:tblPrEx>
        <w:trPr>
          <w:trHeight w:val="255" w:hRule="atLeast"/>
        </w:trPr>
        <w:tc>
          <w:tcPr>
            <w:tcW w:w="965" w:type="pct"/>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178"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03" w:type="pct"/>
            <w:gridSpan w:val="6"/>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177" w:type="pct"/>
            <w:gridSpan w:val="7"/>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73"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1"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4"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334"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22" w:type="pct"/>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1746" w:type="pct"/>
            <w:gridSpan w:val="9"/>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收     入</w:t>
            </w:r>
          </w:p>
        </w:tc>
        <w:tc>
          <w:tcPr>
            <w:tcW w:w="3253" w:type="pct"/>
            <w:gridSpan w:val="21"/>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支     出</w:t>
            </w:r>
          </w:p>
        </w:tc>
      </w:tr>
      <w:tr>
        <w:tblPrEx>
          <w:tblCellMar>
            <w:top w:w="0" w:type="dxa"/>
            <w:left w:w="10" w:type="dxa"/>
            <w:bottom w:w="0" w:type="dxa"/>
            <w:right w:w="10" w:type="dxa"/>
          </w:tblCellMar>
        </w:tblPrEx>
        <w:trPr>
          <w:trHeight w:val="292" w:hRule="atLeast"/>
        </w:trPr>
        <w:tc>
          <w:tcPr>
            <w:tcW w:w="965" w:type="pct"/>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178"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行次</w:t>
            </w:r>
          </w:p>
        </w:tc>
        <w:tc>
          <w:tcPr>
            <w:tcW w:w="603" w:type="pct"/>
            <w:gridSpan w:val="6"/>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金额</w:t>
            </w:r>
          </w:p>
        </w:tc>
        <w:tc>
          <w:tcPr>
            <w:tcW w:w="1177" w:type="pct"/>
            <w:gridSpan w:val="7"/>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173"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行次</w:t>
            </w:r>
          </w:p>
        </w:tc>
        <w:tc>
          <w:tcPr>
            <w:tcW w:w="521" w:type="pct"/>
            <w:gridSpan w:val="3"/>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524" w:type="pct"/>
            <w:gridSpan w:val="5"/>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一般公共预算财政拨款</w:t>
            </w:r>
          </w:p>
        </w:tc>
        <w:tc>
          <w:tcPr>
            <w:tcW w:w="334" w:type="pct"/>
            <w:gridSpan w:val="3"/>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政府性基金预算财政拨款</w:t>
            </w:r>
          </w:p>
        </w:tc>
        <w:tc>
          <w:tcPr>
            <w:tcW w:w="522" w:type="pct"/>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国有资本经营预算财政拨款</w:t>
            </w:r>
          </w:p>
        </w:tc>
      </w:tr>
      <w:tr>
        <w:tblPrEx>
          <w:tblCellMar>
            <w:top w:w="0" w:type="dxa"/>
            <w:left w:w="10" w:type="dxa"/>
            <w:bottom w:w="0" w:type="dxa"/>
            <w:right w:w="10" w:type="dxa"/>
          </w:tblCellMar>
        </w:tblPrEx>
        <w:trPr>
          <w:trHeight w:val="615" w:hRule="atLeast"/>
        </w:trPr>
        <w:tc>
          <w:tcPr>
            <w:tcW w:w="965" w:type="pct"/>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78"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03" w:type="pct"/>
            <w:gridSpan w:val="6"/>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177" w:type="pct"/>
            <w:gridSpan w:val="7"/>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73"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21" w:type="pct"/>
            <w:gridSpan w:val="3"/>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24"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334" w:type="pct"/>
            <w:gridSpan w:val="3"/>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22" w:type="pct"/>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sz w:val="16"/>
                <w:szCs w:val="16"/>
              </w:rPr>
            </w:pPr>
          </w:p>
        </w:tc>
        <w:tc>
          <w:tcPr>
            <w:tcW w:w="603" w:type="pct"/>
            <w:gridSpan w:val="6"/>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sz w:val="16"/>
                <w:szCs w:val="16"/>
              </w:rPr>
            </w:pPr>
          </w:p>
        </w:tc>
        <w:tc>
          <w:tcPr>
            <w:tcW w:w="521" w:type="pct"/>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524"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334" w:type="pct"/>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522" w:type="pc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一、一般公共预算财政拨款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44,783,477.72</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一、一般公共服务支出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33</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二、政府性基金预算财政拨款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二、外交支出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34</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三、国有资本经营财政拨款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三、国防支出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35</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四、公共安全支出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36</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37,551,062.44</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37,551,062.44</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五、教育支出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37</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六、科学技术支出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38</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7</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七、文化旅游体育与传媒支出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39</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8</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八、社会保障和就业支出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40</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9</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九、卫生健康支出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41</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10</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十、节能环保支出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42</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11</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十一、城乡社区支出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43</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12</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十二、农林水支出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44</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13</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十三、交通运输支出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45</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14</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十四、资源勘探工业信息等支出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46</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15</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十五、商业服务业等支出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47</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16</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十六、金融支出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48</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17</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十七、援助其他地区支出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49</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18</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十八、自然资源海洋气象等支出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50</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19</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十九、住房保障支出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51</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20</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二十、粮油物资储备支出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52</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21</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二十一、国有资本经营预算支出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53</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22</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二十二、灾害防治及应急管理支出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54</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23</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二十三、其他支出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55</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b/>
                <w:bCs/>
                <w:sz w:val="13"/>
                <w:szCs w:val="13"/>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24</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二十四、债务还本支出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56</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3"/>
                <w:szCs w:val="13"/>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25</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二十五、债务付息支出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57</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3"/>
                <w:szCs w:val="13"/>
              </w:rPr>
            </w:pP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26</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二十六、抗疫特别国债安排的支出</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58</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本年收入合计</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27</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44,783,477.72</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本年支出合计</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59</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44,580,638.69</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44,580,638.69</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年初财政拨款结转和结余</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28</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374,768.75</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年末财政拨款结转和结余</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60</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577,607.78</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577,607.78</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一般公共预算财政拨款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29</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374,768.75</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61</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政府性基金预算财政拨款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30</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62</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国有资本经营预算财政拨款</w:t>
            </w:r>
          </w:p>
        </w:tc>
        <w:tc>
          <w:tcPr>
            <w:tcW w:w="178"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31</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6"/>
                <w:szCs w:val="16"/>
              </w:rPr>
            </w:pP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63</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965" w:type="pc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总计</w:t>
            </w:r>
          </w:p>
        </w:tc>
        <w:tc>
          <w:tcPr>
            <w:tcW w:w="178" w:type="pct"/>
            <w:gridSpan w:val="2"/>
            <w:tcBorders>
              <w:top w:val="nil"/>
              <w:left w:val="nil"/>
              <w:bottom w:val="single" w:color="000000" w:sz="8"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32</w:t>
            </w:r>
          </w:p>
        </w:tc>
        <w:tc>
          <w:tcPr>
            <w:tcW w:w="60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45,158,246.47</w:t>
            </w:r>
          </w:p>
        </w:tc>
        <w:tc>
          <w:tcPr>
            <w:tcW w:w="1177" w:type="pct"/>
            <w:gridSpan w:val="7"/>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6"/>
                <w:szCs w:val="16"/>
              </w:rPr>
            </w:pPr>
            <w:r>
              <w:rPr>
                <w:rFonts w:hint="eastAsia" w:ascii="宋体" w:hAnsi="宋体" w:cs="宋体"/>
                <w:b/>
                <w:bCs/>
                <w:sz w:val="16"/>
                <w:szCs w:val="16"/>
              </w:rPr>
              <w:t>总计</w:t>
            </w:r>
          </w:p>
        </w:tc>
        <w:tc>
          <w:tcPr>
            <w:tcW w:w="173"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64</w:t>
            </w:r>
          </w:p>
        </w:tc>
        <w:tc>
          <w:tcPr>
            <w:tcW w:w="521"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45,158,246.47</w:t>
            </w:r>
          </w:p>
        </w:tc>
        <w:tc>
          <w:tcPr>
            <w:tcW w:w="524"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45,158,246.47</w:t>
            </w:r>
          </w:p>
        </w:tc>
        <w:tc>
          <w:tcPr>
            <w:tcW w:w="334"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522" w:type="pct"/>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4489" w:type="pct"/>
            <w:gridSpan w:val="29"/>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注：本表反映部门本年度一般公共预算财政拨款、政府性基金预算财政拨款和国有资本经营预算财政拨款的总收支和年末结转结余情况。</w:t>
            </w:r>
          </w:p>
        </w:tc>
        <w:tc>
          <w:tcPr>
            <w:tcW w:w="510" w:type="pct"/>
            <w:tcBorders>
              <w:top w:val="nil"/>
              <w:left w:val="nil"/>
              <w:bottom w:val="nil"/>
              <w:right w:val="nil"/>
            </w:tcBorders>
            <w:tcMar>
              <w:top w:w="0" w:type="dxa"/>
              <w:left w:w="108" w:type="dxa"/>
              <w:bottom w:w="0" w:type="dxa"/>
              <w:right w:w="108" w:type="dxa"/>
            </w:tcMar>
            <w:vAlign w:val="center"/>
          </w:tcPr>
          <w:p>
            <w:pPr>
              <w:jc w:val="left"/>
              <w:rPr>
                <w:rFonts w:hint="eastAsia" w:ascii="宋体" w:hAnsi="宋体" w:cs="宋体"/>
                <w:sz w:val="13"/>
                <w:szCs w:val="13"/>
              </w:rPr>
            </w:pPr>
          </w:p>
        </w:tc>
      </w:tr>
      <w:tr>
        <w:tblPrEx>
          <w:tblCellMar>
            <w:top w:w="0" w:type="dxa"/>
            <w:left w:w="10" w:type="dxa"/>
            <w:bottom w:w="0" w:type="dxa"/>
            <w:right w:w="10" w:type="dxa"/>
          </w:tblCellMar>
        </w:tblPrEx>
        <w:trPr>
          <w:trHeight w:val="390" w:hRule="atLeast"/>
        </w:trPr>
        <w:tc>
          <w:tcPr>
            <w:tcW w:w="5000" w:type="pct"/>
            <w:gridSpan w:val="30"/>
            <w:tcBorders>
              <w:top w:val="nil"/>
              <w:left w:val="nil"/>
              <w:bottom w:val="nil"/>
              <w:right w:val="nil"/>
            </w:tcBorders>
            <w:tcMar>
              <w:top w:w="0" w:type="dxa"/>
              <w:left w:w="108" w:type="dxa"/>
              <w:bottom w:w="0" w:type="dxa"/>
              <w:right w:w="108" w:type="dxa"/>
            </w:tcMar>
            <w:vAlign w:val="bottom"/>
          </w:tcPr>
          <w:p>
            <w:pPr>
              <w:widowControl/>
              <w:rPr>
                <w:rFonts w:hint="eastAsia" w:ascii="宋体" w:hAnsi="宋体" w:cs="宋体"/>
                <w:szCs w:val="21"/>
              </w:rPr>
            </w:pPr>
          </w:p>
          <w:p>
            <w:pPr>
              <w:widowControl/>
              <w:rPr>
                <w:rFonts w:hint="eastAsia" w:ascii="宋体" w:hAnsi="宋体" w:cs="宋体"/>
                <w:szCs w:val="21"/>
              </w:rPr>
            </w:pPr>
          </w:p>
          <w:p>
            <w:pPr>
              <w:numPr>
                <w:ilvl w:val="0"/>
                <w:numId w:val="0"/>
              </w:numPr>
              <w:ind w:firstLine="640"/>
              <w:rPr>
                <w:rFonts w:hint="eastAsia" w:ascii="宋体" w:hAnsi="宋体" w:cs="宋体"/>
                <w:b/>
                <w:bCs/>
                <w:szCs w:val="21"/>
              </w:rPr>
            </w:pPr>
            <w:r>
              <w:rPr>
                <w:rFonts w:hint="eastAsia" w:ascii="仿宋" w:hAnsi="仿宋" w:eastAsia="仿宋" w:cs="仿宋"/>
                <w:b/>
                <w:bCs/>
                <w:sz w:val="32"/>
                <w:szCs w:val="36"/>
              </w:rPr>
              <w:t>五、一般公共预算财政拨款支出决算表（一）</w:t>
            </w:r>
          </w:p>
          <w:p>
            <w:pPr>
              <w:widowControl/>
              <w:jc w:val="center"/>
              <w:rPr>
                <w:rFonts w:hint="eastAsia" w:ascii="宋体" w:hAnsi="宋体" w:cs="宋体"/>
                <w:szCs w:val="21"/>
              </w:rPr>
            </w:pPr>
            <w:r>
              <w:rPr>
                <w:rFonts w:hint="eastAsia" w:ascii="宋体" w:hAnsi="宋体" w:cs="宋体"/>
                <w:szCs w:val="21"/>
              </w:rPr>
              <w:t>一般公共预算财政拨款支出决算表</w:t>
            </w:r>
          </w:p>
        </w:tc>
      </w:tr>
      <w:tr>
        <w:tblPrEx>
          <w:tblCellMar>
            <w:top w:w="0" w:type="dxa"/>
            <w:left w:w="10" w:type="dxa"/>
            <w:bottom w:w="0" w:type="dxa"/>
            <w:right w:w="10" w:type="dxa"/>
          </w:tblCellMar>
        </w:tblPrEx>
        <w:trPr>
          <w:trHeight w:val="255" w:hRule="atLeast"/>
        </w:trPr>
        <w:tc>
          <w:tcPr>
            <w:tcW w:w="1113" w:type="pct"/>
            <w:gridSpan w:val="2"/>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11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14"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681" w:type="pct"/>
            <w:gridSpan w:val="11"/>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75"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73" w:type="pct"/>
            <w:gridSpan w:val="6"/>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31" w:type="pct"/>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公开05表</w:t>
            </w:r>
          </w:p>
        </w:tc>
      </w:tr>
      <w:tr>
        <w:tblPrEx>
          <w:tblCellMar>
            <w:top w:w="0" w:type="dxa"/>
            <w:left w:w="10" w:type="dxa"/>
            <w:bottom w:w="0" w:type="dxa"/>
            <w:right w:w="10" w:type="dxa"/>
          </w:tblCellMar>
        </w:tblPrEx>
        <w:trPr>
          <w:trHeight w:val="255" w:hRule="atLeast"/>
        </w:trPr>
        <w:tc>
          <w:tcPr>
            <w:tcW w:w="1113" w:type="pct"/>
            <w:gridSpan w:val="2"/>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110"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14"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681" w:type="pct"/>
            <w:gridSpan w:val="11"/>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75"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73" w:type="pct"/>
            <w:gridSpan w:val="6"/>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31" w:type="pct"/>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3019" w:type="pct"/>
            <w:gridSpan w:val="17"/>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1980" w:type="pct"/>
            <w:gridSpan w:val="13"/>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本年支出</w:t>
            </w:r>
          </w:p>
        </w:tc>
      </w:tr>
      <w:tr>
        <w:tblPrEx>
          <w:tblCellMar>
            <w:top w:w="0" w:type="dxa"/>
            <w:left w:w="10" w:type="dxa"/>
            <w:bottom w:w="0" w:type="dxa"/>
            <w:right w:w="10" w:type="dxa"/>
          </w:tblCellMar>
        </w:tblPrEx>
        <w:trPr>
          <w:trHeight w:val="308" w:hRule="atLeast"/>
        </w:trPr>
        <w:tc>
          <w:tcPr>
            <w:tcW w:w="1338" w:type="pct"/>
            <w:gridSpan w:val="6"/>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功能分类科目编码</w:t>
            </w:r>
          </w:p>
        </w:tc>
        <w:tc>
          <w:tcPr>
            <w:tcW w:w="1681" w:type="pct"/>
            <w:gridSpan w:val="11"/>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科目名称</w:t>
            </w:r>
          </w:p>
        </w:tc>
        <w:tc>
          <w:tcPr>
            <w:tcW w:w="675" w:type="pct"/>
            <w:gridSpan w:val="5"/>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小计</w:t>
            </w:r>
          </w:p>
        </w:tc>
        <w:tc>
          <w:tcPr>
            <w:tcW w:w="673" w:type="pct"/>
            <w:gridSpan w:val="6"/>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基本支出</w:t>
            </w:r>
          </w:p>
        </w:tc>
        <w:tc>
          <w:tcPr>
            <w:tcW w:w="631"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项目支出</w:t>
            </w:r>
          </w:p>
        </w:tc>
      </w:tr>
      <w:tr>
        <w:tblPrEx>
          <w:tblCellMar>
            <w:top w:w="0" w:type="dxa"/>
            <w:left w:w="10" w:type="dxa"/>
            <w:bottom w:w="0" w:type="dxa"/>
            <w:right w:w="10" w:type="dxa"/>
          </w:tblCellMar>
        </w:tblPrEx>
        <w:trPr>
          <w:trHeight w:val="277" w:hRule="atLeast"/>
        </w:trPr>
        <w:tc>
          <w:tcPr>
            <w:tcW w:w="1338" w:type="pct"/>
            <w:gridSpan w:val="6"/>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681" w:type="pct"/>
            <w:gridSpan w:val="11"/>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75"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73" w:type="pct"/>
            <w:gridSpan w:val="6"/>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31"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338" w:type="pct"/>
            <w:gridSpan w:val="6"/>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1681" w:type="pct"/>
            <w:gridSpan w:val="11"/>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75"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73" w:type="pct"/>
            <w:gridSpan w:val="6"/>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31"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3019" w:type="pct"/>
            <w:gridSpan w:val="17"/>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675"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673" w:type="pct"/>
            <w:gridSpan w:val="6"/>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631"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r>
      <w:tr>
        <w:tblPrEx>
          <w:tblCellMar>
            <w:top w:w="0" w:type="dxa"/>
            <w:left w:w="10" w:type="dxa"/>
            <w:bottom w:w="0" w:type="dxa"/>
            <w:right w:w="10" w:type="dxa"/>
          </w:tblCellMar>
        </w:tblPrEx>
        <w:trPr>
          <w:trHeight w:val="308" w:hRule="atLeast"/>
        </w:trPr>
        <w:tc>
          <w:tcPr>
            <w:tcW w:w="3019" w:type="pct"/>
            <w:gridSpan w:val="17"/>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44,580,638.69</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41,453,498.69</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b/>
                <w:bCs/>
                <w:sz w:val="16"/>
                <w:szCs w:val="16"/>
              </w:rPr>
            </w:pPr>
            <w:r>
              <w:rPr>
                <w:rFonts w:hint="eastAsia" w:ascii="宋体" w:hAnsi="宋体" w:cs="宋体"/>
                <w:b/>
                <w:bCs/>
                <w:sz w:val="16"/>
                <w:szCs w:val="16"/>
              </w:rPr>
              <w:t>3,127,140.00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公共安全支出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37,551,062.44</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34,423,922.44</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公安</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37,551,062.44</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34,423,922.44</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3,127,140.00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行政运行</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36,121,482.44</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34,423,922.44</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1,697,560.00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2040202</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一般行政管理事务</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1,265,500.00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2040220</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执法办案</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164,080.00</w:t>
            </w: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社会保障和就业支出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行政事业单位养老支出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3,157,941.69</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行政单位离退休</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328,800.00</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2080505</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机关事业单位基本养老保险缴费支出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2,829,141.69</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卫生健康支出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行政事业单位医疗</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1,201,474.56</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行政单位医疗</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1,082,413.33</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2101102</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事业单位医疗</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119,061.23</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住房保障支出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住房改革支出</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2,670,160.00</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2210201</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住房公积金</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2,332,693.24</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338" w:type="pct"/>
            <w:gridSpan w:val="6"/>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2210202</w:t>
            </w:r>
          </w:p>
        </w:tc>
        <w:tc>
          <w:tcPr>
            <w:tcW w:w="1681" w:type="pct"/>
            <w:gridSpan w:val="11"/>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 xml:space="preserve">  提租补贴</w:t>
            </w:r>
          </w:p>
        </w:tc>
        <w:tc>
          <w:tcPr>
            <w:tcW w:w="675"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673"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337,466.76</w:t>
            </w:r>
          </w:p>
        </w:tc>
        <w:tc>
          <w:tcPr>
            <w:tcW w:w="631"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30"/>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注：本表反映部门本年度一般公共预算财政拨款支出情况。</w:t>
            </w:r>
          </w:p>
        </w:tc>
      </w:tr>
      <w:tr>
        <w:tblPrEx>
          <w:tblCellMar>
            <w:top w:w="0" w:type="dxa"/>
            <w:left w:w="10" w:type="dxa"/>
            <w:bottom w:w="0" w:type="dxa"/>
            <w:right w:w="10" w:type="dxa"/>
          </w:tblCellMar>
        </w:tblPrEx>
        <w:trPr>
          <w:trHeight w:val="90" w:hRule="atLeast"/>
        </w:trPr>
        <w:tc>
          <w:tcPr>
            <w:tcW w:w="5000" w:type="pct"/>
            <w:gridSpan w:val="30"/>
            <w:tcBorders>
              <w:top w:val="nil"/>
              <w:left w:val="nil"/>
              <w:bottom w:val="nil"/>
              <w:right w:val="nil"/>
            </w:tcBorders>
            <w:tcMar>
              <w:top w:w="0" w:type="dxa"/>
              <w:left w:w="108" w:type="dxa"/>
              <w:bottom w:w="0" w:type="dxa"/>
              <w:right w:w="108" w:type="dxa"/>
            </w:tcMar>
            <w:vAlign w:val="bottom"/>
          </w:tcPr>
          <w:p>
            <w:pPr>
              <w:widowControl/>
              <w:rPr>
                <w:rFonts w:hint="eastAsia" w:ascii="宋体" w:hAnsi="宋体" w:cs="宋体"/>
                <w:szCs w:val="21"/>
              </w:rPr>
            </w:pPr>
            <w:r>
              <mc:AlternateContent>
                <mc:Choice Requires="wps">
                  <w:drawing>
                    <wp:anchor distT="0" distB="0" distL="114300" distR="114300" simplePos="0" relativeHeight="251659264" behindDoc="0" locked="0" layoutInCell="1" allowOverlap="1">
                      <wp:simplePos x="0" y="0"/>
                      <wp:positionH relativeFrom="page">
                        <wp:posOffset>1463040</wp:posOffset>
                      </wp:positionH>
                      <wp:positionV relativeFrom="page">
                        <wp:posOffset>-4171950</wp:posOffset>
                      </wp:positionV>
                      <wp:extent cx="10692130" cy="7560310"/>
                      <wp:effectExtent l="0" t="0" r="0" b="0"/>
                      <wp:wrapSquare wrapText="bothSides"/>
                      <wp:docPr id="1027" name="文本框3"/>
                      <wp:cNvGraphicFramePr/>
                      <a:graphic xmlns:a="http://schemas.openxmlformats.org/drawingml/2006/main">
                        <a:graphicData uri="http://schemas.microsoft.com/office/word/2010/wordprocessingShape">
                          <wps:wsp>
                            <wps:cNvSpPr/>
                            <wps:spPr>
                              <a:xfrm>
                                <a:off x="0" y="0"/>
                                <a:ext cx="10692130" cy="7560310"/>
                              </a:xfrm>
                              <a:prstGeom prst="rect">
                                <a:avLst/>
                              </a:prstGeom>
                              <a:ln>
                                <a:noFill/>
                              </a:ln>
                            </wps:spPr>
                            <wps:txbx>
                              <w:txbxContent>
                                <w:tbl>
                                  <w:tblPr>
                                    <w:tblStyle w:val="10"/>
                                    <w:tblW w:w="0" w:type="auto"/>
                                    <w:tblInd w:w="0" w:type="dxa"/>
                                    <w:tblLayout w:type="autofit"/>
                                    <w:tblCellMar>
                                      <w:top w:w="0" w:type="dxa"/>
                                      <w:left w:w="10" w:type="dxa"/>
                                      <w:bottom w:w="0" w:type="dxa"/>
                                      <w:right w:w="10" w:type="dxa"/>
                                    </w:tblCellMar>
                                  </w:tblPr>
                                  <w:tblGrid>
                                    <w:gridCol w:w="696"/>
                                    <w:gridCol w:w="1505"/>
                                    <w:gridCol w:w="1191"/>
                                    <w:gridCol w:w="1226"/>
                                    <w:gridCol w:w="696"/>
                                    <w:gridCol w:w="1155"/>
                                    <w:gridCol w:w="1116"/>
                                    <w:gridCol w:w="1186"/>
                                    <w:gridCol w:w="696"/>
                                    <w:gridCol w:w="1216"/>
                                    <w:gridCol w:w="1116"/>
                                    <w:gridCol w:w="1186"/>
                                    <w:gridCol w:w="793"/>
                                    <w:gridCol w:w="938"/>
                                    <w:gridCol w:w="853"/>
                                    <w:gridCol w:w="441"/>
                                    <w:gridCol w:w="552"/>
                                    <w:gridCol w:w="481"/>
                                  </w:tblGrid>
                                  <w:tr>
                                    <w:tblPrEx>
                                      <w:tblCellMar>
                                        <w:top w:w="0" w:type="dxa"/>
                                        <w:left w:w="10" w:type="dxa"/>
                                        <w:bottom w:w="0" w:type="dxa"/>
                                        <w:right w:w="10" w:type="dxa"/>
                                      </w:tblCellMar>
                                    </w:tblPrEx>
                                    <w:trPr>
                                      <w:trHeight w:val="90" w:hRule="atLeast"/>
                                    </w:trPr>
                                    <w:tc>
                                      <w:tcPr>
                                        <w:tcW w:w="0" w:type="auto"/>
                                        <w:gridSpan w:val="18"/>
                                        <w:tcBorders>
                                          <w:top w:val="nil"/>
                                          <w:left w:val="nil"/>
                                          <w:bottom w:val="nil"/>
                                          <w:right w:val="nil"/>
                                        </w:tcBorders>
                                        <w:tcMar>
                                          <w:top w:w="0" w:type="dxa"/>
                                          <w:left w:w="108" w:type="dxa"/>
                                          <w:bottom w:w="0" w:type="dxa"/>
                                          <w:right w:w="108" w:type="dxa"/>
                                        </w:tcMar>
                                        <w:vAlign w:val="bottom"/>
                                      </w:tcPr>
                                      <w:p>
                                        <w:pPr>
                                          <w:widowControl/>
                                          <w:rPr>
                                            <w:rFonts w:hint="eastAsia" w:ascii="宋体" w:hAnsi="宋体" w:cs="宋体"/>
                                            <w:sz w:val="15"/>
                                            <w:szCs w:val="15"/>
                                          </w:rPr>
                                        </w:pPr>
                                      </w:p>
                                      <w:p>
                                        <w:pPr>
                                          <w:numPr>
                                            <w:ilvl w:val="0"/>
                                            <w:numId w:val="0"/>
                                          </w:numPr>
                                          <w:ind w:firstLine="1298" w:firstLineChars="404"/>
                                          <w:rPr>
                                            <w:rFonts w:hint="eastAsia" w:ascii="宋体" w:hAnsi="宋体" w:cs="宋体"/>
                                            <w:b/>
                                            <w:bCs/>
                                            <w:sz w:val="15"/>
                                            <w:szCs w:val="15"/>
                                          </w:rPr>
                                        </w:pPr>
                                        <w:r>
                                          <w:rPr>
                                            <w:rFonts w:hint="eastAsia" w:ascii="仿宋" w:hAnsi="仿宋" w:eastAsia="仿宋" w:cs="仿宋"/>
                                            <w:b/>
                                            <w:bCs/>
                                            <w:sz w:val="32"/>
                                            <w:szCs w:val="36"/>
                                          </w:rPr>
                                          <w:t>六、一般公共预算财政拨款支出决算表（二）</w:t>
                                        </w:r>
                                      </w:p>
                                      <w:p>
                                        <w:pPr>
                                          <w:widowControl/>
                                          <w:jc w:val="center"/>
                                          <w:rPr>
                                            <w:rFonts w:hint="eastAsia" w:ascii="宋体" w:hAnsi="宋体" w:cs="宋体"/>
                                            <w:sz w:val="15"/>
                                            <w:szCs w:val="15"/>
                                          </w:rPr>
                                        </w:pPr>
                                        <w:r>
                                          <w:rPr>
                                            <w:rFonts w:hint="eastAsia" w:ascii="宋体" w:hAnsi="宋体" w:cs="宋体"/>
                                            <w:szCs w:val="21"/>
                                          </w:rPr>
                                          <w:t>一般公共预算财政拨款基本支出决算表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rPr>
                                            <w:rFonts w:hint="eastAsia"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5"/>
                                            <w:szCs w:val="15"/>
                                          </w:rPr>
                                        </w:pPr>
                                        <w:r>
                                          <w:rPr>
                                            <w:rFonts w:hint="eastAsia" w:ascii="宋体" w:hAnsi="宋体" w:cs="宋体"/>
                                            <w:sz w:val="15"/>
                                            <w:szCs w:val="15"/>
                                          </w:rPr>
                                          <w:t>公开06表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 w:val="15"/>
                                            <w:szCs w:val="15"/>
                                          </w:rPr>
                                        </w:pPr>
                                        <w:r>
                                          <w:rPr>
                                            <w:rFonts w:hint="eastAsia" w:ascii="宋体" w:hAnsi="宋体" w:cs="宋体"/>
                                            <w:sz w:val="15"/>
                                            <w:szCs w:val="15"/>
                                          </w:rPr>
                                          <w:t>部门：</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r>
                                          <w:rPr>
                                            <w:rFonts w:hint="eastAsia" w:ascii="宋体" w:hAnsi="宋体" w:cs="宋体"/>
                                            <w:sz w:val="15"/>
                                            <w:szCs w:val="15"/>
                                          </w:rPr>
                                          <w:t>大同市公安局云泉分局</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5"/>
                                            <w:szCs w:val="15"/>
                                          </w:rPr>
                                        </w:pPr>
                                        <w:r>
                                          <w:rPr>
                                            <w:rFonts w:hint="eastAsia" w:ascii="宋体" w:hAnsi="宋体" w:cs="宋体"/>
                                            <w:sz w:val="15"/>
                                            <w:szCs w:val="15"/>
                                          </w:rPr>
                                          <w:t>金额单位：元</w:t>
                                        </w:r>
                                      </w:p>
                                    </w:tc>
                                  </w:tr>
                                  <w:tr>
                                    <w:tblPrEx>
                                      <w:tblCellMar>
                                        <w:top w:w="0" w:type="dxa"/>
                                        <w:left w:w="10" w:type="dxa"/>
                                        <w:bottom w:w="0" w:type="dxa"/>
                                        <w:right w:w="1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人员经费</w:t>
                                        </w:r>
                                      </w:p>
                                    </w:tc>
                                    <w:tc>
                                      <w:tcPr>
                                        <w:tcW w:w="0" w:type="auto"/>
                                        <w:gridSpan w:val="14"/>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公用经费</w:t>
                                        </w:r>
                                      </w:p>
                                    </w:tc>
                                  </w:tr>
                                  <w:tr>
                                    <w:tblPrEx>
                                      <w:tblCellMar>
                                        <w:top w:w="0" w:type="dxa"/>
                                        <w:left w:w="10" w:type="dxa"/>
                                        <w:bottom w:w="0" w:type="dxa"/>
                                        <w:right w:w="1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r>
                                  <w:tr>
                                    <w:tblPrEx>
                                      <w:tblCellMar>
                                        <w:top w:w="0" w:type="dxa"/>
                                        <w:left w:w="10" w:type="dxa"/>
                                        <w:bottom w:w="0" w:type="dxa"/>
                                        <w:right w:w="1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工资福利支出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31,982,305.24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30,284,745.24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商品和服务支出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9,012,716.45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7,583,136.45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债务利息及费用支出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地上附着物和青苗补偿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基本工资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11,075,093.70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11,075,093.70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268,316.42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268,316.42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国内债务付息</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拆迁补偿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津贴补贴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11,063,595.01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11,063,595.01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印刷费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200,000.00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200,000.00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国外债务付息</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奖金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798,320.00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798,320.00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咨询费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国内债务发行费用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其他交通工具购置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伙食补助费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手续费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国外债务发行费用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31021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文物和陈列品购置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绩效工资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975,189.08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975,189.08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资本性支出（基本建设）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31022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无形资产购置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机关事业单位基本养老保险缴费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2,829,141.69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2,829,141.69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电费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房屋构筑物构建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职业年金缴费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邮电费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对企业补助（基本建设）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职工基本医疗保险缴费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1,201,474.56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1,201,474.56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取暖费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31101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资本金注入</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公务员医疗补助缴费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物业管理费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4,480.00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4,480.00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基础设施建设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31199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其他社会保障缴费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279,377.96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4,377.96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差旅费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2,113,890.74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1,613,890.74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大型修缮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住房公积金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2,332,693.24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2,332,693.24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因公出国（境）费用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信息网络及软件购置更新</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资本金注入</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医疗费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维修（护）费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663,420.00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663,420.00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物资储备</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政府投资基金股权投资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其他工资福利支出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1,427,420.00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4,860.00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租赁费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31204</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费用补贴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对个人和家庭的补助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2,050,597.00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2,050,597.00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会议费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30919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其他交通工具购置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31205</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利息补贴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离休费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培训费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30921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文物和陈列品购置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退休费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328,800.00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328,800.00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公务接待费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30922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无形资产购置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对社会保障基金补助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退职（役）费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专用材料费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对社会保障基金补助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1075"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抚恤金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被装购置费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284,317.00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284,317.00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1,535,020.00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1,535,020.00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补充全国社会保障基金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生活补助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专用燃料费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房屋构筑物构建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31304</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对机关事业单位职业年金的补助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救济费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劳务费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711,380.00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131,800.00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381,020.00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381,020.00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其他支出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医疗费补助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委托业务费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469,000.00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269,000.00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1,154,000.00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1,154,000.00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39906</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赠与</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助学金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工会经费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158,500.00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158,500.00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基础设施建设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39907</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国家赔偿费用支出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奖励金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1,721,797.00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1,721,797.00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福利费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612,881.78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612,881.78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大型修缮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39908</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对民间非营利组织和群众性自治组织补贴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个人农业生产补贴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30231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公务用车运行维护费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1,351,135.80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1,351,135.80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信息网络及软件购置更新</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代缴社会保险费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30239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1,680,229.00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1,680,229.00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物资储备</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其他对个人和家庭的补助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30240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税金及附加费用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土地补偿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其他商品和服务支出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391,935.71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241,935.71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安置补助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gridAfter w:val="1"/>
                                      <w:wAfter w:w="0" w:type="auto"/>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人员经费合计</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34,032,902.24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32,335,342.24</w:t>
                                        </w:r>
                                      </w:p>
                                    </w:tc>
                                    <w:tc>
                                      <w:tcPr>
                                        <w:tcW w:w="0" w:type="auto"/>
                                        <w:gridSpan w:val="8"/>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公用经费合计</w:t>
                                        </w: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10,547,736.45</w:t>
                                        </w:r>
                                      </w:p>
                                    </w:tc>
                                    <w:tc>
                                      <w:tcPr>
                                        <w:tcW w:w="0" w:type="auto"/>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9,118,156.45</w:t>
                                        </w:r>
                                      </w:p>
                                    </w:tc>
                                  </w:tr>
                                  <w:tr>
                                    <w:tblPrEx>
                                      <w:tblCellMar>
                                        <w:top w:w="0" w:type="dxa"/>
                                        <w:left w:w="10" w:type="dxa"/>
                                        <w:bottom w:w="0" w:type="dxa"/>
                                        <w:right w:w="10" w:type="dxa"/>
                                      </w:tblCellMar>
                                    </w:tblPrEx>
                                    <w:trPr>
                                      <w:trHeight w:val="308" w:hRule="atLeast"/>
                                    </w:trPr>
                                    <w:tc>
                                      <w:tcPr>
                                        <w:tcW w:w="0" w:type="auto"/>
                                        <w:gridSpan w:val="18"/>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注：本表反映部门本年度一般公共预算财政拨款支出明细情况（其中包括基本支出明细情况）。</w:t>
                                        </w:r>
                                      </w:p>
                                    </w:tc>
                                  </w:tr>
                                </w:tbl>
                                <w:p/>
                              </w:txbxContent>
                            </wps:txbx>
                            <wps:bodyPr wrap="none" lIns="0" tIns="0" rIns="6985" bIns="6985">
                              <a:spAutoFit/>
                            </wps:bodyPr>
                          </wps:wsp>
                        </a:graphicData>
                      </a:graphic>
                    </wp:anchor>
                  </w:drawing>
                </mc:Choice>
                <mc:Fallback>
                  <w:pict>
                    <v:rect id="文本框3" o:spid="_x0000_s1026" o:spt="1" style="position:absolute;left:0pt;margin-left:115.2pt;margin-top:-328.5pt;height:595.3pt;width:841.9pt;mso-position-horizontal-relative:page;mso-position-vertical-relative:page;mso-wrap-distance-bottom:0pt;mso-wrap-distance-left:9pt;mso-wrap-distance-right:9pt;mso-wrap-distance-top:0pt;mso-wrap-style:none;z-index:251659264;mso-width-relative:page;mso-height-relative:page;" filled="f" stroked="f" coordsize="21600,21600" o:gfxdata="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NjvZbdAAAADQEAAA8AAAAAAAAAAQAgAAAAIgAAAGRy&#10;cy9kb3ducmV2LnhtbFBLAQIUABQAAAAIAIdO4kBj5kNFxwEAAIEDAAAOAAAAAAAAAAEAIAAAACwB&#10;AABkcnMvZTJvRG9jLnhtbFBLBQYAAAAABgAGAFkBAABlBQAAAAA=&#10;">
                      <v:fill on="f" focussize="0,0"/>
                      <v:stroke on="f"/>
                      <v:imagedata o:title=""/>
                      <o:lock v:ext="edit" aspectratio="f"/>
                      <v:textbox inset="0mm,0mm,11,11" style="mso-fit-shape-to-text:t;">
                        <w:txbxContent>
                          <w:tbl>
                            <w:tblPr>
                              <w:tblStyle w:val="10"/>
                              <w:tblW w:w="0" w:type="auto"/>
                              <w:tblInd w:w="0" w:type="dxa"/>
                              <w:tblLayout w:type="autofit"/>
                              <w:tblCellMar>
                                <w:top w:w="0" w:type="dxa"/>
                                <w:left w:w="10" w:type="dxa"/>
                                <w:bottom w:w="0" w:type="dxa"/>
                                <w:right w:w="10" w:type="dxa"/>
                              </w:tblCellMar>
                            </w:tblPr>
                            <w:tblGrid>
                              <w:gridCol w:w="696"/>
                              <w:gridCol w:w="1505"/>
                              <w:gridCol w:w="1191"/>
                              <w:gridCol w:w="1226"/>
                              <w:gridCol w:w="696"/>
                              <w:gridCol w:w="1155"/>
                              <w:gridCol w:w="1116"/>
                              <w:gridCol w:w="1186"/>
                              <w:gridCol w:w="696"/>
                              <w:gridCol w:w="1216"/>
                              <w:gridCol w:w="1116"/>
                              <w:gridCol w:w="1186"/>
                              <w:gridCol w:w="793"/>
                              <w:gridCol w:w="938"/>
                              <w:gridCol w:w="853"/>
                              <w:gridCol w:w="441"/>
                              <w:gridCol w:w="552"/>
                              <w:gridCol w:w="481"/>
                            </w:tblGrid>
                            <w:tr>
                              <w:tblPrEx>
                                <w:tblCellMar>
                                  <w:top w:w="0" w:type="dxa"/>
                                  <w:left w:w="10" w:type="dxa"/>
                                  <w:bottom w:w="0" w:type="dxa"/>
                                  <w:right w:w="10" w:type="dxa"/>
                                </w:tblCellMar>
                              </w:tblPrEx>
                              <w:trPr>
                                <w:trHeight w:val="90" w:hRule="atLeast"/>
                              </w:trPr>
                              <w:tc>
                                <w:tcPr>
                                  <w:tcW w:w="0" w:type="auto"/>
                                  <w:gridSpan w:val="18"/>
                                  <w:tcBorders>
                                    <w:top w:val="nil"/>
                                    <w:left w:val="nil"/>
                                    <w:bottom w:val="nil"/>
                                    <w:right w:val="nil"/>
                                  </w:tcBorders>
                                  <w:tcMar>
                                    <w:top w:w="0" w:type="dxa"/>
                                    <w:left w:w="108" w:type="dxa"/>
                                    <w:bottom w:w="0" w:type="dxa"/>
                                    <w:right w:w="108" w:type="dxa"/>
                                  </w:tcMar>
                                  <w:vAlign w:val="bottom"/>
                                </w:tcPr>
                                <w:p>
                                  <w:pPr>
                                    <w:widowControl/>
                                    <w:rPr>
                                      <w:rFonts w:hint="eastAsia" w:ascii="宋体" w:hAnsi="宋体" w:cs="宋体"/>
                                      <w:sz w:val="15"/>
                                      <w:szCs w:val="15"/>
                                    </w:rPr>
                                  </w:pPr>
                                </w:p>
                                <w:p>
                                  <w:pPr>
                                    <w:numPr>
                                      <w:ilvl w:val="0"/>
                                      <w:numId w:val="0"/>
                                    </w:numPr>
                                    <w:ind w:firstLine="1298" w:firstLineChars="404"/>
                                    <w:rPr>
                                      <w:rFonts w:hint="eastAsia" w:ascii="宋体" w:hAnsi="宋体" w:cs="宋体"/>
                                      <w:b/>
                                      <w:bCs/>
                                      <w:sz w:val="15"/>
                                      <w:szCs w:val="15"/>
                                    </w:rPr>
                                  </w:pPr>
                                  <w:r>
                                    <w:rPr>
                                      <w:rFonts w:hint="eastAsia" w:ascii="仿宋" w:hAnsi="仿宋" w:eastAsia="仿宋" w:cs="仿宋"/>
                                      <w:b/>
                                      <w:bCs/>
                                      <w:sz w:val="32"/>
                                      <w:szCs w:val="36"/>
                                    </w:rPr>
                                    <w:t>六、一般公共预算财政拨款支出决算表（二）</w:t>
                                  </w:r>
                                </w:p>
                                <w:p>
                                  <w:pPr>
                                    <w:widowControl/>
                                    <w:jc w:val="center"/>
                                    <w:rPr>
                                      <w:rFonts w:hint="eastAsia" w:ascii="宋体" w:hAnsi="宋体" w:cs="宋体"/>
                                      <w:sz w:val="15"/>
                                      <w:szCs w:val="15"/>
                                    </w:rPr>
                                  </w:pPr>
                                  <w:r>
                                    <w:rPr>
                                      <w:rFonts w:hint="eastAsia" w:ascii="宋体" w:hAnsi="宋体" w:cs="宋体"/>
                                      <w:szCs w:val="21"/>
                                    </w:rPr>
                                    <w:t>一般公共预算财政拨款基本支出决算表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rPr>
                                      <w:rFonts w:hint="eastAsia"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5"/>
                                      <w:szCs w:val="15"/>
                                    </w:rPr>
                                  </w:pPr>
                                  <w:r>
                                    <w:rPr>
                                      <w:rFonts w:hint="eastAsia" w:ascii="宋体" w:hAnsi="宋体" w:cs="宋体"/>
                                      <w:sz w:val="15"/>
                                      <w:szCs w:val="15"/>
                                    </w:rPr>
                                    <w:t>公开06表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 w:val="15"/>
                                      <w:szCs w:val="15"/>
                                    </w:rPr>
                                  </w:pPr>
                                  <w:r>
                                    <w:rPr>
                                      <w:rFonts w:hint="eastAsia" w:ascii="宋体" w:hAnsi="宋体" w:cs="宋体"/>
                                      <w:sz w:val="15"/>
                                      <w:szCs w:val="15"/>
                                    </w:rPr>
                                    <w:t>部门：</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r>
                                    <w:rPr>
                                      <w:rFonts w:hint="eastAsia" w:ascii="宋体" w:hAnsi="宋体" w:cs="宋体"/>
                                      <w:sz w:val="15"/>
                                      <w:szCs w:val="15"/>
                                    </w:rPr>
                                    <w:t>大同市公安局云泉分局</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5"/>
                                      <w:szCs w:val="15"/>
                                    </w:rPr>
                                  </w:pPr>
                                </w:p>
                              </w:tc>
                              <w:tc>
                                <w:tcPr>
                                  <w:tcW w:w="0" w:type="auto"/>
                                  <w:gridSpan w:val="2"/>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5"/>
                                      <w:szCs w:val="15"/>
                                    </w:rPr>
                                  </w:pPr>
                                  <w:r>
                                    <w:rPr>
                                      <w:rFonts w:hint="eastAsia" w:ascii="宋体" w:hAnsi="宋体" w:cs="宋体"/>
                                      <w:sz w:val="15"/>
                                      <w:szCs w:val="15"/>
                                    </w:rPr>
                                    <w:t>金额单位：元</w:t>
                                  </w:r>
                                </w:p>
                              </w:tc>
                            </w:tr>
                            <w:tr>
                              <w:tblPrEx>
                                <w:tblCellMar>
                                  <w:top w:w="0" w:type="dxa"/>
                                  <w:left w:w="10" w:type="dxa"/>
                                  <w:bottom w:w="0" w:type="dxa"/>
                                  <w:right w:w="1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人员经费</w:t>
                                  </w:r>
                                </w:p>
                              </w:tc>
                              <w:tc>
                                <w:tcPr>
                                  <w:tcW w:w="0" w:type="auto"/>
                                  <w:gridSpan w:val="14"/>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公用经费</w:t>
                                  </w:r>
                                </w:p>
                              </w:tc>
                            </w:tr>
                            <w:tr>
                              <w:tblPrEx>
                                <w:tblCellMar>
                                  <w:top w:w="0" w:type="dxa"/>
                                  <w:left w:w="10" w:type="dxa"/>
                                  <w:bottom w:w="0" w:type="dxa"/>
                                  <w:right w:w="1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科目编码</w:t>
                                  </w:r>
                                </w:p>
                              </w:tc>
                              <w:tc>
                                <w:tcPr>
                                  <w:tcW w:w="0" w:type="auto"/>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科目名称</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金额</w:t>
                                  </w:r>
                                </w:p>
                              </w:tc>
                              <w:tc>
                                <w:tcPr>
                                  <w:tcW w:w="0" w:type="auto"/>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其中：基本支出</w:t>
                                  </w:r>
                                </w:p>
                              </w:tc>
                            </w:tr>
                            <w:tr>
                              <w:tblPrEx>
                                <w:tblCellMar>
                                  <w:top w:w="0" w:type="dxa"/>
                                  <w:left w:w="10" w:type="dxa"/>
                                  <w:bottom w:w="0" w:type="dxa"/>
                                  <w:right w:w="1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工资福利支出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31,982,305.24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30,284,745.24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商品和服务支出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9,012,716.45</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7,583,136.45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债务利息及费用支出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地上附着物和青苗补偿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基本工资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11,075,093.70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11,075,093.70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268,316.42</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268,316.42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国内债务付息</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拆迁补偿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津贴补贴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11,063,595.01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11,063,595.01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印刷费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200,000.00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200,000.00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国外债务付息</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奖金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798,320.00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798,320.00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咨询费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国内债务发行费用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其他交通工具购置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伙食补助费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手续费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30704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国外债务发行费用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31021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文物和陈列品购置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绩效工资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975,189.08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975,189.08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资本性支出（基本建设）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31022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无形资产购置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机关事业单位基本养老保险缴费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2,829,141.69</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2,829,141.69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电费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房屋构筑物构建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职业年金缴费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邮电费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100,000.00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对企业补助（基本建设）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职工基本医疗保险缴费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1,201,474.56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1,201,474.56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取暖费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31101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资本金注入</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公务员医疗补助缴费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物业管理费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4,480.00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4,480.00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基础设施建设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31199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其他社会保障缴费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279,377.96</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4,377.96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差旅费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2,113,890.74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1,613,890.74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大型修缮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住房公积金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2,332,693.24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2,332,693.24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因公出国（境）费用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信息网络及软件购置更新</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31201</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资本金注入</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30114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医疗费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维修（护）费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663,420.00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663,420.00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物资储备</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政府投资基金股权投资</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30199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其他工资福利支出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1,427,420.00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4,860.00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租赁费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30913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31204</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费用补贴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对个人和家庭的补助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2,050,597.00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2,050,597.00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会议费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30919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其他交通工具购置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31205</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利息补贴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离休费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培训费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30921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文物和陈列品购置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31299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其他对企业补助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退休费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328,800.00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328,800.00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公务接待费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30922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无形资产购置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对社会保障基金补助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退职（役）费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30218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专用材料费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30999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31302</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对社会保障基金补助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1075"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抚恤金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被装购置费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284,317.00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284,317.00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资本性支出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1,535,020.00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1,535,020.00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31303</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补充全国社会保障基金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生活补助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专用燃料费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房屋构筑物构建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31304</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对机关事业单位职业年金的补助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cs="宋体"/>
                                      <w:sz w:val="15"/>
                                      <w:szCs w:val="15"/>
                                    </w:rPr>
                                  </w:pPr>
                                  <w:r>
                                    <w:rPr>
                                      <w:rFonts w:hint="eastAsia" w:ascii="宋体" w:hAnsi="宋体" w:cs="宋体"/>
                                      <w:sz w:val="15"/>
                                      <w:szCs w:val="15"/>
                                    </w:rPr>
                                    <w:t>────</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救济费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劳务费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711,380.00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131,800.00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办公设备购置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381,020.00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381,020.00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399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5"/>
                                      <w:szCs w:val="15"/>
                                    </w:rPr>
                                  </w:pPr>
                                  <w:r>
                                    <w:rPr>
                                      <w:rFonts w:hint="eastAsia" w:ascii="宋体" w:hAnsi="宋体" w:cs="宋体"/>
                                      <w:b/>
                                      <w:bCs/>
                                      <w:sz w:val="15"/>
                                      <w:szCs w:val="15"/>
                                    </w:rPr>
                                    <w:t>其他支出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医疗费补助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委托业务费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469,000.00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269,000.00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专用设备购置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1,154,000.00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1,154,000.00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39906</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赠与</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助学金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工会经费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158,500.00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158,500.00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基础设施建设</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39907</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国家赔偿费用支出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奖励金</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1,721,797.00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1,721,797.00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30229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福利费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612,881.78</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612,881.78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大型修缮</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39908</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对民间非营利组织和群众性自治组织补贴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个人农业生产补贴</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30231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公务用车运行维护费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1,351,135.80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1,351,135.80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信息网络及软件购置更新</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39999</w:t>
                                  </w: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代缴社会保险费</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30239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其他交通费用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1,680,229.00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1,680,229.00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物资储备</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30399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其他对个人和家庭的补助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30240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税金及附加费用</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31009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土地补偿</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30299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其他商品和服务支出</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391,935.71</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241,935.71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31010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 xml:space="preserve">  安置补助</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left"/>
                                    <w:rPr>
                                      <w:rFonts w:hint="eastAsia" w:ascii="宋体" w:hAnsi="宋体" w:cs="宋体"/>
                                      <w:sz w:val="15"/>
                                      <w:szCs w:val="15"/>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5"/>
                                      <w:szCs w:val="15"/>
                                    </w:rPr>
                                  </w:pPr>
                                </w:p>
                              </w:tc>
                            </w:tr>
                            <w:tr>
                              <w:tblPrEx>
                                <w:tblCellMar>
                                  <w:top w:w="0" w:type="dxa"/>
                                  <w:left w:w="10" w:type="dxa"/>
                                  <w:bottom w:w="0" w:type="dxa"/>
                                  <w:right w:w="10" w:type="dxa"/>
                                </w:tblCellMar>
                              </w:tblPrEx>
                              <w:trPr>
                                <w:gridAfter w:val="1"/>
                                <w:wAfter w:w="0" w:type="auto"/>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人员经费合计</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34,032,902.24</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32,335,342.24</w:t>
                                  </w:r>
                                </w:p>
                              </w:tc>
                              <w:tc>
                                <w:tcPr>
                                  <w:tcW w:w="0" w:type="auto"/>
                                  <w:gridSpan w:val="8"/>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b/>
                                      <w:bCs/>
                                      <w:sz w:val="15"/>
                                      <w:szCs w:val="15"/>
                                    </w:rPr>
                                  </w:pPr>
                                  <w:r>
                                    <w:rPr>
                                      <w:rFonts w:hint="eastAsia" w:ascii="宋体" w:hAnsi="宋体" w:cs="宋体"/>
                                      <w:b/>
                                      <w:bCs/>
                                      <w:sz w:val="15"/>
                                      <w:szCs w:val="15"/>
                                    </w:rPr>
                                    <w:t>公用经费合计</w:t>
                                  </w:r>
                                </w:p>
                              </w:tc>
                              <w:tc>
                                <w:tcPr>
                                  <w:tcW w:w="0" w:type="auto"/>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10,547,736.45</w:t>
                                  </w:r>
                                </w:p>
                              </w:tc>
                              <w:tc>
                                <w:tcPr>
                                  <w:tcW w:w="0" w:type="auto"/>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5"/>
                                      <w:szCs w:val="15"/>
                                    </w:rPr>
                                  </w:pPr>
                                  <w:r>
                                    <w:rPr>
                                      <w:rFonts w:hint="eastAsia" w:ascii="宋体" w:hAnsi="宋体" w:cs="宋体"/>
                                      <w:sz w:val="15"/>
                                      <w:szCs w:val="15"/>
                                    </w:rPr>
                                    <w:t>9,118,156.45</w:t>
                                  </w:r>
                                </w:p>
                              </w:tc>
                            </w:tr>
                            <w:tr>
                              <w:tblPrEx>
                                <w:tblCellMar>
                                  <w:top w:w="0" w:type="dxa"/>
                                  <w:left w:w="10" w:type="dxa"/>
                                  <w:bottom w:w="0" w:type="dxa"/>
                                  <w:right w:w="10" w:type="dxa"/>
                                </w:tblCellMar>
                              </w:tblPrEx>
                              <w:trPr>
                                <w:trHeight w:val="308" w:hRule="atLeast"/>
                              </w:trPr>
                              <w:tc>
                                <w:tcPr>
                                  <w:tcW w:w="0" w:type="auto"/>
                                  <w:gridSpan w:val="18"/>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5"/>
                                      <w:szCs w:val="15"/>
                                    </w:rPr>
                                  </w:pPr>
                                  <w:r>
                                    <w:rPr>
                                      <w:rFonts w:hint="eastAsia" w:ascii="宋体" w:hAnsi="宋体" w:cs="宋体"/>
                                      <w:sz w:val="15"/>
                                      <w:szCs w:val="15"/>
                                    </w:rPr>
                                    <w:t>注：本表反映部门本年度一般公共预算财政拨款支出明细情况（其中包括基本支出明细情况）。</w:t>
                                  </w:r>
                                </w:p>
                              </w:tc>
                            </w:tr>
                          </w:tbl>
                          <w:p/>
                        </w:txbxContent>
                      </v:textbox>
                      <w10:wrap type="square"/>
                    </v:rect>
                  </w:pict>
                </mc:Fallback>
              </mc:AlternateContent>
            </w:r>
          </w:p>
          <w:p>
            <w:pPr>
              <w:numPr>
                <w:ilvl w:val="0"/>
                <w:numId w:val="0"/>
              </w:numPr>
              <w:ind w:firstLine="640"/>
            </w:pPr>
          </w:p>
          <w:p>
            <w:pPr>
              <w:numPr>
                <w:ilvl w:val="0"/>
                <w:numId w:val="0"/>
              </w:numPr>
            </w:pPr>
          </w:p>
          <w:p>
            <w:pPr>
              <w:numPr>
                <w:ilvl w:val="0"/>
                <w:numId w:val="0"/>
              </w:numPr>
              <w:ind w:firstLine="640"/>
              <w:rPr>
                <w:rFonts w:hint="eastAsia" w:ascii="宋体" w:hAnsi="宋体" w:cs="宋体"/>
                <w:b/>
                <w:bCs/>
                <w:szCs w:val="21"/>
              </w:rPr>
            </w:pPr>
            <w:r>
              <w:rPr>
                <w:b/>
                <w:bCs/>
              </w:rPr>
              <mc:AlternateContent>
                <mc:Choice Requires="wps">
                  <w:drawing>
                    <wp:anchor distT="0" distB="0" distL="114300" distR="114300" simplePos="0" relativeHeight="251659264" behindDoc="0" locked="0" layoutInCell="0" allowOverlap="1">
                      <wp:simplePos x="0" y="0"/>
                      <wp:positionH relativeFrom="page">
                        <wp:posOffset>971550</wp:posOffset>
                      </wp:positionH>
                      <wp:positionV relativeFrom="paragraph">
                        <wp:posOffset>867410</wp:posOffset>
                      </wp:positionV>
                      <wp:extent cx="10692130" cy="2480945"/>
                      <wp:effectExtent l="0" t="0" r="0" b="0"/>
                      <wp:wrapSquare wrapText="bothSides"/>
                      <wp:docPr id="1028" name="文本框4"/>
                      <wp:cNvGraphicFramePr/>
                      <a:graphic xmlns:a="http://schemas.openxmlformats.org/drawingml/2006/main">
                        <a:graphicData uri="http://schemas.microsoft.com/office/word/2010/wordprocessingShape">
                          <wps:wsp>
                            <wps:cNvSpPr/>
                            <wps:spPr>
                              <a:xfrm>
                                <a:off x="0" y="0"/>
                                <a:ext cx="10692130" cy="2480945"/>
                              </a:xfrm>
                              <a:prstGeom prst="rect">
                                <a:avLst/>
                              </a:prstGeom>
                              <a:ln>
                                <a:noFill/>
                              </a:ln>
                            </wps:spPr>
                            <wps:txbx>
                              <w:txbxContent>
                                <w:p/>
                              </w:txbxContent>
                            </wps:txbx>
                            <wps:bodyPr vert="horz" wrap="none" lIns="0" tIns="0" rIns="6985" bIns="6985" anchor="t">
                              <a:spAutoFit/>
                            </wps:bodyPr>
                          </wps:wsp>
                        </a:graphicData>
                      </a:graphic>
                    </wp:anchor>
                  </w:drawing>
                </mc:Choice>
                <mc:Fallback>
                  <w:pict>
                    <v:rect id="文本框4" o:spid="_x0000_s1026" o:spt="1" style="position:absolute;left:0pt;margin-left:76.5pt;margin-top:68.3pt;height:195.35pt;width:841.9pt;mso-position-horizontal-relative:page;mso-wrap-distance-bottom:0pt;mso-wrap-distance-left:9pt;mso-wrap-distance-right:9pt;mso-wrap-distance-top:0pt;mso-wrap-style:none;z-index:251659264;mso-width-relative:page;mso-height-relative:page;" filled="f" stroked="f" coordsize="21600,21600" o:allowincell="f" o:gfxdata="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3r9W/2gAAAAwBAAAPAAAAAAAAAAEA&#10;IAAAACIAAABkcnMvZG93bnJldi54bWxQSwECFAAUAAAACACHTuJAlCZGr9QBAACYAwAADgAAAAAA&#10;AAABACAAAAApAQAAZHJzL2Uyb0RvYy54bWxQSwUGAAAAAAYABgBZAQAAbwUAAAAA&#10;">
                      <v:fill on="f" focussize="0,0"/>
                      <v:stroke on="f"/>
                      <v:imagedata o:title=""/>
                      <o:lock v:ext="edit" aspectratio="f"/>
                      <v:textbox inset="0mm,0mm,11,11" style="mso-fit-shape-to-text:t;">
                        <w:txbxContent>
                          <w:p/>
                        </w:txbxContent>
                      </v:textbox>
                      <w10:wrap type="square"/>
                    </v:rect>
                  </w:pict>
                </mc:Fallback>
              </mc:AlternateContent>
            </w:r>
            <w:r>
              <w:rPr>
                <w:rFonts w:hint="eastAsia" w:ascii="仿宋" w:hAnsi="仿宋" w:eastAsia="仿宋" w:cs="仿宋"/>
                <w:b/>
                <w:bCs/>
                <w:sz w:val="32"/>
                <w:szCs w:val="36"/>
              </w:rPr>
              <w:t>八、政府性基金预算财政拨款收入支出决算表</w:t>
            </w:r>
          </w:p>
          <w:p>
            <w:pPr>
              <w:numPr>
                <w:ilvl w:val="0"/>
                <w:numId w:val="0"/>
              </w:numPr>
              <w:ind w:firstLine="640"/>
            </w:pPr>
          </w:p>
          <w:p>
            <w:pPr>
              <w:numPr>
                <w:ilvl w:val="0"/>
                <w:numId w:val="0"/>
              </w:numPr>
            </w:pPr>
          </w:p>
          <w:p>
            <w:pPr>
              <w:numPr>
                <w:ilvl w:val="0"/>
                <w:numId w:val="0"/>
              </w:numPr>
              <w:ind w:firstLine="640"/>
            </w:pPr>
          </w:p>
          <w:tbl>
            <w:tblPr>
              <w:tblStyle w:val="10"/>
              <w:tblpPr w:leftFromText="180" w:rightFromText="180" w:vertAnchor="text" w:horzAnchor="page" w:tblpX="-1333" w:tblpY="-4393"/>
              <w:tblOverlap w:val="never"/>
              <w:tblW w:w="0" w:type="auto"/>
              <w:tblInd w:w="0" w:type="dxa"/>
              <w:tblLayout w:type="autofit"/>
              <w:tblCellMar>
                <w:top w:w="0" w:type="dxa"/>
                <w:left w:w="10" w:type="dxa"/>
                <w:bottom w:w="0" w:type="dxa"/>
                <w:right w:w="10" w:type="dxa"/>
              </w:tblCellMar>
            </w:tblPr>
            <w:tblGrid>
              <w:gridCol w:w="1672"/>
              <w:gridCol w:w="1239"/>
              <w:gridCol w:w="1176"/>
              <w:gridCol w:w="1028"/>
              <w:gridCol w:w="1285"/>
              <w:gridCol w:w="811"/>
              <w:gridCol w:w="1176"/>
              <w:gridCol w:w="1239"/>
              <w:gridCol w:w="1176"/>
              <w:gridCol w:w="1028"/>
              <w:gridCol w:w="1285"/>
              <w:gridCol w:w="843"/>
            </w:tblGrid>
            <w:tr>
              <w:tblPrEx>
                <w:tblCellMar>
                  <w:top w:w="0" w:type="dxa"/>
                  <w:left w:w="10" w:type="dxa"/>
                  <w:bottom w:w="0" w:type="dxa"/>
                  <w:right w:w="10" w:type="dxa"/>
                </w:tblCellMar>
              </w:tblPrEx>
              <w:trPr>
                <w:trHeight w:val="540" w:hRule="atLeast"/>
              </w:trPr>
              <w:tc>
                <w:tcPr>
                  <w:tcW w:w="0" w:type="auto"/>
                  <w:gridSpan w:val="12"/>
                  <w:tcBorders>
                    <w:top w:val="nil"/>
                    <w:left w:val="nil"/>
                    <w:bottom w:val="nil"/>
                    <w:right w:val="nil"/>
                  </w:tcBorders>
                  <w:tcMar>
                    <w:top w:w="0" w:type="dxa"/>
                    <w:left w:w="108" w:type="dxa"/>
                    <w:bottom w:w="0" w:type="dxa"/>
                    <w:right w:w="108" w:type="dxa"/>
                  </w:tcMar>
                  <w:vAlign w:val="bottom"/>
                </w:tcPr>
                <w:p>
                  <w:pPr>
                    <w:widowControl/>
                    <w:rPr>
                      <w:rFonts w:hint="eastAsia" w:ascii="宋体" w:hAnsi="宋体" w:cs="宋体"/>
                      <w:sz w:val="28"/>
                      <w:szCs w:val="28"/>
                    </w:rPr>
                  </w:pPr>
                </w:p>
                <w:p>
                  <w:pPr>
                    <w:numPr>
                      <w:ilvl w:val="0"/>
                      <w:numId w:val="0"/>
                    </w:numPr>
                    <w:ind w:firstLine="640"/>
                    <w:rPr>
                      <w:rFonts w:hint="eastAsia" w:ascii="仿宋" w:hAnsi="仿宋" w:eastAsia="仿宋" w:cs="仿宋"/>
                      <w:b/>
                      <w:bCs/>
                      <w:sz w:val="32"/>
                      <w:szCs w:val="36"/>
                    </w:rPr>
                  </w:pPr>
                  <w:r>
                    <w:rPr>
                      <w:rFonts w:hint="eastAsia" w:ascii="仿宋" w:hAnsi="仿宋" w:eastAsia="仿宋" w:cs="仿宋"/>
                      <w:b/>
                      <w:bCs/>
                      <w:sz w:val="32"/>
                      <w:szCs w:val="36"/>
                    </w:rPr>
                    <w:t>七、一般公共预算财政拨款“三公”经费支出决算表</w:t>
                  </w:r>
                </w:p>
                <w:p>
                  <w:pPr>
                    <w:numPr>
                      <w:ilvl w:val="0"/>
                      <w:numId w:val="0"/>
                    </w:numPr>
                    <w:ind w:firstLine="640"/>
                    <w:rPr>
                      <w:rFonts w:hint="eastAsia" w:ascii="仿宋" w:hAnsi="仿宋" w:eastAsia="仿宋" w:cs="仿宋"/>
                      <w:b/>
                      <w:bCs/>
                      <w:sz w:val="32"/>
                      <w:szCs w:val="36"/>
                    </w:rPr>
                  </w:pPr>
                </w:p>
                <w:p>
                  <w:pPr>
                    <w:widowControl/>
                    <w:jc w:val="center"/>
                    <w:rPr>
                      <w:rFonts w:hint="eastAsia" w:ascii="宋体" w:hAnsi="宋体" w:cs="宋体"/>
                      <w:sz w:val="28"/>
                      <w:szCs w:val="28"/>
                    </w:rPr>
                  </w:pPr>
                  <w:r>
                    <w:rPr>
                      <w:rFonts w:hint="eastAsia" w:ascii="宋体" w:hAnsi="宋体" w:cs="宋体"/>
                      <w:szCs w:val="21"/>
                    </w:rPr>
                    <w:t>一般公共预算财政拨款“三公”经费支出决算表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公开07表</w:t>
                  </w:r>
                </w:p>
              </w:tc>
            </w:tr>
            <w:tr>
              <w:tblPrEx>
                <w:tblCellMar>
                  <w:top w:w="0" w:type="dxa"/>
                  <w:left w:w="10" w:type="dxa"/>
                  <w:bottom w:w="0" w:type="dxa"/>
                  <w:right w:w="10" w:type="dxa"/>
                </w:tblCellMar>
              </w:tblPrEx>
              <w:trPr>
                <w:trHeight w:val="255" w:hRule="atLeast"/>
              </w:trPr>
              <w:tc>
                <w:tcPr>
                  <w:tcW w:w="0" w:type="auto"/>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0" w:type="auto"/>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决算数</w:t>
                  </w:r>
                </w:p>
              </w:tc>
            </w:tr>
            <w:tr>
              <w:tblPrEx>
                <w:tblCellMar>
                  <w:top w:w="0" w:type="dxa"/>
                  <w:left w:w="10" w:type="dxa"/>
                  <w:bottom w:w="0" w:type="dxa"/>
                  <w:right w:w="1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因公出国（境）费</w:t>
                  </w:r>
                </w:p>
              </w:tc>
              <w:tc>
                <w:tcPr>
                  <w:tcW w:w="0" w:type="auto"/>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公务用车购置及运行费</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公务接待费</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因公出国（境）费</w:t>
                  </w:r>
                </w:p>
              </w:tc>
              <w:tc>
                <w:tcPr>
                  <w:tcW w:w="0" w:type="auto"/>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公务用车购置及运行费</w:t>
                  </w:r>
                </w:p>
              </w:tc>
              <w:tc>
                <w:tcPr>
                  <w:tcW w:w="0" w:type="auto"/>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公务接待费</w:t>
                  </w:r>
                </w:p>
              </w:tc>
            </w:tr>
            <w:tr>
              <w:tblPrEx>
                <w:tblCellMar>
                  <w:top w:w="0" w:type="dxa"/>
                  <w:left w:w="10" w:type="dxa"/>
                  <w:bottom w:w="0" w:type="dxa"/>
                  <w:right w:w="1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小计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公务用车购置费</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公务用车运行费</w:t>
                  </w: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小计</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公务用车购置费</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公务用车运行费</w:t>
                  </w:r>
                </w:p>
              </w:tc>
              <w:tc>
                <w:tcPr>
                  <w:tcW w:w="0" w:type="auto"/>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7</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8</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9</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10</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11</w:t>
                  </w:r>
                </w:p>
              </w:tc>
              <w:tc>
                <w:tcPr>
                  <w:tcW w:w="0" w:type="auto"/>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12</w:t>
                  </w:r>
                </w:p>
              </w:tc>
            </w:tr>
            <w:tr>
              <w:tblPrEx>
                <w:tblCellMar>
                  <w:top w:w="0" w:type="dxa"/>
                  <w:left w:w="10" w:type="dxa"/>
                  <w:bottom w:w="0" w:type="dxa"/>
                  <w:right w:w="10" w:type="dxa"/>
                </w:tblCellMar>
              </w:tblPrEx>
              <w:trPr>
                <w:trHeight w:val="308" w:hRule="atLeast"/>
              </w:trPr>
              <w:tc>
                <w:tcPr>
                  <w:tcW w:w="0" w:type="auto"/>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1,485,500.00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1,485,500.00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1,485,500.00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1,351,135.80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1,351,135.80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1,351,135.80</w:t>
                  </w:r>
                </w:p>
              </w:tc>
              <w:tc>
                <w:tcPr>
                  <w:tcW w:w="0" w:type="auto"/>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615" w:hRule="atLeast"/>
              </w:trPr>
              <w:tc>
                <w:tcPr>
                  <w:tcW w:w="0" w:type="auto"/>
                  <w:gridSpan w:val="12"/>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numPr>
                <w:ilvl w:val="0"/>
                <w:numId w:val="0"/>
              </w:numPr>
              <w:rPr>
                <w:rFonts w:hint="eastAsia" w:ascii="仿宋" w:hAnsi="仿宋" w:eastAsia="仿宋" w:cs="仿宋"/>
                <w:sz w:val="32"/>
                <w:szCs w:val="36"/>
              </w:rPr>
            </w:pPr>
          </w:p>
          <w:p>
            <w:pPr>
              <w:numPr>
                <w:ilvl w:val="0"/>
                <w:numId w:val="0"/>
              </w:numPr>
              <w:ind w:firstLine="640"/>
              <w:jc w:val="center"/>
            </w:pPr>
            <w:r>
              <mc:AlternateContent>
                <mc:Choice Requires="wps">
                  <w:drawing>
                    <wp:anchor distT="0" distB="0" distL="114300" distR="114300" simplePos="0" relativeHeight="251659264" behindDoc="0" locked="0" layoutInCell="0" allowOverlap="1">
                      <wp:simplePos x="0" y="0"/>
                      <wp:positionH relativeFrom="page">
                        <wp:posOffset>209550</wp:posOffset>
                      </wp:positionH>
                      <wp:positionV relativeFrom="paragraph">
                        <wp:posOffset>469900</wp:posOffset>
                      </wp:positionV>
                      <wp:extent cx="10692130" cy="7560310"/>
                      <wp:effectExtent l="0" t="0" r="0" b="0"/>
                      <wp:wrapSquare wrapText="bothSides"/>
                      <wp:docPr id="1029" name="文本框3"/>
                      <wp:cNvGraphicFramePr/>
                      <a:graphic xmlns:a="http://schemas.openxmlformats.org/drawingml/2006/main">
                        <a:graphicData uri="http://schemas.microsoft.com/office/word/2010/wordprocessingShape">
                          <wps:wsp>
                            <wps:cNvSpPr/>
                            <wps:spPr>
                              <a:xfrm>
                                <a:off x="0" y="0"/>
                                <a:ext cx="10692130" cy="7560310"/>
                              </a:xfrm>
                              <a:prstGeom prst="rect">
                                <a:avLst/>
                              </a:prstGeom>
                              <a:ln>
                                <a:noFill/>
                              </a:ln>
                            </wps:spPr>
                            <wps:txbx>
                              <w:txbxContent>
                                <w:p/>
                              </w:txbxContent>
                            </wps:txbx>
                            <wps:bodyPr wrap="none" lIns="0" tIns="0" rIns="9" bIns="9" upright="1">
                              <a:spAutoFit/>
                            </wps:bodyPr>
                          </wps:wsp>
                        </a:graphicData>
                      </a:graphic>
                    </wp:anchor>
                  </w:drawing>
                </mc:Choice>
                <mc:Fallback>
                  <w:pict>
                    <v:rect id="文本框3" o:spid="_x0000_s1026" o:spt="1" style="position:absolute;left:0pt;margin-left:16.5pt;margin-top:37pt;height:595.3pt;width:841.9pt;mso-position-horizontal-relative:page;mso-wrap-distance-bottom:0pt;mso-wrap-distance-left:9pt;mso-wrap-distance-right:9pt;mso-wrap-distance-top:0pt;mso-wrap-style:none;z-index:251659264;mso-width-relative:page;mso-height-relative:page;" filled="f" stroked="f" coordsize="21600,21600" o:allowincell="f" o:gfxdata="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WR1C/aAAAACwEAAA8AAAAAAAAAAQAgAAAAIgAAAGRy&#10;cy9kb3ducmV2LnhtbFBLAQIUABQAAAAIAIdO4kCDZDLkygEAAIcDAAAOAAAAAAAAAAEAIAAAACkB&#10;AABkcnMvZTJvRG9jLnhtbFBLBQYAAAAABgAGAFkBAABlBQAAAAA=&#10;">
                      <v:fill on="f" focussize="0,0"/>
                      <v:stroke on="f"/>
                      <v:imagedata o:title=""/>
                      <o:lock v:ext="edit" aspectratio="f"/>
                      <v:textbox inset="0mm,0mm,0.00025mm,0.00025mm" style="mso-fit-shape-to-text:t;">
                        <w:txbxContent>
                          <w:p/>
                        </w:txbxContent>
                      </v:textbox>
                      <w10:wrap type="square"/>
                    </v:rect>
                  </w:pict>
                </mc:Fallback>
              </mc:AlternateContent>
            </w:r>
            <w:r>
              <mc:AlternateContent>
                <mc:Choice Requires="wps">
                  <w:drawing>
                    <wp:anchor distT="0" distB="0" distL="114300" distR="114300" simplePos="0" relativeHeight="251659264" behindDoc="0" locked="0" layoutInCell="0" allowOverlap="1">
                      <wp:simplePos x="0" y="0"/>
                      <wp:positionH relativeFrom="page">
                        <wp:posOffset>971550</wp:posOffset>
                      </wp:positionH>
                      <wp:positionV relativeFrom="paragraph">
                        <wp:posOffset>867410</wp:posOffset>
                      </wp:positionV>
                      <wp:extent cx="10692130" cy="2480945"/>
                      <wp:effectExtent l="0" t="0" r="0" b="0"/>
                      <wp:wrapSquare wrapText="bothSides"/>
                      <wp:docPr id="1030" name="文本框4"/>
                      <wp:cNvGraphicFramePr/>
                      <a:graphic xmlns:a="http://schemas.openxmlformats.org/drawingml/2006/main">
                        <a:graphicData uri="http://schemas.microsoft.com/office/word/2010/wordprocessingShape">
                          <wps:wsp>
                            <wps:cNvSpPr/>
                            <wps:spPr>
                              <a:xfrm>
                                <a:off x="0" y="0"/>
                                <a:ext cx="10692130" cy="2480945"/>
                              </a:xfrm>
                              <a:prstGeom prst="rect">
                                <a:avLst/>
                              </a:prstGeom>
                              <a:ln>
                                <a:noFill/>
                              </a:ln>
                            </wps:spPr>
                            <wps:txbx>
                              <w:txbxContent>
                                <w:p/>
                              </w:txbxContent>
                            </wps:txbx>
                            <wps:bodyPr wrap="none" lIns="0" tIns="0" rIns="9" bIns="9" upright="1">
                              <a:spAutoFit/>
                            </wps:bodyPr>
                          </wps:wsp>
                        </a:graphicData>
                      </a:graphic>
                    </wp:anchor>
                  </w:drawing>
                </mc:Choice>
                <mc:Fallback>
                  <w:pict>
                    <v:rect id="文本框4" o:spid="_x0000_s1026" o:spt="1" style="position:absolute;left:0pt;margin-left:76.5pt;margin-top:68.3pt;height:195.35pt;width:841.9pt;mso-position-horizontal-relative:page;mso-wrap-distance-bottom:0pt;mso-wrap-distance-left:9pt;mso-wrap-distance-right:9pt;mso-wrap-distance-top:0pt;mso-wrap-style:none;z-index:251659264;mso-width-relative:page;mso-height-relative:page;" filled="f" stroked="f" coordsize="21600,21600" o:allowincell="f" o:gfxdata="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28Z+toAAAAMAQAADwAAAAAAAAABACAAAAAiAAAAZHJz&#10;L2Rvd25yZXYueG1sUEsBAhQAFAAAAAgAh07iQOhEHUzJAQAAhwMAAA4AAAAAAAAAAQAgAAAAKQEA&#10;AGRycy9lMm9Eb2MueG1sUEsFBgAAAAAGAAYAWQEAAGQFAAAAAA==&#10;">
                      <v:fill on="f" focussize="0,0"/>
                      <v:stroke on="f"/>
                      <v:imagedata o:title=""/>
                      <o:lock v:ext="edit" aspectratio="f"/>
                      <v:textbox inset="0mm,0mm,0.00025mm,0.00025mm" style="mso-fit-shape-to-text:t;">
                        <w:txbxContent>
                          <w:p/>
                        </w:txbxContent>
                      </v:textbox>
                      <w10:wrap type="square"/>
                    </v:rect>
                  </w:pict>
                </mc:Fallback>
              </mc:AlternateContent>
            </w:r>
            <w:r>
              <w:rPr>
                <w:rFonts w:hint="eastAsia" w:ascii="宋体" w:hAnsi="宋体" w:cs="宋体"/>
                <w:szCs w:val="21"/>
              </w:rPr>
              <w:t>政府性基金预算财政拨款收入支出决算表</w:t>
            </w:r>
          </w:p>
          <w:p>
            <w:pPr>
              <w:widowControl/>
              <w:jc w:val="center"/>
              <w:rPr>
                <w:rFonts w:hint="eastAsia" w:ascii="宋体" w:hAnsi="宋体" w:cs="宋体"/>
                <w:szCs w:val="21"/>
              </w:rPr>
            </w:pPr>
          </w:p>
        </w:tc>
      </w:tr>
      <w:tr>
        <w:tblPrEx>
          <w:tblCellMar>
            <w:top w:w="0" w:type="dxa"/>
            <w:left w:w="10" w:type="dxa"/>
            <w:bottom w:w="0" w:type="dxa"/>
            <w:right w:w="10" w:type="dxa"/>
          </w:tblCellMar>
        </w:tblPrEx>
        <w:trPr>
          <w:trHeight w:val="255" w:hRule="atLeast"/>
        </w:trPr>
        <w:tc>
          <w:tcPr>
            <w:tcW w:w="1250" w:type="pct"/>
            <w:gridSpan w:val="5"/>
            <w:tcBorders>
              <w:top w:val="nil"/>
              <w:left w:val="nil"/>
              <w:bottom w:val="nil"/>
              <w:right w:val="nil"/>
            </w:tcBorders>
            <w:tcMar>
              <w:top w:w="0" w:type="dxa"/>
              <w:left w:w="108" w:type="dxa"/>
              <w:bottom w:w="0" w:type="dxa"/>
              <w:right w:w="108" w:type="dxa"/>
            </w:tcMar>
            <w:vAlign w:val="bottom"/>
          </w:tcPr>
          <w:p>
            <w:pPr>
              <w:rPr>
                <w:rFonts w:hint="eastAsia" w:ascii="Arial" w:hAnsi="Arial"/>
                <w:sz w:val="13"/>
                <w:szCs w:val="13"/>
              </w:rPr>
            </w:pPr>
          </w:p>
        </w:tc>
        <w:tc>
          <w:tcPr>
            <w:tcW w:w="122"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22"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12"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62"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4"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70"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2"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8"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93" w:type="pct"/>
            <w:gridSpan w:val="3"/>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公开08表</w:t>
            </w:r>
          </w:p>
        </w:tc>
      </w:tr>
      <w:tr>
        <w:tblPrEx>
          <w:tblCellMar>
            <w:top w:w="0" w:type="dxa"/>
            <w:left w:w="10" w:type="dxa"/>
            <w:bottom w:w="0" w:type="dxa"/>
            <w:right w:w="10" w:type="dxa"/>
          </w:tblCellMar>
        </w:tblPrEx>
        <w:trPr>
          <w:trHeight w:val="255" w:hRule="atLeast"/>
        </w:trPr>
        <w:tc>
          <w:tcPr>
            <w:tcW w:w="1250" w:type="pct"/>
            <w:gridSpan w:val="5"/>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部门：大同市公安局云泉分局</w:t>
            </w:r>
          </w:p>
        </w:tc>
        <w:tc>
          <w:tcPr>
            <w:tcW w:w="122"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22" w:type="pct"/>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512"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62"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4"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70"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2" w:type="pct"/>
            <w:gridSpan w:val="3"/>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458" w:type="pct"/>
            <w:gridSpan w:val="4"/>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693" w:type="pct"/>
            <w:gridSpan w:val="3"/>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2007" w:type="pct"/>
            <w:gridSpan w:val="12"/>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462" w:type="pct"/>
            <w:gridSpan w:val="2"/>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年初结转和结余</w:t>
            </w:r>
          </w:p>
        </w:tc>
        <w:tc>
          <w:tcPr>
            <w:tcW w:w="454" w:type="pct"/>
            <w:gridSpan w:val="2"/>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本年收入</w:t>
            </w:r>
          </w:p>
        </w:tc>
        <w:tc>
          <w:tcPr>
            <w:tcW w:w="1382" w:type="pct"/>
            <w:gridSpan w:val="11"/>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本年支出</w:t>
            </w:r>
          </w:p>
        </w:tc>
        <w:tc>
          <w:tcPr>
            <w:tcW w:w="693" w:type="pct"/>
            <w:gridSpan w:val="3"/>
            <w:vMerge w:val="restart"/>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年末结转和结余</w:t>
            </w:r>
          </w:p>
        </w:tc>
      </w:tr>
      <w:tr>
        <w:tblPrEx>
          <w:tblCellMar>
            <w:top w:w="0" w:type="dxa"/>
            <w:left w:w="10" w:type="dxa"/>
            <w:bottom w:w="0" w:type="dxa"/>
            <w:right w:w="10" w:type="dxa"/>
          </w:tblCellMar>
        </w:tblPrEx>
        <w:trPr>
          <w:trHeight w:val="308" w:hRule="atLeast"/>
        </w:trPr>
        <w:tc>
          <w:tcPr>
            <w:tcW w:w="1494" w:type="pct"/>
            <w:gridSpan w:val="8"/>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功能分类科目编码</w:t>
            </w:r>
          </w:p>
        </w:tc>
        <w:tc>
          <w:tcPr>
            <w:tcW w:w="512" w:type="pct"/>
            <w:gridSpan w:val="4"/>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科目名称</w:t>
            </w:r>
          </w:p>
        </w:tc>
        <w:tc>
          <w:tcPr>
            <w:tcW w:w="462"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4"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70" w:type="pct"/>
            <w:gridSpan w:val="4"/>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小计</w:t>
            </w:r>
          </w:p>
        </w:tc>
        <w:tc>
          <w:tcPr>
            <w:tcW w:w="452" w:type="pct"/>
            <w:gridSpan w:val="3"/>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基本支出</w:t>
            </w:r>
          </w:p>
        </w:tc>
        <w:tc>
          <w:tcPr>
            <w:tcW w:w="458" w:type="pct"/>
            <w:gridSpan w:val="4"/>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项目支出</w:t>
            </w:r>
          </w:p>
        </w:tc>
        <w:tc>
          <w:tcPr>
            <w:tcW w:w="693" w:type="pct"/>
            <w:gridSpan w:val="3"/>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494" w:type="pct"/>
            <w:gridSpan w:val="8"/>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12"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62"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4"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70"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2" w:type="pct"/>
            <w:gridSpan w:val="3"/>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8"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93" w:type="pct"/>
            <w:gridSpan w:val="3"/>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1494" w:type="pct"/>
            <w:gridSpan w:val="8"/>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512"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62"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4" w:type="pct"/>
            <w:gridSpan w:val="2"/>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70"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2" w:type="pct"/>
            <w:gridSpan w:val="3"/>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458" w:type="pct"/>
            <w:gridSpan w:val="4"/>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93" w:type="pct"/>
            <w:gridSpan w:val="3"/>
            <w:vMerge w:val="continue"/>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007" w:type="pct"/>
            <w:gridSpan w:val="12"/>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栏次</w:t>
            </w:r>
          </w:p>
        </w:tc>
        <w:tc>
          <w:tcPr>
            <w:tcW w:w="462"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454" w:type="pct"/>
            <w:gridSpan w:val="2"/>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470" w:type="pct"/>
            <w:gridSpan w:val="4"/>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452" w:type="pct"/>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458" w:type="pct"/>
            <w:gridSpan w:val="4"/>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693" w:type="pct"/>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r>
      <w:tr>
        <w:tblPrEx>
          <w:tblCellMar>
            <w:top w:w="0" w:type="dxa"/>
            <w:left w:w="10" w:type="dxa"/>
            <w:bottom w:w="0" w:type="dxa"/>
            <w:right w:w="10" w:type="dxa"/>
          </w:tblCellMar>
        </w:tblPrEx>
        <w:trPr>
          <w:trHeight w:val="308" w:hRule="atLeast"/>
        </w:trPr>
        <w:tc>
          <w:tcPr>
            <w:tcW w:w="2007" w:type="pct"/>
            <w:gridSpan w:val="12"/>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1494" w:type="pct"/>
            <w:gridSpan w:val="8"/>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512"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16"/>
                <w:szCs w:val="16"/>
              </w:rPr>
            </w:pPr>
          </w:p>
        </w:tc>
        <w:tc>
          <w:tcPr>
            <w:tcW w:w="462"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4"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70"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2"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458" w:type="pct"/>
            <w:gridSpan w:val="4"/>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c>
          <w:tcPr>
            <w:tcW w:w="693" w:type="pct"/>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30"/>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注：本表反映部门本年度政府性基金预算财政拨款收入、支出及结转和结余情况。</w:t>
            </w:r>
          </w:p>
        </w:tc>
      </w:tr>
      <w:tr>
        <w:tblPrEx>
          <w:tblCellMar>
            <w:top w:w="0" w:type="dxa"/>
            <w:left w:w="10" w:type="dxa"/>
            <w:bottom w:w="0" w:type="dxa"/>
            <w:right w:w="10" w:type="dxa"/>
          </w:tblCellMar>
        </w:tblPrEx>
        <w:trPr>
          <w:trHeight w:val="474" w:hRule="atLeast"/>
        </w:trPr>
        <w:tc>
          <w:tcPr>
            <w:tcW w:w="5000" w:type="pct"/>
            <w:gridSpan w:val="30"/>
            <w:tcBorders>
              <w:top w:val="nil"/>
              <w:left w:val="nil"/>
              <w:bottom w:val="nil"/>
              <w:right w:val="nil"/>
            </w:tcBorders>
            <w:tcMar>
              <w:top w:w="0" w:type="dxa"/>
              <w:left w:w="108" w:type="dxa"/>
              <w:bottom w:w="0" w:type="dxa"/>
              <w:right w:w="108" w:type="dxa"/>
            </w:tcMar>
            <w:vAlign w:val="bottom"/>
          </w:tcPr>
          <w:p>
            <w:pPr>
              <w:widowControl/>
              <w:rPr>
                <w:rFonts w:hint="eastAsia" w:ascii="仿宋" w:hAnsi="仿宋" w:eastAsia="仿宋" w:cs="仿宋"/>
                <w:sz w:val="32"/>
                <w:szCs w:val="36"/>
              </w:rPr>
            </w:pPr>
            <w:r>
              <w:rPr>
                <w:rFonts w:hint="eastAsia" w:ascii="仿宋" w:hAnsi="仿宋" w:eastAsia="仿宋" w:cs="仿宋"/>
                <w:sz w:val="32"/>
                <w:szCs w:val="32"/>
              </w:rPr>
              <w:t>说明；我单位没有使用</w:t>
            </w:r>
            <w:r>
              <w:rPr>
                <w:rFonts w:hint="eastAsia" w:ascii="仿宋" w:hAnsi="仿宋" w:eastAsia="仿宋" w:cs="仿宋"/>
                <w:sz w:val="32"/>
                <w:szCs w:val="36"/>
              </w:rPr>
              <w:t>政府性基金预算安排的支出，故本表无数据。</w:t>
            </w:r>
          </w:p>
          <w:p>
            <w:pPr>
              <w:widowControl/>
              <w:rPr>
                <w:rFonts w:hint="eastAsia" w:ascii="仿宋" w:hAnsi="仿宋" w:eastAsia="仿宋" w:cs="仿宋"/>
                <w:sz w:val="32"/>
                <w:szCs w:val="36"/>
              </w:rPr>
            </w:pPr>
          </w:p>
          <w:p>
            <w:pPr>
              <w:widowControl/>
              <w:rPr>
                <w:rFonts w:hint="eastAsia" w:ascii="仿宋" w:hAnsi="仿宋" w:eastAsia="仿宋" w:cs="仿宋"/>
                <w:sz w:val="32"/>
                <w:szCs w:val="36"/>
              </w:rPr>
            </w:pPr>
          </w:p>
          <w:p>
            <w:pPr>
              <w:widowControl/>
              <w:rPr>
                <w:rFonts w:hint="eastAsia" w:ascii="仿宋" w:hAnsi="仿宋" w:eastAsia="仿宋" w:cs="仿宋"/>
                <w:sz w:val="32"/>
                <w:szCs w:val="36"/>
              </w:rPr>
            </w:pPr>
          </w:p>
          <w:p>
            <w:pPr>
              <w:numPr>
                <w:ilvl w:val="0"/>
                <w:numId w:val="3"/>
              </w:numPr>
              <w:ind w:left="0" w:firstLine="640"/>
              <w:rPr>
                <w:rFonts w:hint="eastAsia" w:ascii="仿宋" w:hAnsi="仿宋" w:eastAsia="仿宋" w:cs="仿宋"/>
                <w:b/>
                <w:bCs/>
                <w:sz w:val="32"/>
                <w:szCs w:val="36"/>
              </w:rPr>
            </w:pPr>
            <w:r>
              <w:rPr>
                <w:rFonts w:hint="eastAsia" w:ascii="仿宋" w:hAnsi="仿宋" w:eastAsia="仿宋" w:cs="仿宋"/>
                <w:b/>
                <w:bCs/>
                <w:sz w:val="32"/>
                <w:szCs w:val="36"/>
              </w:rPr>
              <w:t>国有资本经营预算财政拨款支出决算表</w:t>
            </w:r>
          </w:p>
          <w:p>
            <w:pPr>
              <w:numPr>
                <w:ilvl w:val="0"/>
                <w:numId w:val="0"/>
              </w:numPr>
              <w:rPr>
                <w:rFonts w:hint="eastAsia" w:ascii="仿宋" w:hAnsi="仿宋" w:eastAsia="仿宋" w:cs="仿宋"/>
                <w:sz w:val="32"/>
                <w:szCs w:val="36"/>
              </w:rPr>
            </w:pPr>
          </w:p>
          <w:p>
            <w:pPr>
              <w:widowControl/>
              <w:jc w:val="center"/>
              <w:rPr>
                <w:rFonts w:hint="eastAsia" w:ascii="宋体" w:hAnsi="宋体" w:cs="宋体"/>
                <w:sz w:val="24"/>
                <w:szCs w:val="24"/>
              </w:rPr>
            </w:pPr>
            <w:r>
              <w:rPr>
                <w:rFonts w:hint="eastAsia" w:ascii="宋体" w:hAnsi="宋体" w:cs="宋体"/>
                <w:szCs w:val="21"/>
              </w:rPr>
              <w:t>国有资本经营预算财政拨款支出决算表</w:t>
            </w:r>
          </w:p>
        </w:tc>
      </w:tr>
      <w:tr>
        <w:tblPrEx>
          <w:tblCellMar>
            <w:top w:w="0" w:type="dxa"/>
            <w:left w:w="10" w:type="dxa"/>
            <w:bottom w:w="0" w:type="dxa"/>
            <w:right w:w="10" w:type="dxa"/>
          </w:tblCellMar>
        </w:tblPrEx>
        <w:trPr>
          <w:trHeight w:val="255" w:hRule="atLeast"/>
        </w:trPr>
        <w:tc>
          <w:tcPr>
            <w:tcW w:w="1771" w:type="pct"/>
            <w:gridSpan w:val="10"/>
            <w:tcBorders>
              <w:top w:val="nil"/>
              <w:left w:val="nil"/>
              <w:bottom w:val="nil"/>
              <w:right w:val="nil"/>
            </w:tcBorders>
            <w:tcMar>
              <w:top w:w="0" w:type="dxa"/>
              <w:left w:w="108" w:type="dxa"/>
              <w:bottom w:w="0" w:type="dxa"/>
              <w:right w:w="108" w:type="dxa"/>
            </w:tcMar>
            <w:vAlign w:val="bottom"/>
          </w:tcPr>
          <w:p>
            <w:pPr>
              <w:rPr>
                <w:rFonts w:hint="eastAsia" w:ascii="Arial" w:hAnsi="Arial"/>
                <w:sz w:val="16"/>
                <w:szCs w:val="16"/>
              </w:rPr>
            </w:pPr>
          </w:p>
        </w:tc>
        <w:tc>
          <w:tcPr>
            <w:tcW w:w="152" w:type="pct"/>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159"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66"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56"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37"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957" w:type="pct"/>
            <w:gridSpan w:val="5"/>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6"/>
                <w:szCs w:val="16"/>
              </w:rPr>
            </w:pPr>
            <w:r>
              <w:rPr>
                <w:rFonts w:hint="eastAsia" w:ascii="宋体" w:hAnsi="宋体" w:cs="宋体"/>
                <w:sz w:val="16"/>
                <w:szCs w:val="16"/>
              </w:rPr>
              <w:t>公开09表</w:t>
            </w:r>
          </w:p>
        </w:tc>
      </w:tr>
      <w:tr>
        <w:tblPrEx>
          <w:tblCellMar>
            <w:top w:w="0" w:type="dxa"/>
            <w:left w:w="10" w:type="dxa"/>
            <w:bottom w:w="0" w:type="dxa"/>
            <w:right w:w="10" w:type="dxa"/>
          </w:tblCellMar>
        </w:tblPrEx>
        <w:trPr>
          <w:trHeight w:val="255" w:hRule="atLeast"/>
        </w:trPr>
        <w:tc>
          <w:tcPr>
            <w:tcW w:w="1771" w:type="pct"/>
            <w:gridSpan w:val="10"/>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6"/>
                <w:szCs w:val="16"/>
              </w:rPr>
            </w:pPr>
            <w:r>
              <w:rPr>
                <w:rFonts w:hint="eastAsia" w:ascii="宋体" w:hAnsi="宋体" w:cs="宋体"/>
                <w:sz w:val="16"/>
                <w:szCs w:val="16"/>
              </w:rPr>
              <w:t>部门：大同市公安局云泉分局</w:t>
            </w:r>
          </w:p>
        </w:tc>
        <w:tc>
          <w:tcPr>
            <w:tcW w:w="152" w:type="pct"/>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159"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66" w:type="pct"/>
            <w:gridSpan w:val="2"/>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56"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637"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6"/>
                <w:szCs w:val="16"/>
              </w:rPr>
            </w:pPr>
          </w:p>
        </w:tc>
        <w:tc>
          <w:tcPr>
            <w:tcW w:w="957" w:type="pct"/>
            <w:gridSpan w:val="5"/>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6"/>
                <w:szCs w:val="16"/>
              </w:rPr>
            </w:pPr>
            <w:r>
              <w:rPr>
                <w:rFonts w:hint="eastAsia" w:ascii="宋体" w:hAnsi="宋体" w:cs="宋体"/>
                <w:sz w:val="16"/>
                <w:szCs w:val="16"/>
              </w:rPr>
              <w:t>金额单位：元</w:t>
            </w:r>
          </w:p>
        </w:tc>
      </w:tr>
      <w:tr>
        <w:tblPrEx>
          <w:tblCellMar>
            <w:top w:w="0" w:type="dxa"/>
            <w:left w:w="10" w:type="dxa"/>
            <w:bottom w:w="0" w:type="dxa"/>
            <w:right w:w="10" w:type="dxa"/>
          </w:tblCellMar>
        </w:tblPrEx>
        <w:trPr>
          <w:trHeight w:val="308" w:hRule="atLeast"/>
        </w:trPr>
        <w:tc>
          <w:tcPr>
            <w:tcW w:w="2749" w:type="pct"/>
            <w:gridSpan w:val="15"/>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项目</w:t>
            </w:r>
          </w:p>
        </w:tc>
        <w:tc>
          <w:tcPr>
            <w:tcW w:w="2250" w:type="pct"/>
            <w:gridSpan w:val="15"/>
            <w:tcBorders>
              <w:top w:val="single" w:color="000000" w:sz="4" w:space="0"/>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本年支出</w:t>
            </w:r>
          </w:p>
        </w:tc>
      </w:tr>
      <w:tr>
        <w:tblPrEx>
          <w:tblCellMar>
            <w:top w:w="0" w:type="dxa"/>
            <w:left w:w="10" w:type="dxa"/>
            <w:bottom w:w="0" w:type="dxa"/>
            <w:right w:w="10" w:type="dxa"/>
          </w:tblCellMar>
        </w:tblPrEx>
        <w:trPr>
          <w:trHeight w:val="308" w:hRule="atLeast"/>
        </w:trPr>
        <w:tc>
          <w:tcPr>
            <w:tcW w:w="2083" w:type="pct"/>
            <w:gridSpan w:val="13"/>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功能分类科目编码</w:t>
            </w:r>
          </w:p>
        </w:tc>
        <w:tc>
          <w:tcPr>
            <w:tcW w:w="666" w:type="pct"/>
            <w:gridSpan w:val="2"/>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科目名称</w:t>
            </w:r>
          </w:p>
        </w:tc>
        <w:tc>
          <w:tcPr>
            <w:tcW w:w="656" w:type="pct"/>
            <w:gridSpan w:val="5"/>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合计</w:t>
            </w:r>
          </w:p>
        </w:tc>
        <w:tc>
          <w:tcPr>
            <w:tcW w:w="637" w:type="pct"/>
            <w:gridSpan w:val="5"/>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基本支出</w:t>
            </w:r>
          </w:p>
        </w:tc>
        <w:tc>
          <w:tcPr>
            <w:tcW w:w="957" w:type="pct"/>
            <w:gridSpan w:val="5"/>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项目支出</w:t>
            </w:r>
          </w:p>
        </w:tc>
      </w:tr>
      <w:tr>
        <w:tblPrEx>
          <w:tblCellMar>
            <w:top w:w="0" w:type="dxa"/>
            <w:left w:w="10" w:type="dxa"/>
            <w:bottom w:w="0" w:type="dxa"/>
            <w:right w:w="10" w:type="dxa"/>
          </w:tblCellMar>
        </w:tblPrEx>
        <w:trPr>
          <w:trHeight w:val="308" w:hRule="atLeast"/>
        </w:trPr>
        <w:tc>
          <w:tcPr>
            <w:tcW w:w="2083" w:type="pct"/>
            <w:gridSpan w:val="1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66"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56"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37"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957"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083" w:type="pct"/>
            <w:gridSpan w:val="13"/>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66" w:type="pct"/>
            <w:gridSpan w:val="2"/>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56"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637"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c>
          <w:tcPr>
            <w:tcW w:w="957" w:type="pct"/>
            <w:gridSpan w:val="5"/>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tc>
      </w:tr>
      <w:tr>
        <w:tblPrEx>
          <w:tblCellMar>
            <w:top w:w="0" w:type="dxa"/>
            <w:left w:w="10" w:type="dxa"/>
            <w:bottom w:w="0" w:type="dxa"/>
            <w:right w:w="10" w:type="dxa"/>
          </w:tblCellMar>
        </w:tblPrEx>
        <w:trPr>
          <w:trHeight w:val="308" w:hRule="atLeast"/>
        </w:trPr>
        <w:tc>
          <w:tcPr>
            <w:tcW w:w="2749" w:type="pct"/>
            <w:gridSpan w:val="1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栏次</w:t>
            </w:r>
          </w:p>
        </w:tc>
        <w:tc>
          <w:tcPr>
            <w:tcW w:w="656"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1</w:t>
            </w:r>
          </w:p>
        </w:tc>
        <w:tc>
          <w:tcPr>
            <w:tcW w:w="63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2</w:t>
            </w:r>
          </w:p>
        </w:tc>
        <w:tc>
          <w:tcPr>
            <w:tcW w:w="95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3</w:t>
            </w:r>
          </w:p>
        </w:tc>
      </w:tr>
      <w:tr>
        <w:tblPrEx>
          <w:tblCellMar>
            <w:top w:w="0" w:type="dxa"/>
            <w:left w:w="10" w:type="dxa"/>
            <w:bottom w:w="0" w:type="dxa"/>
            <w:right w:w="10" w:type="dxa"/>
          </w:tblCellMar>
        </w:tblPrEx>
        <w:trPr>
          <w:trHeight w:val="308" w:hRule="atLeast"/>
        </w:trPr>
        <w:tc>
          <w:tcPr>
            <w:tcW w:w="2749" w:type="pct"/>
            <w:gridSpan w:val="15"/>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20"/>
                <w:szCs w:val="20"/>
              </w:rPr>
            </w:pPr>
            <w:r>
              <w:rPr>
                <w:rFonts w:hint="eastAsia" w:ascii="宋体" w:hAnsi="宋体" w:cs="宋体"/>
                <w:sz w:val="20"/>
                <w:szCs w:val="20"/>
              </w:rPr>
              <w:t>合计</w:t>
            </w: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b/>
                <w:bCs/>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2083" w:type="pct"/>
            <w:gridSpan w:val="13"/>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66" w:type="pct"/>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jc w:val="left"/>
              <w:rPr>
                <w:rFonts w:hint="eastAsia" w:ascii="宋体" w:hAnsi="宋体" w:cs="宋体"/>
                <w:sz w:val="20"/>
                <w:szCs w:val="20"/>
              </w:rPr>
            </w:pPr>
          </w:p>
        </w:tc>
        <w:tc>
          <w:tcPr>
            <w:tcW w:w="656"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63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c>
          <w:tcPr>
            <w:tcW w:w="957" w:type="pct"/>
            <w:gridSpan w:val="5"/>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20"/>
                <w:szCs w:val="20"/>
              </w:rPr>
            </w:pPr>
          </w:p>
        </w:tc>
      </w:tr>
      <w:tr>
        <w:tblPrEx>
          <w:tblCellMar>
            <w:top w:w="0" w:type="dxa"/>
            <w:left w:w="10" w:type="dxa"/>
            <w:bottom w:w="0" w:type="dxa"/>
            <w:right w:w="10" w:type="dxa"/>
          </w:tblCellMar>
        </w:tblPrEx>
        <w:trPr>
          <w:trHeight w:val="308" w:hRule="atLeast"/>
        </w:trPr>
        <w:tc>
          <w:tcPr>
            <w:tcW w:w="5000" w:type="pct"/>
            <w:gridSpan w:val="30"/>
            <w:tcBorders>
              <w:top w:val="nil"/>
              <w:left w:val="nil"/>
              <w:bottom w:val="nil"/>
              <w:right w:val="nil"/>
            </w:tcBorders>
            <w:tcMar>
              <w:top w:w="0" w:type="dxa"/>
              <w:left w:w="108" w:type="dxa"/>
              <w:bottom w:w="0" w:type="dxa"/>
              <w:right w:w="108" w:type="dxa"/>
            </w:tcMar>
            <w:vAlign w:val="center"/>
          </w:tcPr>
          <w:p>
            <w:pPr>
              <w:widowControl/>
              <w:jc w:val="left"/>
              <w:rPr>
                <w:rFonts w:hint="eastAsia" w:ascii="宋体" w:hAnsi="宋体" w:cs="宋体"/>
                <w:sz w:val="20"/>
                <w:szCs w:val="20"/>
              </w:rPr>
            </w:pPr>
            <w:r>
              <w:rPr>
                <w:rFonts w:hint="eastAsia" w:ascii="宋体" w:hAnsi="宋体" w:cs="宋体"/>
                <w:sz w:val="20"/>
                <w:szCs w:val="20"/>
              </w:rPr>
              <w:t>注：本表反映部门本年度国有资本经营预算财政拨款支出情况。</w:t>
            </w:r>
          </w:p>
        </w:tc>
      </w:tr>
      <w:tr>
        <w:tblPrEx>
          <w:tblCellMar>
            <w:top w:w="0" w:type="dxa"/>
            <w:left w:w="10" w:type="dxa"/>
            <w:bottom w:w="0" w:type="dxa"/>
            <w:right w:w="10" w:type="dxa"/>
          </w:tblCellMar>
        </w:tblPrEx>
        <w:trPr>
          <w:trHeight w:val="582" w:hRule="atLeast"/>
        </w:trPr>
        <w:tc>
          <w:tcPr>
            <w:tcW w:w="5000" w:type="pct"/>
            <w:gridSpan w:val="30"/>
            <w:tcBorders>
              <w:top w:val="nil"/>
              <w:left w:val="nil"/>
              <w:bottom w:val="nil"/>
              <w:right w:val="nil"/>
            </w:tcBorders>
            <w:tcMar>
              <w:top w:w="0" w:type="dxa"/>
              <w:left w:w="108" w:type="dxa"/>
              <w:bottom w:w="0" w:type="dxa"/>
              <w:right w:w="108" w:type="dxa"/>
            </w:tcMar>
            <w:vAlign w:val="bottom"/>
          </w:tcPr>
          <w:p>
            <w:pPr>
              <w:widowControl/>
              <w:rPr>
                <w:rFonts w:hint="eastAsia" w:ascii="仿宋" w:hAnsi="仿宋" w:eastAsia="仿宋" w:cs="仿宋"/>
                <w:sz w:val="32"/>
                <w:szCs w:val="36"/>
              </w:rPr>
            </w:pPr>
            <w:r>
              <w:rPr>
                <w:rFonts w:hint="eastAsia" w:ascii="仿宋" w:hAnsi="仿宋" w:eastAsia="仿宋" w:cs="仿宋"/>
                <w:sz w:val="32"/>
                <w:szCs w:val="32"/>
              </w:rPr>
              <w:t>说明；我单位没有使用</w:t>
            </w:r>
            <w:r>
              <w:rPr>
                <w:rFonts w:hint="eastAsia" w:ascii="仿宋" w:hAnsi="仿宋" w:eastAsia="仿宋" w:cs="仿宋"/>
                <w:sz w:val="32"/>
                <w:szCs w:val="36"/>
              </w:rPr>
              <w:t>国有资本经营预算安排的支出，故本表无数据。</w:t>
            </w:r>
          </w:p>
          <w:p>
            <w:pPr>
              <w:widowControl/>
              <w:rPr>
                <w:rFonts w:hint="eastAsia" w:ascii="宋体" w:hAnsi="宋体" w:cs="宋体"/>
                <w:sz w:val="28"/>
                <w:szCs w:val="28"/>
              </w:rPr>
            </w:pPr>
          </w:p>
          <w:p>
            <w:pPr>
              <w:numPr>
                <w:ilvl w:val="0"/>
                <w:numId w:val="0"/>
              </w:numPr>
              <w:ind w:firstLine="640"/>
              <w:rPr>
                <w:rFonts w:hint="eastAsia" w:ascii="仿宋" w:hAnsi="仿宋" w:eastAsia="仿宋" w:cs="仿宋"/>
                <w:sz w:val="32"/>
                <w:szCs w:val="36"/>
              </w:rPr>
            </w:pPr>
          </w:p>
          <w:p>
            <w:pPr>
              <w:numPr>
                <w:ilvl w:val="0"/>
                <w:numId w:val="0"/>
              </w:numPr>
              <w:ind w:firstLine="640"/>
              <w:rPr>
                <w:rFonts w:hint="eastAsia" w:ascii="仿宋" w:hAnsi="仿宋" w:eastAsia="仿宋" w:cs="仿宋"/>
                <w:sz w:val="32"/>
                <w:szCs w:val="36"/>
              </w:rPr>
            </w:pPr>
          </w:p>
          <w:p>
            <w:pPr>
              <w:numPr>
                <w:ilvl w:val="0"/>
                <w:numId w:val="0"/>
              </w:numPr>
              <w:ind w:firstLine="640"/>
              <w:rPr>
                <w:rFonts w:hint="eastAsia" w:ascii="仿宋" w:hAnsi="仿宋" w:eastAsia="仿宋" w:cs="仿宋"/>
                <w:sz w:val="32"/>
                <w:szCs w:val="36"/>
              </w:rPr>
            </w:pPr>
          </w:p>
          <w:p>
            <w:pPr>
              <w:numPr>
                <w:ilvl w:val="0"/>
                <w:numId w:val="0"/>
              </w:numPr>
              <w:ind w:firstLine="640"/>
              <w:rPr>
                <w:rFonts w:hint="eastAsia" w:ascii="仿宋" w:hAnsi="仿宋" w:eastAsia="仿宋" w:cs="仿宋"/>
                <w:sz w:val="32"/>
                <w:szCs w:val="36"/>
              </w:rPr>
            </w:pPr>
          </w:p>
          <w:p>
            <w:pPr>
              <w:numPr>
                <w:ilvl w:val="0"/>
                <w:numId w:val="0"/>
              </w:numPr>
              <w:ind w:firstLine="643" w:firstLineChars="200"/>
              <w:rPr>
                <w:rFonts w:hint="eastAsia" w:ascii="宋体" w:hAnsi="宋体" w:cs="宋体"/>
                <w:sz w:val="28"/>
                <w:szCs w:val="28"/>
              </w:rPr>
            </w:pPr>
            <w:r>
              <w:rPr>
                <w:rFonts w:hint="eastAsia" w:ascii="仿宋" w:hAnsi="仿宋" w:eastAsia="仿宋" w:cs="仿宋"/>
                <w:b/>
                <w:bCs/>
                <w:sz w:val="32"/>
                <w:szCs w:val="36"/>
              </w:rPr>
              <w:t>十、部门决算相关信息统计表</w:t>
            </w:r>
          </w:p>
        </w:tc>
      </w:tr>
      <w:tr>
        <w:tblPrEx>
          <w:tblCellMar>
            <w:top w:w="0" w:type="dxa"/>
            <w:left w:w="10" w:type="dxa"/>
            <w:bottom w:w="0" w:type="dxa"/>
            <w:right w:w="10" w:type="dxa"/>
          </w:tblCellMar>
        </w:tblPrEx>
        <w:trPr>
          <w:trHeight w:val="255" w:hRule="atLeast"/>
        </w:trPr>
        <w:tc>
          <w:tcPr>
            <w:tcW w:w="3150" w:type="pct"/>
            <w:gridSpan w:val="19"/>
            <w:tcBorders>
              <w:top w:val="nil"/>
              <w:left w:val="nil"/>
              <w:bottom w:val="nil"/>
              <w:right w:val="nil"/>
            </w:tcBorders>
            <w:tcMar>
              <w:top w:w="0" w:type="dxa"/>
              <w:left w:w="108" w:type="dxa"/>
              <w:bottom w:w="0" w:type="dxa"/>
              <w:right w:w="108" w:type="dxa"/>
            </w:tcMar>
            <w:vAlign w:val="bottom"/>
          </w:tcPr>
          <w:p>
            <w:pPr>
              <w:jc w:val="center"/>
              <w:rPr>
                <w:rFonts w:hint="eastAsia" w:ascii="Arial" w:hAnsi="Arial"/>
                <w:sz w:val="13"/>
                <w:szCs w:val="13"/>
              </w:rPr>
            </w:pPr>
            <w:r>
              <w:rPr>
                <w:rFonts w:hint="eastAsia" w:ascii="宋体" w:hAnsi="宋体" w:cs="宋体"/>
                <w:szCs w:val="21"/>
                <w:lang w:val="en-US" w:eastAsia="zh-CN"/>
              </w:rPr>
              <w:t xml:space="preserve">                                            </w:t>
            </w:r>
            <w:r>
              <w:rPr>
                <w:rFonts w:hint="eastAsia" w:ascii="宋体" w:hAnsi="宋体" w:cs="宋体"/>
                <w:szCs w:val="21"/>
              </w:rPr>
              <w:t>部门决算公开相关信息统计表</w:t>
            </w:r>
          </w:p>
        </w:tc>
        <w:tc>
          <w:tcPr>
            <w:tcW w:w="827" w:type="pct"/>
            <w:gridSpan w:val="5"/>
            <w:tcBorders>
              <w:top w:val="nil"/>
              <w:left w:val="nil"/>
              <w:bottom w:val="nil"/>
              <w:right w:val="nil"/>
            </w:tcBorders>
            <w:tcMar>
              <w:top w:w="0" w:type="dxa"/>
              <w:left w:w="108" w:type="dxa"/>
              <w:bottom w:w="0" w:type="dxa"/>
              <w:right w:w="108" w:type="dxa"/>
            </w:tcMar>
            <w:vAlign w:val="bottom"/>
          </w:tcPr>
          <w:p>
            <w:pPr>
              <w:rPr>
                <w:rFonts w:ascii="Arial" w:hAnsi="Arial"/>
                <w:sz w:val="13"/>
                <w:szCs w:val="13"/>
              </w:rPr>
            </w:pPr>
          </w:p>
        </w:tc>
        <w:tc>
          <w:tcPr>
            <w:tcW w:w="1021" w:type="pct"/>
            <w:gridSpan w:val="6"/>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公开10表</w:t>
            </w:r>
          </w:p>
        </w:tc>
      </w:tr>
      <w:tr>
        <w:tblPrEx>
          <w:tblCellMar>
            <w:top w:w="0" w:type="dxa"/>
            <w:left w:w="10" w:type="dxa"/>
            <w:bottom w:w="0" w:type="dxa"/>
            <w:right w:w="10" w:type="dxa"/>
          </w:tblCellMar>
        </w:tblPrEx>
        <w:trPr>
          <w:trHeight w:val="255" w:hRule="atLeast"/>
        </w:trPr>
        <w:tc>
          <w:tcPr>
            <w:tcW w:w="3150" w:type="pct"/>
            <w:gridSpan w:val="19"/>
            <w:tcBorders>
              <w:top w:val="nil"/>
              <w:left w:val="nil"/>
              <w:bottom w:val="nil"/>
              <w:right w:val="nil"/>
            </w:tcBorders>
            <w:tcMar>
              <w:top w:w="0" w:type="dxa"/>
              <w:left w:w="108" w:type="dxa"/>
              <w:bottom w:w="0" w:type="dxa"/>
              <w:right w:w="108" w:type="dxa"/>
            </w:tcMar>
            <w:vAlign w:val="bottom"/>
          </w:tcPr>
          <w:p>
            <w:pPr>
              <w:widowControl/>
              <w:jc w:val="left"/>
              <w:rPr>
                <w:rFonts w:hint="eastAsia" w:ascii="宋体" w:hAnsi="宋体" w:cs="宋体"/>
                <w:sz w:val="13"/>
                <w:szCs w:val="13"/>
              </w:rPr>
            </w:pPr>
            <w:r>
              <w:rPr>
                <w:rFonts w:hint="eastAsia" w:ascii="宋体" w:hAnsi="宋体" w:cs="宋体"/>
                <w:sz w:val="13"/>
                <w:szCs w:val="13"/>
              </w:rPr>
              <w:t>编制单位：大同市公安局云泉分局</w:t>
            </w:r>
          </w:p>
        </w:tc>
        <w:tc>
          <w:tcPr>
            <w:tcW w:w="827" w:type="pct"/>
            <w:gridSpan w:val="5"/>
            <w:tcBorders>
              <w:top w:val="nil"/>
              <w:left w:val="nil"/>
              <w:bottom w:val="nil"/>
              <w:right w:val="nil"/>
            </w:tcBorders>
            <w:tcMar>
              <w:top w:w="0" w:type="dxa"/>
              <w:left w:w="108" w:type="dxa"/>
              <w:bottom w:w="0" w:type="dxa"/>
              <w:right w:w="108" w:type="dxa"/>
            </w:tcMar>
            <w:vAlign w:val="bottom"/>
          </w:tcPr>
          <w:p>
            <w:pPr>
              <w:widowControl/>
              <w:jc w:val="center"/>
              <w:rPr>
                <w:rFonts w:hint="eastAsia" w:ascii="宋体" w:hAnsi="宋体" w:cs="宋体"/>
                <w:sz w:val="13"/>
                <w:szCs w:val="13"/>
              </w:rPr>
            </w:pPr>
            <w:r>
              <w:rPr>
                <w:rFonts w:hint="eastAsia" w:ascii="宋体" w:hAnsi="宋体" w:cs="宋体"/>
                <w:sz w:val="13"/>
                <w:szCs w:val="13"/>
              </w:rPr>
              <w:t>2022年7月</w:t>
            </w:r>
          </w:p>
        </w:tc>
        <w:tc>
          <w:tcPr>
            <w:tcW w:w="1021" w:type="pct"/>
            <w:gridSpan w:val="6"/>
            <w:tcBorders>
              <w:top w:val="nil"/>
              <w:left w:val="nil"/>
              <w:bottom w:val="nil"/>
              <w:right w:val="nil"/>
            </w:tcBorders>
            <w:tcMar>
              <w:top w:w="0" w:type="dxa"/>
              <w:left w:w="108" w:type="dxa"/>
              <w:bottom w:w="0" w:type="dxa"/>
              <w:right w:w="108" w:type="dxa"/>
            </w:tcMar>
            <w:vAlign w:val="bottom"/>
          </w:tcPr>
          <w:p>
            <w:pPr>
              <w:widowControl/>
              <w:jc w:val="right"/>
              <w:rPr>
                <w:rFonts w:hint="eastAsia" w:ascii="宋体" w:hAnsi="宋体" w:cs="宋体"/>
                <w:sz w:val="13"/>
                <w:szCs w:val="13"/>
              </w:rPr>
            </w:pPr>
            <w:r>
              <w:rPr>
                <w:rFonts w:hint="eastAsia" w:ascii="宋体" w:hAnsi="宋体" w:cs="宋体"/>
                <w:sz w:val="13"/>
                <w:szCs w:val="13"/>
              </w:rPr>
              <w:t>金额单位：元</w:t>
            </w:r>
          </w:p>
        </w:tc>
      </w:tr>
      <w:tr>
        <w:tblPrEx>
          <w:tblCellMar>
            <w:top w:w="0" w:type="dxa"/>
            <w:left w:w="10" w:type="dxa"/>
            <w:bottom w:w="0" w:type="dxa"/>
            <w:right w:w="10" w:type="dxa"/>
          </w:tblCellMar>
        </w:tblPrEx>
        <w:trPr>
          <w:trHeight w:val="308" w:hRule="atLeast"/>
        </w:trPr>
        <w:tc>
          <w:tcPr>
            <w:tcW w:w="5000" w:type="pct"/>
            <w:gridSpan w:val="30"/>
            <w:tcBorders>
              <w:top w:val="single" w:color="000000" w:sz="4" w:space="0"/>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6"/>
                <w:szCs w:val="16"/>
              </w:rPr>
            </w:pPr>
            <w:r>
              <w:rPr>
                <w:rFonts w:hint="eastAsia" w:ascii="宋体" w:hAnsi="宋体" w:cs="宋体"/>
                <w:b/>
                <w:bCs/>
                <w:sz w:val="16"/>
                <w:szCs w:val="16"/>
              </w:rPr>
              <w:t>一、政府采购情况</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行次</w:t>
            </w:r>
          </w:p>
        </w:tc>
        <w:tc>
          <w:tcPr>
            <w:tcW w:w="1021" w:type="pct"/>
            <w:gridSpan w:val="6"/>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采购金额</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合计</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200,000.00</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货物</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2</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工程</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3</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服务</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4</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200,000.00</w:t>
            </w:r>
          </w:p>
        </w:tc>
      </w:tr>
      <w:tr>
        <w:tblPrEx>
          <w:tblCellMar>
            <w:top w:w="0" w:type="dxa"/>
            <w:left w:w="10" w:type="dxa"/>
            <w:bottom w:w="0" w:type="dxa"/>
            <w:right w:w="10" w:type="dxa"/>
          </w:tblCellMar>
        </w:tblPrEx>
        <w:trPr>
          <w:trHeight w:val="308" w:hRule="atLeast"/>
        </w:trPr>
        <w:tc>
          <w:tcPr>
            <w:tcW w:w="5000" w:type="pct"/>
            <w:gridSpan w:val="30"/>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6"/>
                <w:szCs w:val="16"/>
              </w:rPr>
            </w:pPr>
            <w:r>
              <w:rPr>
                <w:rFonts w:hint="eastAsia" w:ascii="宋体" w:hAnsi="宋体" w:cs="宋体"/>
                <w:b/>
                <w:bCs/>
                <w:sz w:val="16"/>
                <w:szCs w:val="16"/>
              </w:rPr>
              <w:t>二、机关运行经费</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项目</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jc w:val="center"/>
              <w:rPr>
                <w:rFonts w:hint="eastAsia" w:ascii="宋体" w:hAnsi="宋体" w:cs="宋体"/>
                <w:sz w:val="16"/>
                <w:szCs w:val="16"/>
              </w:rPr>
            </w:pPr>
          </w:p>
        </w:tc>
        <w:tc>
          <w:tcPr>
            <w:tcW w:w="1021" w:type="pct"/>
            <w:gridSpan w:val="6"/>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统计数</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（一）行政单位</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5</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9,118,156.45</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（二）参照公务员法管理事业单位</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6</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30"/>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b/>
                <w:bCs/>
                <w:sz w:val="16"/>
                <w:szCs w:val="16"/>
              </w:rPr>
            </w:pPr>
            <w:r>
              <w:rPr>
                <w:rFonts w:hint="eastAsia" w:ascii="宋体" w:hAnsi="宋体" w:cs="宋体"/>
                <w:b/>
                <w:bCs/>
                <w:sz w:val="16"/>
                <w:szCs w:val="16"/>
              </w:rPr>
              <w:t>三、国有资产占用情况</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（一）车辆数合计（辆）</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7</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38.00</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1.副部（省）级及以上领导用车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8</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2.主要领导干部用车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9</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3.机要通信用车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10</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1.00</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4.应急保障用车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11</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5.执法执勤用车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12</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right"/>
              <w:rPr>
                <w:rFonts w:hint="eastAsia" w:ascii="宋体" w:hAnsi="宋体" w:cs="宋体"/>
                <w:sz w:val="16"/>
                <w:szCs w:val="16"/>
              </w:rPr>
            </w:pPr>
            <w:r>
              <w:rPr>
                <w:rFonts w:hint="eastAsia" w:ascii="宋体" w:hAnsi="宋体" w:cs="宋体"/>
                <w:sz w:val="16"/>
                <w:szCs w:val="16"/>
              </w:rPr>
              <w:t>37.00</w:t>
            </w: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6.特种专业技术用车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13</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7.离退休干部用车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14</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8.其他用车</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15</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（二）单价50万元以上通用设备（台、套）</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16</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23" w:hRule="atLeast"/>
        </w:trPr>
        <w:tc>
          <w:tcPr>
            <w:tcW w:w="3150" w:type="pct"/>
            <w:gridSpan w:val="19"/>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（三）单价100万元以上专用设备（台、套）</w:t>
            </w:r>
          </w:p>
        </w:tc>
        <w:tc>
          <w:tcPr>
            <w:tcW w:w="827" w:type="pct"/>
            <w:gridSpan w:val="5"/>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widowControl/>
              <w:jc w:val="center"/>
              <w:rPr>
                <w:rFonts w:hint="eastAsia" w:ascii="宋体" w:hAnsi="宋体" w:cs="宋体"/>
                <w:sz w:val="16"/>
                <w:szCs w:val="16"/>
              </w:rPr>
            </w:pPr>
            <w:r>
              <w:rPr>
                <w:rFonts w:hint="eastAsia" w:ascii="宋体" w:hAnsi="宋体" w:cs="宋体"/>
                <w:sz w:val="16"/>
                <w:szCs w:val="16"/>
              </w:rPr>
              <w:t>17</w:t>
            </w:r>
          </w:p>
        </w:tc>
        <w:tc>
          <w:tcPr>
            <w:tcW w:w="1021" w:type="pct"/>
            <w:gridSpan w:val="6"/>
            <w:tcBorders>
              <w:top w:val="nil"/>
              <w:left w:val="nil"/>
              <w:bottom w:val="single" w:color="000000" w:sz="4" w:space="0"/>
              <w:right w:val="single" w:color="000000" w:sz="4" w:space="0"/>
            </w:tcBorders>
            <w:tcMar>
              <w:top w:w="0" w:type="dxa"/>
              <w:left w:w="108" w:type="dxa"/>
              <w:bottom w:w="0" w:type="dxa"/>
              <w:right w:w="108" w:type="dxa"/>
            </w:tcMar>
            <w:vAlign w:val="center"/>
          </w:tcPr>
          <w:p>
            <w:pPr>
              <w:jc w:val="right"/>
              <w:rPr>
                <w:rFonts w:hint="eastAsia" w:ascii="宋体" w:hAnsi="宋体" w:cs="宋体"/>
                <w:sz w:val="16"/>
                <w:szCs w:val="16"/>
              </w:rPr>
            </w:pPr>
          </w:p>
        </w:tc>
      </w:tr>
      <w:tr>
        <w:tblPrEx>
          <w:tblCellMar>
            <w:top w:w="0" w:type="dxa"/>
            <w:left w:w="10" w:type="dxa"/>
            <w:bottom w:w="0" w:type="dxa"/>
            <w:right w:w="10" w:type="dxa"/>
          </w:tblCellMar>
        </w:tblPrEx>
        <w:trPr>
          <w:trHeight w:val="308" w:hRule="atLeast"/>
        </w:trPr>
        <w:tc>
          <w:tcPr>
            <w:tcW w:w="5000" w:type="pct"/>
            <w:gridSpan w:val="30"/>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sz w:val="16"/>
                <w:szCs w:val="16"/>
              </w:rPr>
            </w:pPr>
            <w:r>
              <w:rPr>
                <w:rFonts w:hint="eastAsia" w:ascii="宋体" w:hAnsi="宋体" w:cs="宋体"/>
                <w:sz w:val="16"/>
                <w:szCs w:val="16"/>
              </w:rPr>
              <w:t>注：本表反映部门本年度政府采购及机关运行经费和国有资产占用情况。</w:t>
            </w:r>
          </w:p>
        </w:tc>
      </w:tr>
    </w:tbl>
    <w:p>
      <w:pPr>
        <w:sectPr>
          <w:headerReference r:id="rId4" w:type="default"/>
          <w:footerReference r:id="rId5" w:type="default"/>
          <w:footnotePr>
            <w:numFmt w:val="decimal"/>
          </w:footnotePr>
          <w:endnotePr>
            <w:numFmt w:val="decimal"/>
          </w:endnotePr>
          <w:pgSz w:w="16838" w:h="11906" w:orient="landscape"/>
          <w:pgMar w:top="1800" w:right="1440" w:bottom="1800" w:left="1440" w:header="720" w:footer="992" w:gutter="0"/>
          <w:pgNumType w:fmt="decimal"/>
          <w:cols w:space="720" w:num="1"/>
        </w:sectPr>
      </w:pPr>
    </w:p>
    <w:p>
      <w:pPr>
        <w:rPr>
          <w:rFonts w:hint="eastAsia" w:ascii="仿宋" w:hAnsi="仿宋" w:eastAsia="仿宋" w:cs="仿宋"/>
          <w:sz w:val="32"/>
          <w:szCs w:val="36"/>
        </w:rPr>
      </w:pPr>
      <w:bookmarkStart w:id="30" w:name="_Toc5948"/>
      <w:bookmarkEnd w:id="30"/>
    </w:p>
    <w:p>
      <w:pPr>
        <w:numPr>
          <w:ilvl w:val="0"/>
          <w:numId w:val="0"/>
        </w:numPr>
        <w:ind w:left="0" w:leftChars="0" w:firstLine="0" w:firstLineChars="0"/>
        <w:outlineLvl w:val="0"/>
        <w:rPr>
          <w:rFonts w:hint="eastAsia" w:ascii="黑体" w:hAnsi="黑体" w:eastAsia="黑体"/>
          <w:b/>
          <w:sz w:val="32"/>
          <w:szCs w:val="32"/>
        </w:rPr>
      </w:pPr>
      <w:bookmarkStart w:id="31" w:name="_Toc9173"/>
      <w:bookmarkEnd w:id="31"/>
      <w:bookmarkStart w:id="32" w:name="_Toc21132"/>
      <w:bookmarkStart w:id="33" w:name="_Toc952"/>
      <w:bookmarkStart w:id="34" w:name="_Toc8195"/>
      <w:r>
        <w:rPr>
          <w:rFonts w:hint="eastAsia" w:ascii="黑体" w:hAnsi="黑体" w:eastAsia="黑体" w:cs="Arial"/>
          <w:b/>
          <w:kern w:val="1"/>
          <w:sz w:val="32"/>
          <w:szCs w:val="32"/>
          <w:lang w:val="en-US" w:eastAsia="zh-CN" w:bidi="ar-SA"/>
        </w:rPr>
        <w:t xml:space="preserve">第三部分 </w:t>
      </w:r>
      <w:r>
        <w:rPr>
          <w:rFonts w:hint="eastAsia" w:ascii="黑体" w:hAnsi="黑体" w:eastAsia="黑体"/>
          <w:b/>
          <w:sz w:val="32"/>
          <w:szCs w:val="32"/>
        </w:rPr>
        <w:t xml:space="preserve"> 2021年度部门决算情况说明</w:t>
      </w:r>
      <w:bookmarkEnd w:id="32"/>
      <w:bookmarkEnd w:id="33"/>
      <w:bookmarkEnd w:id="34"/>
    </w:p>
    <w:p>
      <w:pPr>
        <w:numPr>
          <w:ilvl w:val="0"/>
          <w:numId w:val="0"/>
        </w:numPr>
        <w:ind w:leftChars="0"/>
        <w:outlineLvl w:val="9"/>
        <w:rPr>
          <w:rFonts w:hint="eastAsia" w:ascii="黑体" w:hAnsi="黑体" w:eastAsia="黑体"/>
          <w:b/>
          <w:sz w:val="32"/>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35" w:name="_Toc28326"/>
      <w:bookmarkEnd w:id="35"/>
      <w:bookmarkStart w:id="36" w:name="_Toc3047"/>
      <w:bookmarkEnd w:id="36"/>
      <w:bookmarkStart w:id="37" w:name="_Toc24943"/>
      <w:bookmarkStart w:id="38" w:name="_Toc7744"/>
      <w:r>
        <w:rPr>
          <w:rFonts w:hint="eastAsia" w:ascii="仿宋" w:hAnsi="仿宋" w:eastAsia="仿宋" w:cs="仿宋"/>
          <w:b/>
          <w:bCs/>
          <w:sz w:val="32"/>
          <w:szCs w:val="36"/>
        </w:rPr>
        <w:t>一、收入支出决算总体情况说明</w:t>
      </w:r>
      <w:bookmarkEnd w:id="37"/>
      <w:bookmarkEnd w:id="3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我单位2021年度收入总计4478.63万元、支出总计4473.13万元。与上年相比，收入总计减少27.36 万元，下降 0.61%，支出总计减少68.08万元，下降1.52%。主要原</w:t>
      </w:r>
      <w:r>
        <w:rPr>
          <w:rFonts w:hint="default" w:ascii="仿宋" w:hAnsi="仿宋" w:eastAsia="仿宋" w:cs="仿宋"/>
          <w:sz w:val="32"/>
          <w:szCs w:val="36"/>
          <w:lang w:val="en-US"/>
        </w:rPr>
        <w:t>因是2020年主管部门</w:t>
      </w:r>
      <w:r>
        <w:rPr>
          <w:rFonts w:hint="eastAsia" w:ascii="仿宋" w:hAnsi="仿宋" w:eastAsia="仿宋" w:cs="仿宋"/>
          <w:sz w:val="32"/>
          <w:szCs w:val="36"/>
        </w:rPr>
        <w:t>为我分局及15个派出所购入大量固定资产，较</w:t>
      </w:r>
      <w:r>
        <w:rPr>
          <w:rFonts w:hint="default" w:ascii="仿宋" w:hAnsi="仿宋" w:eastAsia="仿宋" w:cs="仿宋"/>
          <w:sz w:val="32"/>
          <w:szCs w:val="36"/>
          <w:lang w:val="en-US"/>
        </w:rPr>
        <w:t>今</w:t>
      </w:r>
      <w:r>
        <w:rPr>
          <w:rFonts w:hint="eastAsia" w:ascii="仿宋" w:hAnsi="仿宋" w:eastAsia="仿宋" w:cs="仿宋"/>
          <w:sz w:val="32"/>
          <w:szCs w:val="36"/>
        </w:rPr>
        <w:t>年增</w:t>
      </w:r>
      <w:r>
        <w:rPr>
          <w:rFonts w:hint="default" w:ascii="仿宋" w:hAnsi="仿宋" w:eastAsia="仿宋" w:cs="仿宋"/>
          <w:sz w:val="32"/>
          <w:szCs w:val="36"/>
          <w:lang w:val="en-US"/>
        </w:rPr>
        <w:t>加</w:t>
      </w:r>
      <w:r>
        <w:rPr>
          <w:rFonts w:hint="eastAsia" w:ascii="仿宋" w:hAnsi="仿宋" w:eastAsia="仿宋" w:cs="仿宋"/>
          <w:sz w:val="32"/>
          <w:szCs w:val="36"/>
        </w:rPr>
        <w:t>了大量与之相关支出。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39" w:name="_Toc2247"/>
      <w:bookmarkEnd w:id="39"/>
      <w:bookmarkStart w:id="40" w:name="_Toc21501"/>
      <w:bookmarkEnd w:id="40"/>
      <w:bookmarkStart w:id="41" w:name="_Toc31583"/>
      <w:bookmarkStart w:id="42" w:name="_Toc24631"/>
      <w:r>
        <w:rPr>
          <w:rFonts w:hint="eastAsia" w:ascii="仿宋" w:hAnsi="仿宋" w:eastAsia="仿宋" w:cs="仿宋"/>
          <w:b/>
          <w:bCs/>
          <w:sz w:val="32"/>
          <w:szCs w:val="36"/>
        </w:rPr>
        <w:t>二、收入决算情况说明</w:t>
      </w:r>
      <w:bookmarkEnd w:id="41"/>
      <w:bookmarkEnd w:id="4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收入合计4478.63万元，其中：财政拨款收入4478.34万元，占比99.99%；上级补助收入0万元，占比0.00%；事业收入0万元，占比0.00%；经营收入0万元，占比0.00%；附属单位上缴收入0万元，占比0.00%；其他收入0.29万元，占比0.006%。</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43" w:name="_Toc30841"/>
      <w:bookmarkEnd w:id="43"/>
      <w:bookmarkStart w:id="44" w:name="_Toc27015"/>
      <w:bookmarkEnd w:id="44"/>
      <w:bookmarkStart w:id="45" w:name="_Toc16112"/>
      <w:bookmarkStart w:id="46" w:name="_Toc22854"/>
      <w:r>
        <w:rPr>
          <w:rFonts w:hint="eastAsia" w:ascii="仿宋" w:hAnsi="仿宋" w:eastAsia="仿宋" w:cs="仿宋"/>
          <w:b/>
          <w:bCs/>
          <w:sz w:val="32"/>
          <w:szCs w:val="36"/>
        </w:rPr>
        <w:t>三、支出决算情况说明</w:t>
      </w:r>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我单位2021年度支出合计4473.13万元，其中：基本支出4160.42万元，占比93%；项目支出312.71 万元，占比6.99%；上缴上级支出0万元，占比0.00%，经营支出0万元，占比0.00%，对附属单位补助支出0万元，占比0.00%。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47" w:name="_Toc20883"/>
      <w:bookmarkEnd w:id="47"/>
      <w:bookmarkStart w:id="48" w:name="_Toc21365"/>
      <w:bookmarkEnd w:id="48"/>
      <w:bookmarkStart w:id="49" w:name="_Toc5715"/>
      <w:bookmarkStart w:id="50" w:name="_Toc31778"/>
      <w:r>
        <w:rPr>
          <w:rFonts w:hint="eastAsia" w:ascii="仿宋" w:hAnsi="仿宋" w:eastAsia="仿宋" w:cs="仿宋"/>
          <w:b/>
          <w:bCs/>
          <w:sz w:val="32"/>
          <w:szCs w:val="36"/>
        </w:rPr>
        <w:t>四、财政拨款收入支出决算总体情况说明</w:t>
      </w:r>
      <w:bookmarkEnd w:id="49"/>
      <w:bookmarkEnd w:id="5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财政拨款收入总计4478.34万元、支出总计4458.06万元。与上年相比，财政拨款收入总计减少27.42万元，下降0.61%，财政拨款支出总计减少81.14万元，下降1.82%。主要原因是2021年新增的退休人员致单位社会保障和就业支出的增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51" w:name="_Toc31289"/>
      <w:bookmarkEnd w:id="51"/>
      <w:bookmarkStart w:id="52" w:name="_Toc26218"/>
      <w:bookmarkEnd w:id="52"/>
      <w:bookmarkStart w:id="53" w:name="_Toc3375"/>
      <w:bookmarkStart w:id="54" w:name="_Toc8909"/>
      <w:r>
        <w:rPr>
          <w:rFonts w:hint="eastAsia" w:ascii="仿宋" w:hAnsi="仿宋" w:eastAsia="仿宋" w:cs="仿宋"/>
          <w:b/>
          <w:bCs/>
          <w:sz w:val="32"/>
          <w:szCs w:val="36"/>
        </w:rPr>
        <w:t>五、一般公共预算财政拨款支出决算情况说明</w:t>
      </w:r>
      <w:bookmarkEnd w:id="53"/>
      <w:bookmarkEnd w:id="54"/>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55" w:name="_Toc27572"/>
      <w:bookmarkEnd w:id="55"/>
      <w:bookmarkStart w:id="56" w:name="_Toc15718"/>
      <w:bookmarkEnd w:id="56"/>
      <w:bookmarkStart w:id="57" w:name="_Toc29238"/>
      <w:r>
        <w:rPr>
          <w:rFonts w:hint="eastAsia" w:ascii="仿宋" w:hAnsi="仿宋" w:eastAsia="仿宋" w:cs="仿宋"/>
          <w:b/>
          <w:bCs/>
          <w:sz w:val="32"/>
          <w:szCs w:val="36"/>
        </w:rPr>
        <w:t>（一）财政拨款支出决算总体情况</w:t>
      </w:r>
      <w:bookmarkEnd w:id="5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年度财政拨款支出4458.06万元，占本年支出合计的99.66%。与上年相比，财政拨款支出减少81.14万元，下降1.82%。主要原因是新增在职转退休人数。其中，人员经费3403.29万元，占比76.34%，日常公用经费1054.77万元，占比23.65%。</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58" w:name="_Toc22043"/>
      <w:bookmarkEnd w:id="58"/>
      <w:bookmarkStart w:id="59" w:name="_Toc27553"/>
      <w:bookmarkEnd w:id="59"/>
      <w:bookmarkStart w:id="60" w:name="_Toc24364"/>
      <w:r>
        <w:rPr>
          <w:rFonts w:hint="eastAsia" w:ascii="仿宋" w:hAnsi="仿宋" w:eastAsia="仿宋" w:cs="仿宋"/>
          <w:b/>
          <w:bCs/>
          <w:sz w:val="32"/>
          <w:szCs w:val="36"/>
        </w:rPr>
        <w:t>（二）财政拨款支出决算结构情况</w:t>
      </w:r>
      <w:bookmarkEnd w:id="6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财政拨款支出4458.06万元，主要用于以下方面：一般公共服务（类）支出0万元，占0.00%；外交（类）支出0万元，占0.00%；国防（类）支出0万元，占0.00%；公共安全（类）支出3755.10万元，占84.23%；教育（类）支出 0万元，占0.00%；科学技术（类）支出0万元，占0.00%；文化旅游体育与传媒（类）支出0万元，占0.00%；社会保障和就业（类）支出315.79万元，占7.08%；卫生健康（类）支出120.14万元，占2.69%；节能环保（类）支出0万元，占0.00%；城乡社区（类）支出0万元，占0.00%；农林水（类）支出0万元，占0.00%；交通运输（类）支出0万元，占0.00%；资源勘探工业信息等（类）支出0万元，占0.00%；商业服务业等（类）支出0万元，占0.00%；金融（类）支出0万元，占0.00%；援助其他地区（类）支出0万元，占0.00%；自然资源海洋气象等（类）支出0万元，占0.00%；住房保障（类）支出267.01万元，占5.98%；粮油物资储备（类）支出0万元，占0.00%；国有资本经营预算（类）支出0万元，占0.00%；灾害防治及应急管理（类）支出0万元，占0.00%；其他（类）支出0万元，占0.00%；债务还本（类）支出0万元，占0.00%；债务付息（类）支出0万元，占0.00%；抗疫特别国债安排（类）支出 XX万元，占XX%；（没有的项可不列举）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61" w:name="_Toc22638"/>
      <w:bookmarkEnd w:id="61"/>
      <w:bookmarkStart w:id="62" w:name="_Toc7596"/>
      <w:bookmarkEnd w:id="62"/>
      <w:bookmarkStart w:id="63" w:name="_Toc22122"/>
      <w:r>
        <w:rPr>
          <w:rFonts w:hint="eastAsia" w:ascii="仿宋" w:hAnsi="仿宋" w:eastAsia="仿宋" w:cs="仿宋"/>
          <w:b/>
          <w:bCs/>
          <w:sz w:val="32"/>
          <w:szCs w:val="36"/>
        </w:rPr>
        <w:t>（三）财政拨款支出决算具体情况</w:t>
      </w:r>
      <w:bookmarkEnd w:id="6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财政拨款支出年初预算4328.93万元，支出决算4458.06万元，完成年初预算的100%。其中：公共安全支出年初预算3444.87万元，支出决算3755.10万元完成年初预算的100%，用于行政运行，确保单位日常工作正常运转。较上年决算减少491.97万元，下降11.58%，主要原因是根据我单位实际情况以及落实财政“过紧日子”政策减少行政运行的预算及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64" w:name="_Toc9538"/>
      <w:bookmarkEnd w:id="64"/>
      <w:bookmarkStart w:id="65" w:name="_Toc15315"/>
      <w:bookmarkEnd w:id="65"/>
      <w:bookmarkStart w:id="66" w:name="_Toc27268"/>
      <w:bookmarkStart w:id="67" w:name="_Toc1856"/>
      <w:r>
        <w:rPr>
          <w:rFonts w:hint="eastAsia" w:ascii="仿宋" w:hAnsi="仿宋" w:eastAsia="仿宋" w:cs="仿宋"/>
          <w:b/>
          <w:bCs/>
          <w:sz w:val="32"/>
          <w:szCs w:val="36"/>
        </w:rPr>
        <w:t>六、一般公共预算财政拨款基本支出决算情况说明</w:t>
      </w:r>
      <w:bookmarkEnd w:id="66"/>
      <w:bookmarkEnd w:id="6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我单位2021年度财政拨款基本支出4458.06万元，其中：人员经费3233.53万元，主要包括工资福利支出和对个人和家庭的补助；公用经费911.81万元，主要包括商品和服务支出和资本性支出。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68" w:name="_Toc23499"/>
      <w:bookmarkEnd w:id="68"/>
      <w:bookmarkStart w:id="69" w:name="_Toc32313"/>
      <w:bookmarkStart w:id="70" w:name="_Toc26872"/>
      <w:r>
        <w:rPr>
          <w:rFonts w:hint="eastAsia" w:ascii="仿宋" w:hAnsi="仿宋" w:eastAsia="仿宋" w:cs="仿宋"/>
          <w:b/>
          <w:bCs/>
          <w:sz w:val="32"/>
          <w:szCs w:val="36"/>
        </w:rPr>
        <w:t>七、一般公共预算财政拨款“三公”经费支出决算情况说明</w:t>
      </w:r>
      <w:bookmarkEnd w:id="69"/>
      <w:bookmarkEnd w:id="7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71" w:name="_Toc7422"/>
      <w:bookmarkEnd w:id="71"/>
      <w:bookmarkStart w:id="72" w:name="_Toc9079"/>
      <w:bookmarkEnd w:id="72"/>
      <w:bookmarkStart w:id="73" w:name="_Toc21836"/>
      <w:r>
        <w:rPr>
          <w:rFonts w:hint="eastAsia" w:ascii="仿宋" w:hAnsi="仿宋" w:eastAsia="仿宋" w:cs="仿宋"/>
          <w:b/>
          <w:bCs/>
          <w:sz w:val="32"/>
          <w:szCs w:val="36"/>
        </w:rPr>
        <w:t>（一）“三公”经费财政拨款支出决算总体情况说明</w:t>
      </w:r>
      <w:bookmarkEnd w:id="7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1"/>
          <w:sz w:val="32"/>
          <w:szCs w:val="32"/>
          <w:lang w:eastAsia="zh-CN"/>
        </w:rPr>
      </w:pPr>
      <w:r>
        <w:rPr>
          <w:rFonts w:hint="eastAsia" w:ascii="仿宋" w:hAnsi="仿宋" w:eastAsia="仿宋" w:cs="仿宋"/>
          <w:kern w:val="1"/>
          <w:sz w:val="32"/>
          <w:szCs w:val="32"/>
        </w:rPr>
        <w:t>202</w:t>
      </w:r>
      <w:r>
        <w:rPr>
          <w:rFonts w:hint="eastAsia" w:ascii="仿宋" w:hAnsi="仿宋" w:eastAsia="仿宋" w:cs="仿宋"/>
          <w:kern w:val="1"/>
          <w:sz w:val="32"/>
          <w:szCs w:val="32"/>
          <w:lang w:val="en-US" w:eastAsia="zh-CN"/>
        </w:rPr>
        <w:t>1</w:t>
      </w:r>
      <w:r>
        <w:rPr>
          <w:rFonts w:hint="eastAsia" w:ascii="仿宋" w:hAnsi="仿宋" w:eastAsia="仿宋" w:cs="仿宋"/>
          <w:kern w:val="1"/>
          <w:sz w:val="32"/>
          <w:szCs w:val="32"/>
        </w:rPr>
        <w:t>年一般公共预算安排的“三公”经费预算</w:t>
      </w:r>
      <w:r>
        <w:rPr>
          <w:rFonts w:hint="eastAsia" w:ascii="仿宋" w:hAnsi="仿宋" w:eastAsia="仿宋" w:cs="仿宋"/>
          <w:kern w:val="1"/>
          <w:sz w:val="32"/>
          <w:szCs w:val="32"/>
          <w:lang w:val="en-US" w:eastAsia="zh-CN"/>
        </w:rPr>
        <w:t>148.55</w:t>
      </w:r>
      <w:r>
        <w:rPr>
          <w:rFonts w:hint="eastAsia" w:ascii="仿宋" w:hAnsi="仿宋" w:eastAsia="仿宋" w:cs="仿宋"/>
          <w:kern w:val="1"/>
          <w:sz w:val="32"/>
          <w:szCs w:val="32"/>
        </w:rPr>
        <w:t>万元，</w:t>
      </w:r>
      <w:r>
        <w:rPr>
          <w:rFonts w:hint="eastAsia" w:ascii="仿宋" w:hAnsi="仿宋" w:eastAsia="仿宋" w:cs="仿宋"/>
          <w:sz w:val="32"/>
          <w:szCs w:val="36"/>
        </w:rPr>
        <w:t>支出决算135.11万元</w:t>
      </w:r>
      <w:r>
        <w:rPr>
          <w:rFonts w:hint="eastAsia" w:ascii="仿宋" w:hAnsi="仿宋" w:eastAsia="仿宋" w:cs="仿宋"/>
          <w:sz w:val="32"/>
          <w:szCs w:val="36"/>
          <w:lang w:eastAsia="zh-CN"/>
        </w:rPr>
        <w:t>，</w:t>
      </w:r>
      <w:r>
        <w:rPr>
          <w:rFonts w:hint="eastAsia" w:ascii="仿宋" w:hAnsi="仿宋" w:eastAsia="仿宋" w:cs="仿宋"/>
          <w:kern w:val="1"/>
          <w:sz w:val="32"/>
          <w:szCs w:val="32"/>
        </w:rPr>
        <w:t>比202</w:t>
      </w:r>
      <w:r>
        <w:rPr>
          <w:rFonts w:hint="eastAsia" w:ascii="仿宋" w:hAnsi="仿宋" w:eastAsia="仿宋" w:cs="仿宋"/>
          <w:kern w:val="1"/>
          <w:sz w:val="32"/>
          <w:szCs w:val="32"/>
          <w:lang w:val="en-US" w:eastAsia="zh-CN"/>
        </w:rPr>
        <w:t>0</w:t>
      </w:r>
      <w:r>
        <w:rPr>
          <w:rFonts w:hint="eastAsia" w:ascii="仿宋" w:hAnsi="仿宋" w:eastAsia="仿宋" w:cs="仿宋"/>
          <w:kern w:val="1"/>
          <w:sz w:val="32"/>
          <w:szCs w:val="32"/>
        </w:rPr>
        <w:t>年</w:t>
      </w:r>
      <w:r>
        <w:rPr>
          <w:rFonts w:hint="eastAsia" w:ascii="仿宋" w:hAnsi="仿宋" w:eastAsia="仿宋" w:cs="仿宋"/>
          <w:kern w:val="1"/>
          <w:sz w:val="32"/>
          <w:szCs w:val="32"/>
          <w:lang w:eastAsia="zh-CN"/>
        </w:rPr>
        <w:t>增加</w:t>
      </w:r>
      <w:r>
        <w:rPr>
          <w:rFonts w:hint="eastAsia" w:ascii="仿宋" w:hAnsi="仿宋" w:eastAsia="仿宋" w:cs="仿宋"/>
          <w:kern w:val="1"/>
          <w:sz w:val="32"/>
          <w:szCs w:val="32"/>
          <w:lang w:val="en-US" w:eastAsia="zh-CN"/>
        </w:rPr>
        <w:t>3</w:t>
      </w:r>
      <w:r>
        <w:rPr>
          <w:rFonts w:hint="eastAsia" w:ascii="仿宋" w:hAnsi="仿宋" w:eastAsia="仿宋" w:cs="仿宋"/>
          <w:kern w:val="1"/>
          <w:sz w:val="32"/>
          <w:szCs w:val="32"/>
        </w:rPr>
        <w:t>2万元，</w:t>
      </w:r>
      <w:r>
        <w:rPr>
          <w:rFonts w:hint="eastAsia" w:ascii="仿宋" w:hAnsi="仿宋" w:eastAsia="仿宋" w:cs="仿宋"/>
          <w:sz w:val="32"/>
          <w:szCs w:val="36"/>
        </w:rPr>
        <w:t>增长31.04%，主要原因是：公安业务车辆、勤务车辆及特种车辆运行维护支出因日常办案、防疫出勤等工作需要较上年有所增加</w:t>
      </w:r>
      <w:r>
        <w:rPr>
          <w:rFonts w:hint="eastAsia" w:ascii="仿宋" w:hAnsi="仿宋" w:eastAsia="仿宋" w:cs="仿宋"/>
          <w:sz w:val="32"/>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74" w:name="_Toc1261"/>
      <w:bookmarkEnd w:id="74"/>
      <w:bookmarkStart w:id="75" w:name="_Toc1093"/>
      <w:bookmarkEnd w:id="75"/>
      <w:bookmarkStart w:id="76" w:name="_Toc21195"/>
      <w:r>
        <w:rPr>
          <w:rFonts w:hint="eastAsia" w:ascii="仿宋" w:hAnsi="仿宋" w:eastAsia="仿宋" w:cs="仿宋"/>
          <w:b/>
          <w:bCs/>
          <w:sz w:val="32"/>
          <w:szCs w:val="36"/>
        </w:rPr>
        <w:t>（二）“三公”经费财政拨款支出决算具体情况说明</w:t>
      </w:r>
      <w:bookmarkEnd w:id="7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rPr>
        <w:t>我单位2021年度“三公”经费财政拨款支出决算135.11万元，其中：因公出国（境）费用0万元，公务用车购置费0万元，公务接待费0万元，均与上年持平；公务车运行维护费135.11万元（勤务、业务车辆），比上年增加32.01万元。</w:t>
      </w:r>
      <w:r>
        <w:rPr>
          <w:rFonts w:hint="eastAsia" w:ascii="仿宋" w:hAnsi="仿宋" w:eastAsia="仿宋" w:cs="仿宋"/>
          <w:sz w:val="32"/>
          <w:szCs w:val="36"/>
          <w:lang w:val="en-US" w:eastAsia="zh-CN"/>
        </w:rPr>
        <w:t>我单位实有车辆46辆，与上年一致。</w:t>
      </w:r>
      <w:bookmarkStart w:id="110" w:name="_GoBack"/>
      <w:bookmarkEnd w:id="11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b/>
          <w:bCs/>
          <w:sz w:val="32"/>
          <w:szCs w:val="36"/>
        </w:rPr>
      </w:pPr>
      <w:bookmarkStart w:id="77" w:name="_Toc31932"/>
      <w:bookmarkEnd w:id="77"/>
      <w:bookmarkStart w:id="78" w:name="_Toc29466"/>
      <w:bookmarkEnd w:id="78"/>
      <w:bookmarkStart w:id="79" w:name="_Toc21937"/>
      <w:bookmarkStart w:id="80" w:name="_Toc28187"/>
      <w:r>
        <w:rPr>
          <w:rFonts w:hint="eastAsia" w:ascii="仿宋" w:hAnsi="仿宋" w:eastAsia="仿宋" w:cs="仿宋"/>
          <w:b/>
          <w:bCs/>
          <w:sz w:val="32"/>
          <w:szCs w:val="36"/>
        </w:rPr>
        <w:t>八、其他重要事项情况说明</w:t>
      </w:r>
      <w:bookmarkEnd w:id="79"/>
      <w:bookmarkEnd w:id="8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81" w:name="_Toc12266"/>
      <w:bookmarkEnd w:id="81"/>
      <w:bookmarkStart w:id="82" w:name="_Toc10640"/>
      <w:bookmarkEnd w:id="82"/>
      <w:bookmarkStart w:id="83" w:name="_Toc19699"/>
      <w:r>
        <w:rPr>
          <w:rFonts w:hint="eastAsia" w:ascii="仿宋" w:hAnsi="仿宋" w:eastAsia="仿宋" w:cs="仿宋"/>
          <w:b/>
          <w:bCs/>
          <w:sz w:val="32"/>
          <w:szCs w:val="36"/>
        </w:rPr>
        <w:t>（一）机关运行经费支出情况说明</w:t>
      </w:r>
      <w:bookmarkEnd w:id="8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我单位2021年机关运行经费支出911.81万元，比上年增加4.73万元，增长0.52%。</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84" w:name="_Toc2617"/>
      <w:bookmarkEnd w:id="84"/>
      <w:bookmarkStart w:id="85" w:name="_Toc6460"/>
      <w:bookmarkEnd w:id="85"/>
      <w:bookmarkStart w:id="86" w:name="_Toc6530"/>
      <w:r>
        <w:rPr>
          <w:rFonts w:hint="eastAsia" w:ascii="仿宋" w:hAnsi="仿宋" w:eastAsia="仿宋" w:cs="仿宋"/>
          <w:b/>
          <w:bCs/>
          <w:sz w:val="32"/>
          <w:szCs w:val="36"/>
        </w:rPr>
        <w:t>（二）政府采购情况说明</w:t>
      </w:r>
      <w:bookmarkEnd w:id="8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我单位2021年度政府采购支出总额20万元，其中：政府采购货物支出0万元、政府采购工程支出0万元、政府采购服务支出20万元。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87" w:name="_Toc5298"/>
      <w:bookmarkEnd w:id="87"/>
      <w:bookmarkStart w:id="88" w:name="_Toc32065"/>
      <w:bookmarkEnd w:id="88"/>
      <w:bookmarkStart w:id="89" w:name="_Toc17982"/>
      <w:r>
        <w:rPr>
          <w:rFonts w:hint="eastAsia" w:ascii="仿宋" w:hAnsi="仿宋" w:eastAsia="仿宋" w:cs="仿宋"/>
          <w:b/>
          <w:bCs/>
          <w:sz w:val="32"/>
          <w:szCs w:val="36"/>
        </w:rPr>
        <w:t>（三）国有资产占用情况说明</w:t>
      </w:r>
      <w:bookmarkEnd w:id="8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截至2021年12月31日，我单位车辆编制38辆，实有46辆，有8辆借于财政局。其中，副部（省）级及以上领导用车 0辆、主要领导干部用车0辆、机要通信用车1辆、应急保障用车 0辆、执法执勤用车45辆、特种专业技术用车0辆、离退休干部用车0辆、其他用车0辆。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仿宋" w:hAnsi="仿宋" w:eastAsia="仿宋" w:cs="仿宋"/>
          <w:b/>
          <w:bCs/>
          <w:sz w:val="32"/>
          <w:szCs w:val="36"/>
        </w:rPr>
      </w:pPr>
      <w:bookmarkStart w:id="90" w:name="_Toc2628"/>
      <w:bookmarkEnd w:id="90"/>
      <w:bookmarkStart w:id="91" w:name="_Toc13192"/>
      <w:bookmarkEnd w:id="91"/>
      <w:bookmarkStart w:id="92" w:name="_Toc24512"/>
      <w:r>
        <w:rPr>
          <w:rFonts w:hint="eastAsia" w:ascii="仿宋" w:hAnsi="仿宋" w:eastAsia="仿宋" w:cs="仿宋"/>
          <w:b/>
          <w:bCs/>
          <w:sz w:val="32"/>
          <w:szCs w:val="36"/>
        </w:rPr>
        <w:t>（四）预算绩效情况说明</w:t>
      </w:r>
      <w:bookmarkEnd w:id="92"/>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6"/>
        </w:rPr>
      </w:pPr>
      <w:r>
        <w:rPr>
          <w:rFonts w:hint="eastAsia" w:ascii="仿宋" w:hAnsi="仿宋" w:eastAsia="仿宋" w:cs="仿宋"/>
          <w:b/>
          <w:bCs/>
          <w:sz w:val="32"/>
          <w:szCs w:val="36"/>
        </w:rPr>
        <w:t>（1）预算绩效管理工作开展情况。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根据预算绩效管理要求，我单位组织对2021年度市级财政预算安排的专项资金类3个项目支出全面开展绩效自评，涉及预算资金229.75万元，占一般公共预算项目支出总额的73.47%。</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6"/>
        </w:rPr>
      </w:pPr>
      <w:r>
        <w:rPr>
          <w:rFonts w:hint="eastAsia" w:ascii="仿宋" w:hAnsi="仿宋" w:eastAsia="仿宋" w:cs="仿宋"/>
          <w:b/>
          <w:bCs/>
          <w:sz w:val="32"/>
          <w:szCs w:val="36"/>
        </w:rPr>
        <w:t>（2）部门决算中项目绩效自评结果。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2021年第二批政法转移资金项目绩效自评综：根据年初设定的绩效目标，项目自评得分为95分。全年预算数为60万元，执行数为60万元，完成预算的100%。项目绩效目标完成情况：截止12月31日全市累计远程视频提讯嫌疑人3098人、远程会见嫌疑人175人；行政案件快办率为80.74%已达省厅80%的要求。下一步改进措施：一是再进一步提高我单位的办案效率与破案效率；二是保障单位经费落到实处，提高社会民众满意度。</w:t>
      </w:r>
    </w:p>
    <w:p>
      <w:pPr>
        <w:numPr>
          <w:ilvl w:val="0"/>
          <w:numId w:val="0"/>
        </w:numPr>
        <w:rPr>
          <w:rFonts w:hint="eastAsia" w:ascii="仿宋" w:hAnsi="仿宋" w:eastAsia="仿宋" w:cs="仿宋"/>
          <w:sz w:val="32"/>
          <w:szCs w:val="36"/>
        </w:rPr>
      </w:pPr>
    </w:p>
    <w:tbl>
      <w:tblPr>
        <w:tblStyle w:val="10"/>
        <w:tblW w:w="9080" w:type="dxa"/>
        <w:jc w:val="center"/>
        <w:tblLayout w:type="autofit"/>
        <w:tblCellMar>
          <w:top w:w="0" w:type="dxa"/>
          <w:left w:w="10" w:type="dxa"/>
          <w:bottom w:w="0" w:type="dxa"/>
          <w:right w:w="10"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 w:type="dxa"/>
            <w:bottom w:w="0" w:type="dxa"/>
            <w:right w:w="10" w:type="dxa"/>
          </w:tblCellMar>
        </w:tblPrEx>
        <w:trPr>
          <w:trHeight w:val="529" w:hRule="exact"/>
          <w:jc w:val="center"/>
        </w:trPr>
        <w:tc>
          <w:tcPr>
            <w:tcW w:w="9080" w:type="dxa"/>
            <w:gridSpan w:val="15"/>
            <w:tcBorders>
              <w:top w:val="nil"/>
              <w:left w:val="nil"/>
              <w:bottom w:val="nil"/>
              <w:right w:val="nil"/>
            </w:tcBorders>
            <w:tcMar>
              <w:top w:w="0" w:type="dxa"/>
              <w:left w:w="108" w:type="dxa"/>
              <w:bottom w:w="0" w:type="dxa"/>
              <w:right w:w="108" w:type="dxa"/>
            </w:tcMar>
            <w:vAlign w:val="center"/>
          </w:tcPr>
          <w:p>
            <w:pPr>
              <w:widowControl/>
              <w:spacing w:line="320" w:lineRule="exact"/>
              <w:jc w:val="center"/>
              <w:rPr>
                <w:rFonts w:ascii="宋体" w:hAnsi="宋体" w:cs="宋体"/>
                <w:b/>
                <w:bCs/>
                <w:sz w:val="32"/>
                <w:szCs w:val="32"/>
              </w:rPr>
            </w:pPr>
            <w:r>
              <w:rPr>
                <w:rFonts w:hint="eastAsia" w:ascii="华文中宋" w:hAnsi="华文中宋" w:eastAsia="华文中宋" w:cs="华文中宋"/>
                <w:b/>
                <w:bCs/>
                <w:sz w:val="36"/>
                <w:szCs w:val="36"/>
              </w:rPr>
              <w:t>项目支出绩效自评表</w:t>
            </w:r>
          </w:p>
        </w:tc>
      </w:tr>
      <w:tr>
        <w:tblPrEx>
          <w:tblCellMar>
            <w:top w:w="0" w:type="dxa"/>
            <w:left w:w="10" w:type="dxa"/>
            <w:bottom w:w="0" w:type="dxa"/>
            <w:right w:w="10" w:type="dxa"/>
          </w:tblCellMar>
        </w:tblPrEx>
        <w:trPr>
          <w:trHeight w:val="201" w:hRule="atLeast"/>
          <w:jc w:val="center"/>
        </w:trPr>
        <w:tc>
          <w:tcPr>
            <w:tcW w:w="9080" w:type="dxa"/>
            <w:gridSpan w:val="15"/>
            <w:tcBorders>
              <w:top w:val="nil"/>
              <w:left w:val="nil"/>
              <w:bottom w:val="nil"/>
              <w:right w:val="nil"/>
            </w:tcBorders>
            <w:tcMar>
              <w:top w:w="0" w:type="dxa"/>
              <w:left w:w="108" w:type="dxa"/>
              <w:bottom w:w="0" w:type="dxa"/>
              <w:right w:w="108" w:type="dxa"/>
            </w:tcMar>
          </w:tcPr>
          <w:p>
            <w:pPr>
              <w:widowControl/>
              <w:rPr>
                <w:rFonts w:ascii="宋体" w:hAnsi="宋体" w:cs="宋体"/>
                <w:sz w:val="22"/>
              </w:rPr>
            </w:pPr>
            <w:r>
              <w:rPr>
                <w:rFonts w:hint="eastAsia" w:ascii="宋体" w:hAnsi="宋体" w:cs="宋体"/>
                <w:sz w:val="22"/>
              </w:rPr>
              <w:t>填列单位（公章）：大同市公安局云泉分局 （2021年度）</w:t>
            </w:r>
          </w:p>
        </w:tc>
      </w:tr>
      <w:tr>
        <w:tblPrEx>
          <w:tblCellMar>
            <w:top w:w="0" w:type="dxa"/>
            <w:left w:w="10" w:type="dxa"/>
            <w:bottom w:w="0" w:type="dxa"/>
            <w:right w:w="10" w:type="dxa"/>
          </w:tblCellMar>
        </w:tblPrEx>
        <w:trPr>
          <w:trHeight w:val="32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12"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2021年第二批政法转移支付资金（办案费）</w:t>
            </w:r>
          </w:p>
        </w:tc>
      </w:tr>
      <w:tr>
        <w:tblPrEx>
          <w:tblCellMar>
            <w:top w:w="0" w:type="dxa"/>
            <w:left w:w="10" w:type="dxa"/>
            <w:bottom w:w="0" w:type="dxa"/>
            <w:right w:w="10" w:type="dxa"/>
          </w:tblCellMar>
        </w:tblPrEx>
        <w:trPr>
          <w:trHeight w:val="38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大同市公安局</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实施单位</w:t>
            </w:r>
          </w:p>
        </w:tc>
        <w:tc>
          <w:tcPr>
            <w:tcW w:w="2268"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大同市公安局云泉分局</w:t>
            </w:r>
          </w:p>
        </w:tc>
      </w:tr>
      <w:tr>
        <w:tblPrEx>
          <w:tblCellMar>
            <w:top w:w="0" w:type="dxa"/>
            <w:left w:w="10" w:type="dxa"/>
            <w:bottom w:w="0" w:type="dxa"/>
            <w:right w:w="10" w:type="dxa"/>
          </w:tblCellMar>
        </w:tblPrEx>
        <w:trPr>
          <w:trHeight w:val="300" w:hRule="exact"/>
          <w:jc w:val="center"/>
        </w:trPr>
        <w:tc>
          <w:tcPr>
            <w:tcW w:w="1568"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年初预算数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全年预算数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全年执行数</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分值</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执行率</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得分</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年度资金总额</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60</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60</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r>
      <w:tr>
        <w:tblPrEx>
          <w:tblCellMar>
            <w:top w:w="0" w:type="dxa"/>
            <w:left w:w="10" w:type="dxa"/>
            <w:bottom w:w="0" w:type="dxa"/>
            <w:right w:w="10" w:type="dxa"/>
          </w:tblCellMar>
        </w:tblPrEx>
        <w:trPr>
          <w:trHeight w:val="322"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其中：当年财政拨款</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7"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 xml:space="preserve">      上年结转资金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58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 w:type="dxa"/>
            <w:bottom w:w="0" w:type="dxa"/>
            <w:right w:w="10" w:type="dxa"/>
          </w:tblCellMar>
        </w:tblPrEx>
        <w:trPr>
          <w:trHeight w:val="597" w:hRule="exact"/>
          <w:jc w:val="center"/>
        </w:trPr>
        <w:tc>
          <w:tcPr>
            <w:tcW w:w="588"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用于办案、装备、差旅费、鉴定费等。</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用于办案、装备、差旅费、鉴定费等。</w:t>
            </w:r>
          </w:p>
        </w:tc>
      </w:tr>
      <w:tr>
        <w:tblPrEx>
          <w:tblCellMar>
            <w:top w:w="0" w:type="dxa"/>
            <w:left w:w="10" w:type="dxa"/>
            <w:bottom w:w="0" w:type="dxa"/>
            <w:right w:w="10" w:type="dxa"/>
          </w:tblCellMar>
        </w:tblPrEx>
        <w:trPr>
          <w:trHeight w:val="533" w:hRule="exact"/>
          <w:jc w:val="center"/>
        </w:trPr>
        <w:tc>
          <w:tcPr>
            <w:tcW w:w="588" w:type="dxa"/>
            <w:vMerge w:val="restart"/>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2"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办案数量（刑事）</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&gt;=110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102</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9</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27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办案数量（治安）</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&gt;=78</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76</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9</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465"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公安机关业务装备配备数量</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&gt;=740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740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5</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4</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刑事案件破案数</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102</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4</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3</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治安案件查处数</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&gt;=78</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76</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6</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5</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命案破案率</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办案及时性</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年度经费使用率</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5</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5</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525"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政法转移支付资金</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=600000元</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=600000元</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指标2：</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指标1：</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指标2：</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51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提高地方公安部门经费保障水平</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6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改善办案基础设施和办案条件</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w:t>
            </w: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p>
            <w:pPr>
              <w:widowControl/>
              <w:spacing w:line="240" w:lineRule="exact"/>
              <w:jc w:val="left"/>
              <w:rPr>
                <w:rFonts w:hint="eastAsia" w:ascii="宋体" w:hAnsi="宋体" w:cs="宋体"/>
                <w:sz w:val="18"/>
                <w:szCs w:val="18"/>
              </w:rPr>
            </w:pP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指标1：</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指标2：</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指标1：</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指标2：</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2"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hint="eastAsia" w:ascii="宋体" w:hAnsi="宋体" w:cs="宋体"/>
                <w:sz w:val="18"/>
                <w:szCs w:val="18"/>
              </w:rPr>
            </w:pPr>
            <w:r>
              <w:rPr>
                <w:rFonts w:hint="eastAsia" w:ascii="宋体" w:hAnsi="宋体" w:cs="宋体"/>
                <w:sz w:val="18"/>
                <w:szCs w:val="18"/>
              </w:rPr>
              <w:t>社会治安满意度</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&gt;=90%</w:t>
            </w: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90%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指标2：</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588"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14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left"/>
              <w:rPr>
                <w:rFonts w:ascii="宋体" w:hAnsi="宋体" w:cs="宋体"/>
                <w:sz w:val="18"/>
                <w:szCs w:val="18"/>
              </w:rPr>
            </w:pPr>
            <w:r>
              <w:rPr>
                <w:rFonts w:hint="eastAsia" w:ascii="宋体" w:hAnsi="宋体" w:cs="宋体"/>
                <w:sz w:val="18"/>
                <w:szCs w:val="18"/>
              </w:rPr>
              <w:t>……</w:t>
            </w:r>
          </w:p>
        </w:tc>
        <w:tc>
          <w:tcPr>
            <w:tcW w:w="85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6529"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总分</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95</w:t>
            </w:r>
          </w:p>
        </w:tc>
        <w:tc>
          <w:tcPr>
            <w:tcW w:w="1417"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1190" w:hRule="atLeast"/>
          <w:jc w:val="center"/>
        </w:trPr>
        <w:tc>
          <w:tcPr>
            <w:tcW w:w="58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项目绩效分析</w:t>
            </w:r>
          </w:p>
        </w:tc>
        <w:tc>
          <w:tcPr>
            <w:tcW w:w="104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自评结果分析</w:t>
            </w: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项目实施和预算执行情况及分析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用于办案、装备、差旅费、鉴定费等。</w:t>
            </w:r>
          </w:p>
        </w:tc>
      </w:tr>
      <w:tr>
        <w:tblPrEx>
          <w:tblCellMar>
            <w:top w:w="0" w:type="dxa"/>
            <w:left w:w="10" w:type="dxa"/>
            <w:bottom w:w="0" w:type="dxa"/>
            <w:right w:w="10" w:type="dxa"/>
          </w:tblCellMar>
        </w:tblPrEx>
        <w:trPr>
          <w:trHeight w:val="1045"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产出情况及分析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截止12月31日全市累计远程视频提讯嫌疑人3098人、远程会见嫌疑人175人；行政案件快办率为80.74%已达省厅80%的要求。</w:t>
            </w:r>
          </w:p>
        </w:tc>
      </w:tr>
      <w:tr>
        <w:tblPrEx>
          <w:tblCellMar>
            <w:top w:w="0" w:type="dxa"/>
            <w:left w:w="10" w:type="dxa"/>
            <w:bottom w:w="0" w:type="dxa"/>
            <w:right w:w="10" w:type="dxa"/>
          </w:tblCellMar>
        </w:tblPrEx>
        <w:trPr>
          <w:trHeight w:val="1100"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效益情况及分析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无。</w:t>
            </w:r>
          </w:p>
        </w:tc>
      </w:tr>
      <w:tr>
        <w:tblPrEx>
          <w:tblCellMar>
            <w:top w:w="0" w:type="dxa"/>
            <w:left w:w="10" w:type="dxa"/>
            <w:bottom w:w="0" w:type="dxa"/>
            <w:right w:w="10" w:type="dxa"/>
          </w:tblCellMar>
        </w:tblPrEx>
        <w:trPr>
          <w:trHeight w:val="890"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满意度情况及分析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群众满意度100%。</w:t>
            </w:r>
          </w:p>
        </w:tc>
      </w:tr>
      <w:tr>
        <w:tblPrEx>
          <w:tblCellMar>
            <w:top w:w="0" w:type="dxa"/>
            <w:left w:w="10" w:type="dxa"/>
            <w:bottom w:w="0" w:type="dxa"/>
            <w:right w:w="10" w:type="dxa"/>
          </w:tblCellMar>
        </w:tblPrEx>
        <w:trPr>
          <w:trHeight w:val="825"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主要经验做法</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因素法</w:t>
            </w:r>
          </w:p>
        </w:tc>
      </w:tr>
      <w:tr>
        <w:tblPrEx>
          <w:tblCellMar>
            <w:top w:w="0" w:type="dxa"/>
            <w:left w:w="10" w:type="dxa"/>
            <w:bottom w:w="0" w:type="dxa"/>
            <w:right w:w="10" w:type="dxa"/>
          </w:tblCellMar>
        </w:tblPrEx>
        <w:trPr>
          <w:trHeight w:val="899"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项目管理中存在的</w:t>
            </w:r>
          </w:p>
          <w:p>
            <w:pPr>
              <w:widowControl/>
              <w:spacing w:line="240" w:lineRule="exact"/>
              <w:jc w:val="center"/>
              <w:rPr>
                <w:rFonts w:hint="eastAsia" w:ascii="宋体" w:hAnsi="宋体" w:cs="宋体"/>
                <w:sz w:val="18"/>
                <w:szCs w:val="18"/>
              </w:rPr>
            </w:pPr>
            <w:r>
              <w:rPr>
                <w:rFonts w:hint="eastAsia" w:ascii="宋体" w:hAnsi="宋体" w:cs="宋体"/>
                <w:sz w:val="18"/>
                <w:szCs w:val="18"/>
              </w:rPr>
              <w:t>主要问题及原因分析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无。</w:t>
            </w:r>
          </w:p>
        </w:tc>
      </w:tr>
      <w:tr>
        <w:tblPrEx>
          <w:tblCellMar>
            <w:top w:w="0" w:type="dxa"/>
            <w:left w:w="10" w:type="dxa"/>
            <w:bottom w:w="0" w:type="dxa"/>
            <w:right w:w="10" w:type="dxa"/>
          </w:tblCellMar>
        </w:tblPrEx>
        <w:trPr>
          <w:trHeight w:val="1168"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下一步改进措施及</w:t>
            </w:r>
          </w:p>
          <w:p>
            <w:pPr>
              <w:widowControl/>
              <w:spacing w:line="240" w:lineRule="exact"/>
              <w:jc w:val="center"/>
              <w:rPr>
                <w:rFonts w:hint="eastAsia" w:ascii="宋体" w:hAnsi="宋体" w:cs="宋体"/>
                <w:sz w:val="18"/>
                <w:szCs w:val="18"/>
              </w:rPr>
            </w:pPr>
            <w:r>
              <w:rPr>
                <w:rFonts w:hint="eastAsia" w:ascii="宋体" w:hAnsi="宋体" w:cs="宋体"/>
                <w:sz w:val="18"/>
                <w:szCs w:val="18"/>
              </w:rPr>
              <w:t>管理建议</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深化改革强警、科技兴警、建设过硬公安队伍。</w:t>
            </w:r>
          </w:p>
        </w:tc>
      </w:tr>
    </w:tbl>
    <w:p>
      <w:pPr>
        <w:numPr>
          <w:ilvl w:val="0"/>
          <w:numId w:val="0"/>
        </w:numPr>
      </w:pPr>
    </w:p>
    <w:p>
      <w:pPr>
        <w:numPr>
          <w:ilvl w:val="0"/>
          <w:numId w:val="0"/>
        </w:numPr>
      </w:pPr>
    </w:p>
    <w:p>
      <w:pPr>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2021年人民警察加班补助项目绩效自评综：根据年初设定的绩效目标，项目自评得分为100分。全年预算数为142.25万元，执行数为142.25万元，完成预算的100%。项目绩效目标完成情况：一是节假期间始终保持工作状态，随时出警和救助群众，参加各项安保工作；二是维护所管辖区社会秩序的稳定。下一步改进措施：一是加强单位考勤制度，保障民警节假日在岗率，并加强节假日社会秩序的维护，确保我分局节假日出警效率；二是因公安工作的特殊性，民警长期处于加班加点状态，为贯彻省厅党委“服务基层、服务一线、服务民警”的工作要求，落实从优待警政策。</w:t>
      </w:r>
    </w:p>
    <w:p>
      <w:pPr>
        <w:numPr>
          <w:ilvl w:val="0"/>
          <w:numId w:val="0"/>
        </w:numPr>
      </w:pPr>
    </w:p>
    <w:tbl>
      <w:tblPr>
        <w:tblStyle w:val="10"/>
        <w:tblW w:w="9080" w:type="dxa"/>
        <w:jc w:val="center"/>
        <w:tblLayout w:type="autofit"/>
        <w:tblCellMar>
          <w:top w:w="0" w:type="dxa"/>
          <w:left w:w="10" w:type="dxa"/>
          <w:bottom w:w="0" w:type="dxa"/>
          <w:right w:w="10"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 w:type="dxa"/>
            <w:bottom w:w="0" w:type="dxa"/>
            <w:right w:w="10" w:type="dxa"/>
          </w:tblCellMar>
        </w:tblPrEx>
        <w:trPr>
          <w:trHeight w:val="529" w:hRule="exact"/>
          <w:jc w:val="center"/>
        </w:trPr>
        <w:tc>
          <w:tcPr>
            <w:tcW w:w="9080" w:type="dxa"/>
            <w:gridSpan w:val="15"/>
            <w:tcBorders>
              <w:top w:val="nil"/>
              <w:left w:val="nil"/>
              <w:bottom w:val="nil"/>
              <w:right w:val="nil"/>
            </w:tcBorders>
            <w:tcMar>
              <w:top w:w="0" w:type="dxa"/>
              <w:left w:w="108" w:type="dxa"/>
              <w:bottom w:w="0" w:type="dxa"/>
              <w:right w:w="108" w:type="dxa"/>
            </w:tcMar>
            <w:vAlign w:val="center"/>
          </w:tcPr>
          <w:p>
            <w:pPr>
              <w:widowControl/>
              <w:spacing w:line="320" w:lineRule="exact"/>
              <w:jc w:val="center"/>
              <w:rPr>
                <w:rFonts w:ascii="宋体" w:hAnsi="宋体" w:cs="宋体"/>
                <w:b/>
                <w:bCs/>
                <w:sz w:val="32"/>
                <w:szCs w:val="32"/>
              </w:rPr>
            </w:pPr>
            <w:r>
              <w:rPr>
                <w:rFonts w:hint="eastAsia" w:ascii="华文中宋" w:hAnsi="华文中宋" w:eastAsia="华文中宋" w:cs="华文中宋"/>
                <w:b/>
                <w:bCs/>
                <w:sz w:val="36"/>
                <w:szCs w:val="36"/>
              </w:rPr>
              <w:t>项目支出绩效自评表</w:t>
            </w:r>
          </w:p>
        </w:tc>
      </w:tr>
      <w:tr>
        <w:tblPrEx>
          <w:tblCellMar>
            <w:top w:w="0" w:type="dxa"/>
            <w:left w:w="10" w:type="dxa"/>
            <w:bottom w:w="0" w:type="dxa"/>
            <w:right w:w="10" w:type="dxa"/>
          </w:tblCellMar>
        </w:tblPrEx>
        <w:trPr>
          <w:trHeight w:val="201" w:hRule="atLeast"/>
          <w:jc w:val="center"/>
        </w:trPr>
        <w:tc>
          <w:tcPr>
            <w:tcW w:w="9080" w:type="dxa"/>
            <w:gridSpan w:val="15"/>
            <w:tcBorders>
              <w:top w:val="nil"/>
              <w:left w:val="nil"/>
              <w:bottom w:val="nil"/>
              <w:right w:val="nil"/>
            </w:tcBorders>
            <w:tcMar>
              <w:top w:w="0" w:type="dxa"/>
              <w:left w:w="108" w:type="dxa"/>
              <w:bottom w:w="0" w:type="dxa"/>
              <w:right w:w="108" w:type="dxa"/>
            </w:tcMar>
          </w:tcPr>
          <w:p>
            <w:pPr>
              <w:widowControl/>
              <w:jc w:val="left"/>
              <w:rPr>
                <w:rFonts w:ascii="宋体" w:hAnsi="宋体" w:cs="宋体"/>
                <w:sz w:val="22"/>
              </w:rPr>
            </w:pPr>
            <w:r>
              <w:rPr>
                <w:rFonts w:hint="eastAsia" w:ascii="宋体" w:hAnsi="宋体" w:cs="宋体"/>
                <w:sz w:val="22"/>
              </w:rPr>
              <w:t>填列单位（公章）：大同市公安局云泉分局 （2021年度）</w:t>
            </w:r>
          </w:p>
        </w:tc>
      </w:tr>
      <w:tr>
        <w:tblPrEx>
          <w:tblCellMar>
            <w:top w:w="0" w:type="dxa"/>
            <w:left w:w="10" w:type="dxa"/>
            <w:bottom w:w="0" w:type="dxa"/>
            <w:right w:w="10" w:type="dxa"/>
          </w:tblCellMar>
        </w:tblPrEx>
        <w:trPr>
          <w:trHeight w:val="32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12"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2021年人民警察加班补助</w:t>
            </w:r>
          </w:p>
        </w:tc>
      </w:tr>
      <w:tr>
        <w:tblPrEx>
          <w:tblCellMar>
            <w:top w:w="0" w:type="dxa"/>
            <w:left w:w="10" w:type="dxa"/>
            <w:bottom w:w="0" w:type="dxa"/>
            <w:right w:w="10" w:type="dxa"/>
          </w:tblCellMar>
        </w:tblPrEx>
        <w:trPr>
          <w:trHeight w:val="38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大同市公安局</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68"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大同市公安局云泉分局</w:t>
            </w:r>
          </w:p>
        </w:tc>
      </w:tr>
      <w:tr>
        <w:tblPrEx>
          <w:tblCellMar>
            <w:top w:w="0" w:type="dxa"/>
            <w:left w:w="10" w:type="dxa"/>
            <w:bottom w:w="0" w:type="dxa"/>
            <w:right w:w="10" w:type="dxa"/>
          </w:tblCellMar>
        </w:tblPrEx>
        <w:trPr>
          <w:trHeight w:val="300" w:hRule="exact"/>
          <w:jc w:val="center"/>
        </w:trPr>
        <w:tc>
          <w:tcPr>
            <w:tcW w:w="1568"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 w:type="dxa"/>
            <w:bottom w:w="0" w:type="dxa"/>
            <w:right w:w="10" w:type="dxa"/>
          </w:tblCellMar>
        </w:tblPrEx>
        <w:trPr>
          <w:trHeight w:val="32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142.25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142.25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142.25</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142.25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142.25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142.25</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58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 w:type="dxa"/>
            <w:bottom w:w="0" w:type="dxa"/>
            <w:right w:w="10" w:type="dxa"/>
          </w:tblCellMar>
        </w:tblPrEx>
        <w:trPr>
          <w:trHeight w:val="802" w:hRule="exact"/>
          <w:jc w:val="center"/>
        </w:trPr>
        <w:tc>
          <w:tcPr>
            <w:tcW w:w="588"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节假期间始终保持工作状态，随时出警和救助群众，参加各项安保工作。</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节假期间保持工作状态，完成随时出警和各项安保工作。且每人每月发放加班费710元。</w:t>
            </w:r>
          </w:p>
        </w:tc>
      </w:tr>
      <w:tr>
        <w:tblPrEx>
          <w:tblCellMar>
            <w:top w:w="0" w:type="dxa"/>
            <w:left w:w="10" w:type="dxa"/>
            <w:bottom w:w="0" w:type="dxa"/>
            <w:right w:w="10" w:type="dxa"/>
          </w:tblCellMar>
        </w:tblPrEx>
        <w:trPr>
          <w:trHeight w:val="533" w:hRule="exact"/>
          <w:jc w:val="center"/>
        </w:trPr>
        <w:tc>
          <w:tcPr>
            <w:tcW w:w="588" w:type="dxa"/>
            <w:vMerge w:val="restart"/>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 w:type="dxa"/>
            <w:bottom w:w="0" w:type="dxa"/>
            <w:right w:w="10" w:type="dxa"/>
          </w:tblCellMar>
        </w:tblPrEx>
        <w:trPr>
          <w:trHeight w:val="6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全体在职民警</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=166人</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=166人</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6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ind w:firstLine="360"/>
              <w:rPr>
                <w:rFonts w:ascii="宋体" w:hAnsi="宋体" w:cs="宋体"/>
                <w:sz w:val="18"/>
                <w:szCs w:val="18"/>
              </w:rPr>
            </w:pPr>
            <w:r>
              <w:rPr>
                <w:rFonts w:hint="eastAsia" w:ascii="宋体" w:hAnsi="宋体" w:cs="宋体"/>
                <w:sz w:val="18"/>
                <w:szCs w:val="18"/>
              </w:rPr>
              <w:t>节假期间在岗率</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节假期间出警率</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警察加班补助</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1422560元</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1422560元</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维护社会稳定</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8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工作人员满意度</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&gt;=85%</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&gt;=85%</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6529"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总分</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1190" w:hRule="atLeast"/>
          <w:jc w:val="center"/>
        </w:trPr>
        <w:tc>
          <w:tcPr>
            <w:tcW w:w="58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项目绩效分析</w:t>
            </w:r>
          </w:p>
        </w:tc>
        <w:tc>
          <w:tcPr>
            <w:tcW w:w="104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自评结果分析</w:t>
            </w: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项目实施和预算执行情况及分析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因公安工作特殊性，民警长期尤其是节假日期间始终保持工作状态，随时出警和救助群众，早出晚归，加班加点，据公安部、财政部、人社部规定，每人每月加班费710元。</w:t>
            </w:r>
          </w:p>
        </w:tc>
      </w:tr>
      <w:tr>
        <w:tblPrEx>
          <w:tblCellMar>
            <w:top w:w="0" w:type="dxa"/>
            <w:left w:w="10" w:type="dxa"/>
            <w:bottom w:w="0" w:type="dxa"/>
            <w:right w:w="10" w:type="dxa"/>
          </w:tblCellMar>
        </w:tblPrEx>
        <w:trPr>
          <w:trHeight w:val="1045"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产出情况及分析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节假期间始终保持工作状态，随时出警和救助群众。</w:t>
            </w:r>
          </w:p>
        </w:tc>
      </w:tr>
      <w:tr>
        <w:tblPrEx>
          <w:tblCellMar>
            <w:top w:w="0" w:type="dxa"/>
            <w:left w:w="10" w:type="dxa"/>
            <w:bottom w:w="0" w:type="dxa"/>
            <w:right w:w="10" w:type="dxa"/>
          </w:tblCellMar>
        </w:tblPrEx>
        <w:trPr>
          <w:trHeight w:val="859"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效益情况及分析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985"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满意度情况及分析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社会大众对执法执勤满意程度</w:t>
            </w:r>
          </w:p>
        </w:tc>
      </w:tr>
      <w:tr>
        <w:tblPrEx>
          <w:tblCellMar>
            <w:top w:w="0" w:type="dxa"/>
            <w:left w:w="10" w:type="dxa"/>
            <w:bottom w:w="0" w:type="dxa"/>
            <w:right w:w="10" w:type="dxa"/>
          </w:tblCellMar>
        </w:tblPrEx>
        <w:trPr>
          <w:trHeight w:val="841"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主要经验做法</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每人每月加班费710元。</w:t>
            </w:r>
          </w:p>
        </w:tc>
      </w:tr>
      <w:tr>
        <w:tblPrEx>
          <w:tblCellMar>
            <w:top w:w="0" w:type="dxa"/>
            <w:left w:w="10" w:type="dxa"/>
            <w:bottom w:w="0" w:type="dxa"/>
            <w:right w:w="10" w:type="dxa"/>
          </w:tblCellMar>
        </w:tblPrEx>
        <w:trPr>
          <w:trHeight w:val="828"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项目管理中存在的</w:t>
            </w:r>
          </w:p>
          <w:p>
            <w:pPr>
              <w:widowControl/>
              <w:spacing w:line="240" w:lineRule="exact"/>
              <w:jc w:val="center"/>
              <w:rPr>
                <w:rFonts w:hint="eastAsia" w:ascii="宋体" w:hAnsi="宋体" w:cs="宋体"/>
                <w:sz w:val="18"/>
                <w:szCs w:val="18"/>
              </w:rPr>
            </w:pPr>
            <w:r>
              <w:rPr>
                <w:rFonts w:hint="eastAsia" w:ascii="宋体" w:hAnsi="宋体" w:cs="宋体"/>
                <w:sz w:val="18"/>
                <w:szCs w:val="18"/>
              </w:rPr>
              <w:t>主要问题及原因分析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无。</w:t>
            </w:r>
          </w:p>
        </w:tc>
      </w:tr>
      <w:tr>
        <w:tblPrEx>
          <w:tblCellMar>
            <w:top w:w="0" w:type="dxa"/>
            <w:left w:w="10" w:type="dxa"/>
            <w:bottom w:w="0" w:type="dxa"/>
            <w:right w:w="10" w:type="dxa"/>
          </w:tblCellMar>
        </w:tblPrEx>
        <w:trPr>
          <w:trHeight w:val="1412"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下一步改进措施及</w:t>
            </w:r>
          </w:p>
          <w:p>
            <w:pPr>
              <w:widowControl/>
              <w:spacing w:line="240" w:lineRule="exact"/>
              <w:jc w:val="center"/>
              <w:rPr>
                <w:rFonts w:hint="eastAsia" w:ascii="宋体" w:hAnsi="宋体" w:cs="宋体"/>
                <w:sz w:val="18"/>
                <w:szCs w:val="18"/>
              </w:rPr>
            </w:pPr>
            <w:r>
              <w:rPr>
                <w:rFonts w:hint="eastAsia" w:ascii="宋体" w:hAnsi="宋体" w:cs="宋体"/>
                <w:sz w:val="18"/>
                <w:szCs w:val="18"/>
              </w:rPr>
              <w:t>管理建议</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0"/>
              </w:numPr>
              <w:rPr>
                <w:rFonts w:ascii="仿宋_GB2312" w:hAnsi="仿宋_GB2312" w:eastAsia="仿宋_GB2312" w:cs="仿宋_GB2312"/>
                <w:sz w:val="30"/>
                <w:szCs w:val="30"/>
              </w:rPr>
            </w:pPr>
            <w:r>
              <w:rPr>
                <w:rFonts w:hint="eastAsia" w:ascii="宋体" w:hAnsi="宋体" w:cs="宋体"/>
                <w:sz w:val="18"/>
                <w:szCs w:val="18"/>
              </w:rPr>
              <w:t>因公安工作的特殊性，民警长期处于加班加点状态，为贯彻省厅党委“服务基层、服务一线、服务民警”的工作要求，落实从优待警政策。</w:t>
            </w:r>
          </w:p>
          <w:p>
            <w:pPr>
              <w:widowControl/>
              <w:spacing w:line="240" w:lineRule="exact"/>
              <w:jc w:val="center"/>
              <w:rPr>
                <w:rFonts w:hint="eastAsia" w:ascii="宋体" w:hAnsi="宋体" w:cs="宋体"/>
                <w:sz w:val="18"/>
                <w:szCs w:val="18"/>
              </w:rPr>
            </w:pPr>
          </w:p>
        </w:tc>
      </w:tr>
    </w:tbl>
    <w:p>
      <w:pPr>
        <w:numPr>
          <w:ilvl w:val="0"/>
          <w:numId w:val="0"/>
        </w:num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20"/>
        <w:textAlignment w:val="auto"/>
        <w:rPr>
          <w:rFonts w:hint="eastAsia" w:ascii="仿宋" w:hAnsi="仿宋" w:eastAsia="仿宋" w:cs="仿宋"/>
          <w:sz w:val="32"/>
          <w:szCs w:val="36"/>
        </w:rPr>
      </w:pPr>
      <w:r>
        <w:rPr>
          <w:rFonts w:hint="eastAsia" w:ascii="仿宋" w:hAnsi="仿宋" w:eastAsia="仿宋" w:cs="仿宋"/>
          <w:sz w:val="32"/>
          <w:szCs w:val="36"/>
        </w:rPr>
        <w:t>2021年残疾人保证金项目绩效自评综：根据年初设定的绩效目标，项目自评得分为100分。全年预算数为27.5万元，执行数为27.5万元，完成预算的100%。项目绩效目标完成情况：按规定计算方法，及时足额缴纳残疾保障金，支持有能力残疾人就业，保障在职残疾人的合法权益。下一步改进措施：一是残疾人补贴按时、足额发放。；二是按规定计算方法，及时足额缴。</w:t>
      </w:r>
    </w:p>
    <w:p>
      <w:pPr>
        <w:numPr>
          <w:ilvl w:val="0"/>
          <w:numId w:val="0"/>
        </w:numPr>
        <w:rPr>
          <w:rFonts w:hint="eastAsia" w:ascii="仿宋" w:hAnsi="仿宋" w:eastAsia="仿宋" w:cs="仿宋"/>
          <w:sz w:val="32"/>
          <w:szCs w:val="36"/>
        </w:rPr>
      </w:pPr>
    </w:p>
    <w:tbl>
      <w:tblPr>
        <w:tblStyle w:val="10"/>
        <w:tblW w:w="9080" w:type="dxa"/>
        <w:jc w:val="center"/>
        <w:tblLayout w:type="autofit"/>
        <w:tblCellMar>
          <w:top w:w="0" w:type="dxa"/>
          <w:left w:w="10" w:type="dxa"/>
          <w:bottom w:w="0" w:type="dxa"/>
          <w:right w:w="10"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 w:type="dxa"/>
            <w:bottom w:w="0" w:type="dxa"/>
            <w:right w:w="10" w:type="dxa"/>
          </w:tblCellMar>
        </w:tblPrEx>
        <w:trPr>
          <w:trHeight w:val="529" w:hRule="exact"/>
          <w:jc w:val="center"/>
        </w:trPr>
        <w:tc>
          <w:tcPr>
            <w:tcW w:w="9080" w:type="dxa"/>
            <w:gridSpan w:val="15"/>
            <w:tcBorders>
              <w:top w:val="nil"/>
              <w:left w:val="nil"/>
              <w:bottom w:val="nil"/>
              <w:right w:val="nil"/>
            </w:tcBorders>
            <w:tcMar>
              <w:top w:w="0" w:type="dxa"/>
              <w:left w:w="108" w:type="dxa"/>
              <w:bottom w:w="0" w:type="dxa"/>
              <w:right w:w="108" w:type="dxa"/>
            </w:tcMar>
            <w:vAlign w:val="center"/>
          </w:tcPr>
          <w:p>
            <w:pPr>
              <w:widowControl/>
              <w:spacing w:line="320" w:lineRule="exact"/>
              <w:jc w:val="center"/>
              <w:rPr>
                <w:rFonts w:ascii="宋体" w:hAnsi="宋体" w:cs="宋体"/>
                <w:b/>
                <w:bCs/>
                <w:sz w:val="32"/>
                <w:szCs w:val="32"/>
              </w:rPr>
            </w:pPr>
            <w:r>
              <w:rPr>
                <w:rFonts w:hint="eastAsia" w:ascii="华文中宋" w:hAnsi="华文中宋" w:eastAsia="华文中宋" w:cs="华文中宋"/>
                <w:b/>
                <w:bCs/>
                <w:sz w:val="36"/>
                <w:szCs w:val="36"/>
              </w:rPr>
              <w:t>项目支出绩效自评表</w:t>
            </w:r>
          </w:p>
        </w:tc>
      </w:tr>
      <w:tr>
        <w:tblPrEx>
          <w:tblCellMar>
            <w:top w:w="0" w:type="dxa"/>
            <w:left w:w="10" w:type="dxa"/>
            <w:bottom w:w="0" w:type="dxa"/>
            <w:right w:w="10" w:type="dxa"/>
          </w:tblCellMar>
        </w:tblPrEx>
        <w:trPr>
          <w:trHeight w:val="201" w:hRule="atLeast"/>
          <w:jc w:val="center"/>
        </w:trPr>
        <w:tc>
          <w:tcPr>
            <w:tcW w:w="9080" w:type="dxa"/>
            <w:gridSpan w:val="15"/>
            <w:tcBorders>
              <w:top w:val="nil"/>
              <w:left w:val="nil"/>
              <w:bottom w:val="nil"/>
              <w:right w:val="nil"/>
            </w:tcBorders>
            <w:tcMar>
              <w:top w:w="0" w:type="dxa"/>
              <w:left w:w="108" w:type="dxa"/>
              <w:bottom w:w="0" w:type="dxa"/>
              <w:right w:w="108" w:type="dxa"/>
            </w:tcMar>
          </w:tcPr>
          <w:p>
            <w:pPr>
              <w:widowControl/>
              <w:rPr>
                <w:rFonts w:ascii="宋体" w:hAnsi="宋体" w:cs="宋体"/>
                <w:sz w:val="22"/>
              </w:rPr>
            </w:pPr>
            <w:r>
              <w:rPr>
                <w:rFonts w:hint="eastAsia" w:ascii="宋体" w:hAnsi="宋体" w:cs="宋体"/>
                <w:sz w:val="22"/>
              </w:rPr>
              <w:t>填列单位（公章）：大同市公安局云泉分局 （2021年度）</w:t>
            </w:r>
          </w:p>
        </w:tc>
      </w:tr>
      <w:tr>
        <w:tblPrEx>
          <w:tblCellMar>
            <w:top w:w="0" w:type="dxa"/>
            <w:left w:w="10" w:type="dxa"/>
            <w:bottom w:w="0" w:type="dxa"/>
            <w:right w:w="10" w:type="dxa"/>
          </w:tblCellMar>
        </w:tblPrEx>
        <w:trPr>
          <w:trHeight w:val="32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12"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2021年残疾人保障金</w:t>
            </w:r>
          </w:p>
        </w:tc>
      </w:tr>
      <w:tr>
        <w:tblPrEx>
          <w:tblCellMar>
            <w:top w:w="0" w:type="dxa"/>
            <w:left w:w="10" w:type="dxa"/>
            <w:bottom w:w="0" w:type="dxa"/>
            <w:right w:w="10" w:type="dxa"/>
          </w:tblCellMar>
        </w:tblPrEx>
        <w:trPr>
          <w:trHeight w:val="380" w:hRule="exact"/>
          <w:jc w:val="center"/>
        </w:trPr>
        <w:tc>
          <w:tcPr>
            <w:tcW w:w="15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大同市公安局</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68"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大同市公安局云泉分局</w:t>
            </w:r>
          </w:p>
        </w:tc>
      </w:tr>
      <w:tr>
        <w:tblPrEx>
          <w:tblCellMar>
            <w:top w:w="0" w:type="dxa"/>
            <w:left w:w="10" w:type="dxa"/>
            <w:bottom w:w="0" w:type="dxa"/>
            <w:right w:w="10" w:type="dxa"/>
          </w:tblCellMar>
        </w:tblPrEx>
        <w:trPr>
          <w:trHeight w:val="300" w:hRule="exact"/>
          <w:jc w:val="center"/>
        </w:trPr>
        <w:tc>
          <w:tcPr>
            <w:tcW w:w="1568"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100</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w:t>
            </w: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1568"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84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1134"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9" w:type="dxa"/>
            <w:gridSpan w:val="2"/>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c>
          <w:tcPr>
            <w:tcW w:w="70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300" w:hRule="exact"/>
          <w:jc w:val="center"/>
        </w:trPr>
        <w:tc>
          <w:tcPr>
            <w:tcW w:w="588"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 w:type="dxa"/>
            <w:bottom w:w="0" w:type="dxa"/>
            <w:right w:w="10" w:type="dxa"/>
          </w:tblCellMar>
        </w:tblPrEx>
        <w:trPr>
          <w:trHeight w:val="802" w:hRule="exact"/>
          <w:jc w:val="center"/>
        </w:trPr>
        <w:tc>
          <w:tcPr>
            <w:tcW w:w="588"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090"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积极响应国家号召与政策，保障我分局残疾人的就业，提高我分局残疾人就业满意度。</w:t>
            </w:r>
          </w:p>
        </w:tc>
        <w:tc>
          <w:tcPr>
            <w:tcW w:w="3402"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按规定计算方法，及时足额缴纳残疾保障金，支持有能力残疾人就业，保障在职残疾人的合法权益。</w:t>
            </w:r>
          </w:p>
        </w:tc>
      </w:tr>
      <w:tr>
        <w:tblPrEx>
          <w:tblCellMar>
            <w:top w:w="0" w:type="dxa"/>
            <w:left w:w="10" w:type="dxa"/>
            <w:bottom w:w="0" w:type="dxa"/>
            <w:right w:w="10" w:type="dxa"/>
          </w:tblCellMar>
        </w:tblPrEx>
        <w:trPr>
          <w:trHeight w:val="533" w:hRule="exact"/>
          <w:jc w:val="center"/>
        </w:trPr>
        <w:tc>
          <w:tcPr>
            <w:tcW w:w="588" w:type="dxa"/>
            <w:vMerge w:val="restart"/>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 w:type="dxa"/>
            <w:bottom w:w="0" w:type="dxa"/>
            <w:right w:w="10" w:type="dxa"/>
          </w:tblCellMar>
        </w:tblPrEx>
        <w:trPr>
          <w:trHeight w:val="6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单位在职残疾人保障量</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&gt;=100%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6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残疾人就业保障率</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&gt;=88%</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&gt;=88%</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残疾人补贴发放及时性</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&gt;=99%</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&gt;=99%</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2020年残疾人保障金</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275000元</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275000元</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响应国家号召，保障残疾人就业</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&gt;=98%</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20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90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890" w:hRule="exact"/>
          <w:jc w:val="center"/>
        </w:trPr>
        <w:tc>
          <w:tcPr>
            <w:tcW w:w="588"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980" w:type="dxa"/>
            <w:tcBorders>
              <w:top w:val="nil"/>
              <w:left w:val="single" w:color="000000" w:sz="4" w:space="0"/>
              <w:bottom w:val="nil"/>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残疾人满意度</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&gt;=90%</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&gt;=90%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300" w:hRule="exact"/>
          <w:jc w:val="center"/>
        </w:trPr>
        <w:tc>
          <w:tcPr>
            <w:tcW w:w="6529"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总分</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p>
        </w:tc>
      </w:tr>
      <w:tr>
        <w:tblPrEx>
          <w:tblCellMar>
            <w:top w:w="0" w:type="dxa"/>
            <w:left w:w="10" w:type="dxa"/>
            <w:bottom w:w="0" w:type="dxa"/>
            <w:right w:w="10" w:type="dxa"/>
          </w:tblCellMar>
        </w:tblPrEx>
        <w:trPr>
          <w:trHeight w:val="1190" w:hRule="atLeast"/>
          <w:jc w:val="center"/>
        </w:trPr>
        <w:tc>
          <w:tcPr>
            <w:tcW w:w="58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项目绩效分析</w:t>
            </w:r>
          </w:p>
        </w:tc>
        <w:tc>
          <w:tcPr>
            <w:tcW w:w="104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自评结果分析</w:t>
            </w: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项目实施和预算执行情况及分析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按规定计算方法，及时足额缴纳残疾保障金，支持有能力残疾人就业，保障在职残疾人的合法权益。</w:t>
            </w:r>
          </w:p>
        </w:tc>
      </w:tr>
      <w:tr>
        <w:tblPrEx>
          <w:tblCellMar>
            <w:top w:w="0" w:type="dxa"/>
            <w:left w:w="10" w:type="dxa"/>
            <w:bottom w:w="0" w:type="dxa"/>
            <w:right w:w="10" w:type="dxa"/>
          </w:tblCellMar>
        </w:tblPrEx>
        <w:trPr>
          <w:trHeight w:val="931"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产出情况及分析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残疾人补贴按时、足额发放。</w:t>
            </w:r>
          </w:p>
        </w:tc>
      </w:tr>
      <w:tr>
        <w:tblPrEx>
          <w:tblCellMar>
            <w:top w:w="0" w:type="dxa"/>
            <w:left w:w="10" w:type="dxa"/>
            <w:bottom w:w="0" w:type="dxa"/>
            <w:right w:w="10" w:type="dxa"/>
          </w:tblCellMar>
        </w:tblPrEx>
        <w:trPr>
          <w:trHeight w:val="1100"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效益情况及分析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w:t>
            </w:r>
          </w:p>
        </w:tc>
      </w:tr>
      <w:tr>
        <w:tblPrEx>
          <w:tblCellMar>
            <w:top w:w="0" w:type="dxa"/>
            <w:left w:w="10" w:type="dxa"/>
            <w:bottom w:w="0" w:type="dxa"/>
            <w:right w:w="10" w:type="dxa"/>
          </w:tblCellMar>
        </w:tblPrEx>
        <w:trPr>
          <w:trHeight w:val="890" w:hRule="atLeas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满意度情况及分析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残疾人满意度100%。</w:t>
            </w:r>
          </w:p>
        </w:tc>
      </w:tr>
      <w:tr>
        <w:tblPrEx>
          <w:tblCellMar>
            <w:top w:w="0" w:type="dxa"/>
            <w:left w:w="10" w:type="dxa"/>
            <w:bottom w:w="0" w:type="dxa"/>
            <w:right w:w="10" w:type="dxa"/>
          </w:tblCellMar>
        </w:tblPrEx>
        <w:trPr>
          <w:trHeight w:val="1208"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主要经验做法</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ascii="宋体" w:hAnsi="宋体" w:cs="宋体"/>
                <w:sz w:val="18"/>
                <w:szCs w:val="18"/>
              </w:rPr>
            </w:pPr>
            <w:r>
              <w:rPr>
                <w:rFonts w:hint="eastAsia" w:ascii="宋体" w:hAnsi="宋体" w:cs="宋体"/>
                <w:sz w:val="18"/>
                <w:szCs w:val="18"/>
              </w:rPr>
              <w:t>按规定计算方法，及时足额缴。</w:t>
            </w:r>
          </w:p>
        </w:tc>
      </w:tr>
      <w:tr>
        <w:tblPrEx>
          <w:tblCellMar>
            <w:top w:w="0" w:type="dxa"/>
            <w:left w:w="10" w:type="dxa"/>
            <w:bottom w:w="0" w:type="dxa"/>
            <w:right w:w="10" w:type="dxa"/>
          </w:tblCellMar>
        </w:tblPrEx>
        <w:trPr>
          <w:trHeight w:val="1107"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项目管理中存在的</w:t>
            </w:r>
          </w:p>
          <w:p>
            <w:pPr>
              <w:widowControl/>
              <w:spacing w:line="240" w:lineRule="exact"/>
              <w:jc w:val="center"/>
              <w:rPr>
                <w:rFonts w:hint="eastAsia" w:ascii="宋体" w:hAnsi="宋体" w:cs="宋体"/>
                <w:sz w:val="18"/>
                <w:szCs w:val="18"/>
              </w:rPr>
            </w:pPr>
            <w:r>
              <w:rPr>
                <w:rFonts w:hint="eastAsia" w:ascii="宋体" w:hAnsi="宋体" w:cs="宋体"/>
                <w:sz w:val="18"/>
                <w:szCs w:val="18"/>
              </w:rPr>
              <w:t>主要问题及原因分析</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无。</w:t>
            </w:r>
          </w:p>
        </w:tc>
      </w:tr>
      <w:tr>
        <w:tblPrEx>
          <w:tblCellMar>
            <w:top w:w="0" w:type="dxa"/>
            <w:left w:w="10" w:type="dxa"/>
            <w:bottom w:w="0" w:type="dxa"/>
            <w:right w:w="10" w:type="dxa"/>
          </w:tblCellMar>
        </w:tblPrEx>
        <w:trPr>
          <w:trHeight w:val="1861" w:hRule="exact"/>
          <w:jc w:val="center"/>
        </w:trPr>
        <w:tc>
          <w:tcPr>
            <w:tcW w:w="58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09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下一步改进措施及</w:t>
            </w:r>
          </w:p>
          <w:p>
            <w:pPr>
              <w:widowControl/>
              <w:spacing w:line="240" w:lineRule="exact"/>
              <w:jc w:val="center"/>
              <w:rPr>
                <w:rFonts w:hint="eastAsia" w:ascii="宋体" w:hAnsi="宋体" w:cs="宋体"/>
                <w:sz w:val="18"/>
                <w:szCs w:val="18"/>
              </w:rPr>
            </w:pPr>
            <w:r>
              <w:rPr>
                <w:rFonts w:hint="eastAsia" w:ascii="宋体" w:hAnsi="宋体" w:cs="宋体"/>
                <w:sz w:val="18"/>
                <w:szCs w:val="18"/>
              </w:rPr>
              <w:t>管理建议</w:t>
            </w:r>
          </w:p>
        </w:tc>
        <w:tc>
          <w:tcPr>
            <w:tcW w:w="6400"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exact"/>
              <w:jc w:val="center"/>
              <w:rPr>
                <w:rFonts w:hint="eastAsia" w:ascii="宋体" w:hAnsi="宋体" w:cs="宋体"/>
                <w:sz w:val="18"/>
                <w:szCs w:val="18"/>
              </w:rPr>
            </w:pPr>
            <w:r>
              <w:rPr>
                <w:rFonts w:hint="eastAsia" w:ascii="宋体" w:hAnsi="宋体" w:cs="宋体"/>
                <w:sz w:val="18"/>
                <w:szCs w:val="18"/>
              </w:rPr>
              <w:t>依据法律法规及下发文件，及时发放、残疾人就业保障金，以保护残疾人权益最大化。</w:t>
            </w:r>
          </w:p>
        </w:tc>
      </w:tr>
    </w:tbl>
    <w:p>
      <w:pPr>
        <w:numPr>
          <w:ilvl w:val="0"/>
          <w:numId w:val="0"/>
        </w:numPr>
        <w:rPr>
          <w:rFonts w:hint="eastAsia" w:ascii="黑体" w:hAnsi="黑体" w:eastAsia="黑体"/>
          <w:b/>
          <w:sz w:val="32"/>
          <w:szCs w:val="32"/>
        </w:rPr>
      </w:pPr>
    </w:p>
    <w:p>
      <w:pPr>
        <w:numPr>
          <w:ilvl w:val="0"/>
          <w:numId w:val="0"/>
        </w:numPr>
        <w:rPr>
          <w:rFonts w:hint="eastAsia" w:ascii="黑体" w:hAnsi="黑体" w:eastAsia="黑体"/>
          <w:b/>
          <w:sz w:val="32"/>
          <w:szCs w:val="32"/>
        </w:rPr>
      </w:pPr>
    </w:p>
    <w:p>
      <w:pPr>
        <w:numPr>
          <w:ilvl w:val="0"/>
          <w:numId w:val="0"/>
        </w:numPr>
        <w:rPr>
          <w:rFonts w:hint="eastAsia" w:ascii="黑体" w:hAnsi="黑体" w:eastAsia="黑体"/>
          <w:b/>
          <w:sz w:val="32"/>
          <w:szCs w:val="32"/>
        </w:rPr>
      </w:pPr>
    </w:p>
    <w:p>
      <w:pPr>
        <w:numPr>
          <w:ilvl w:val="0"/>
          <w:numId w:val="0"/>
        </w:numPr>
        <w:ind w:left="0" w:leftChars="0" w:firstLine="0" w:firstLineChars="0"/>
        <w:outlineLvl w:val="0"/>
        <w:rPr>
          <w:rFonts w:hint="eastAsia" w:ascii="黑体" w:hAnsi="黑体" w:eastAsia="黑体" w:cs="Arial"/>
          <w:b/>
          <w:kern w:val="1"/>
          <w:sz w:val="32"/>
          <w:szCs w:val="32"/>
          <w:lang w:val="en-US" w:eastAsia="zh-CN" w:bidi="ar-SA"/>
        </w:rPr>
      </w:pPr>
      <w:bookmarkStart w:id="93" w:name="_Toc1803"/>
      <w:bookmarkEnd w:id="93"/>
      <w:bookmarkStart w:id="94" w:name="_Toc14172"/>
      <w:bookmarkEnd w:id="94"/>
      <w:bookmarkStart w:id="95" w:name="_Toc5372"/>
      <w:bookmarkStart w:id="96" w:name="_Toc26898"/>
      <w:bookmarkStart w:id="97" w:name="_Toc28489"/>
    </w:p>
    <w:p>
      <w:pPr>
        <w:numPr>
          <w:ilvl w:val="0"/>
          <w:numId w:val="0"/>
        </w:numPr>
        <w:ind w:left="0" w:leftChars="0" w:firstLine="0" w:firstLineChars="0"/>
        <w:outlineLvl w:val="0"/>
        <w:rPr>
          <w:rFonts w:hint="eastAsia" w:ascii="黑体" w:hAnsi="黑体" w:eastAsia="黑体" w:cs="Arial"/>
          <w:b/>
          <w:kern w:val="1"/>
          <w:sz w:val="32"/>
          <w:szCs w:val="32"/>
          <w:lang w:val="en-US" w:eastAsia="zh-CN" w:bidi="ar-SA"/>
        </w:rPr>
      </w:pPr>
    </w:p>
    <w:p>
      <w:pPr>
        <w:numPr>
          <w:ilvl w:val="0"/>
          <w:numId w:val="0"/>
        </w:numPr>
        <w:ind w:left="0" w:leftChars="0" w:firstLine="0" w:firstLineChars="0"/>
        <w:outlineLvl w:val="0"/>
        <w:rPr>
          <w:rFonts w:hint="eastAsia" w:ascii="黑体" w:hAnsi="黑体" w:eastAsia="黑体" w:cs="Arial"/>
          <w:b/>
          <w:kern w:val="1"/>
          <w:sz w:val="32"/>
          <w:szCs w:val="32"/>
          <w:lang w:val="en-US" w:eastAsia="zh-CN" w:bidi="ar-SA"/>
        </w:rPr>
      </w:pPr>
    </w:p>
    <w:p>
      <w:pPr>
        <w:numPr>
          <w:ilvl w:val="0"/>
          <w:numId w:val="0"/>
        </w:numPr>
        <w:ind w:left="0" w:leftChars="0" w:firstLine="0" w:firstLineChars="0"/>
        <w:outlineLvl w:val="0"/>
        <w:rPr>
          <w:rFonts w:hint="eastAsia" w:ascii="黑体" w:hAnsi="黑体" w:eastAsia="黑体" w:cs="Arial"/>
          <w:b/>
          <w:kern w:val="1"/>
          <w:sz w:val="32"/>
          <w:szCs w:val="32"/>
          <w:lang w:val="en-US" w:eastAsia="zh-CN" w:bidi="ar-SA"/>
        </w:rPr>
      </w:pPr>
    </w:p>
    <w:p>
      <w:pPr>
        <w:numPr>
          <w:ilvl w:val="0"/>
          <w:numId w:val="0"/>
        </w:numPr>
        <w:ind w:left="0" w:leftChars="0" w:firstLine="0" w:firstLineChars="0"/>
        <w:outlineLvl w:val="0"/>
        <w:rPr>
          <w:rFonts w:hint="eastAsia" w:ascii="黑体" w:hAnsi="黑体" w:eastAsia="黑体" w:cs="Arial"/>
          <w:b/>
          <w:kern w:val="1"/>
          <w:sz w:val="32"/>
          <w:szCs w:val="32"/>
          <w:lang w:val="en-US" w:eastAsia="zh-CN" w:bidi="ar-SA"/>
        </w:rPr>
      </w:pPr>
    </w:p>
    <w:p>
      <w:pPr>
        <w:numPr>
          <w:ilvl w:val="0"/>
          <w:numId w:val="0"/>
        </w:numPr>
        <w:ind w:left="0" w:leftChars="0" w:firstLine="0" w:firstLineChars="0"/>
        <w:outlineLvl w:val="0"/>
        <w:rPr>
          <w:rFonts w:hint="eastAsia" w:ascii="黑体" w:hAnsi="黑体" w:eastAsia="黑体"/>
          <w:b/>
          <w:sz w:val="32"/>
          <w:szCs w:val="32"/>
        </w:rPr>
      </w:pPr>
      <w:r>
        <w:rPr>
          <w:rFonts w:hint="eastAsia" w:ascii="黑体" w:hAnsi="黑体" w:eastAsia="黑体" w:cs="Arial"/>
          <w:b/>
          <w:kern w:val="1"/>
          <w:sz w:val="32"/>
          <w:szCs w:val="32"/>
          <w:lang w:val="en-US" w:eastAsia="zh-CN" w:bidi="ar-SA"/>
        </w:rPr>
        <w:t xml:space="preserve">第四部分  </w:t>
      </w:r>
      <w:r>
        <w:rPr>
          <w:rFonts w:hint="eastAsia" w:ascii="黑体" w:hAnsi="黑体" w:eastAsia="黑体"/>
          <w:b/>
          <w:sz w:val="32"/>
          <w:szCs w:val="32"/>
        </w:rPr>
        <w:t>名词解释</w:t>
      </w:r>
      <w:bookmarkEnd w:id="95"/>
      <w:bookmarkEnd w:id="96"/>
      <w:bookmarkEnd w:id="97"/>
    </w:p>
    <w:p>
      <w:pPr>
        <w:numPr>
          <w:ilvl w:val="0"/>
          <w:numId w:val="0"/>
        </w:numPr>
        <w:ind w:leftChars="0"/>
        <w:outlineLvl w:val="9"/>
        <w:rPr>
          <w:rFonts w:hint="eastAsia" w:ascii="黑体" w:hAnsi="黑体" w:eastAsia="黑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1"/>
        <w:rPr>
          <w:rFonts w:hint="eastAsia" w:ascii="仿宋" w:hAnsi="仿宋" w:eastAsia="仿宋" w:cs="仿宋"/>
          <w:sz w:val="32"/>
          <w:szCs w:val="36"/>
        </w:rPr>
      </w:pPr>
      <w:bookmarkStart w:id="98" w:name="_Toc25334"/>
      <w:bookmarkEnd w:id="98"/>
      <w:bookmarkStart w:id="99" w:name="_Toc3799"/>
      <w:bookmarkEnd w:id="99"/>
      <w:bookmarkStart w:id="100" w:name="_Toc15084"/>
      <w:bookmarkStart w:id="101" w:name="_Toc19883"/>
      <w:r>
        <w:rPr>
          <w:rFonts w:hint="eastAsia" w:ascii="仿宋" w:hAnsi="仿宋" w:eastAsia="仿宋" w:cs="仿宋"/>
          <w:b/>
          <w:bCs/>
          <w:sz w:val="32"/>
          <w:szCs w:val="36"/>
        </w:rPr>
        <w:t>一、财政拨款收入：</w:t>
      </w:r>
      <w:r>
        <w:rPr>
          <w:rFonts w:hint="eastAsia" w:ascii="仿宋" w:hAnsi="仿宋" w:eastAsia="仿宋" w:cs="仿宋"/>
          <w:sz w:val="32"/>
          <w:szCs w:val="36"/>
        </w:rPr>
        <w:t>指单位从同级财政部门取得的财政预算资金。</w:t>
      </w:r>
      <w:bookmarkEnd w:id="100"/>
      <w:bookmarkEnd w:id="10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二、其他收入：</w:t>
      </w:r>
      <w:r>
        <w:rPr>
          <w:rFonts w:hint="eastAsia" w:ascii="仿宋" w:hAnsi="仿宋" w:eastAsia="仿宋" w:cs="仿宋"/>
          <w:sz w:val="32"/>
          <w:szCs w:val="36"/>
        </w:rPr>
        <w:t>指单位取得的除上述收入以外的各项收入。主要是事业单位固定资产出租收入、存款利息收入等。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三、基本支出：</w:t>
      </w:r>
      <w:r>
        <w:rPr>
          <w:rFonts w:hint="eastAsia" w:ascii="仿宋" w:hAnsi="仿宋" w:eastAsia="仿宋" w:cs="仿宋"/>
          <w:sz w:val="32"/>
          <w:szCs w:val="36"/>
        </w:rPr>
        <w:t>指为保障机构正常运转、完成日常工作任务而发生的人员支出和公用支出。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四、项目支出：</w:t>
      </w:r>
      <w:r>
        <w:rPr>
          <w:rFonts w:hint="eastAsia" w:ascii="仿宋" w:hAnsi="仿宋" w:eastAsia="仿宋" w:cs="仿宋"/>
          <w:sz w:val="32"/>
          <w:szCs w:val="36"/>
        </w:rPr>
        <w:t>指在基本支出之外为完成特定行政任务和事业发展目标所发生的支出。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五、公共安全支出：</w:t>
      </w:r>
      <w:r>
        <w:rPr>
          <w:rFonts w:hint="eastAsia" w:ascii="仿宋" w:hAnsi="仿宋" w:eastAsia="仿宋" w:cs="仿宋"/>
          <w:sz w:val="32"/>
          <w:szCs w:val="36"/>
        </w:rPr>
        <w:t>是指用于内卫、消防等武装警察部队的支出，包括保障机构正常运转、完成日常和特定的工作任务或事业发展目标的支出。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六、“三公”经费：</w:t>
      </w:r>
      <w:r>
        <w:rPr>
          <w:rFonts w:hint="eastAsia" w:ascii="仿宋" w:hAnsi="仿宋" w:eastAsia="仿宋" w:cs="仿宋"/>
          <w:sz w:val="32"/>
          <w:szCs w:val="36"/>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七、机关运行经费：</w:t>
      </w:r>
      <w:r>
        <w:rPr>
          <w:rFonts w:hint="eastAsia" w:ascii="仿宋" w:hAnsi="仿宋" w:eastAsia="仿宋" w:cs="仿宋"/>
          <w:sz w:val="32"/>
          <w:szCs w:val="36"/>
        </w:rPr>
        <w:t>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八、年末结转:</w:t>
      </w:r>
      <w:r>
        <w:rPr>
          <w:rFonts w:hint="eastAsia" w:ascii="仿宋" w:hAnsi="仿宋" w:eastAsia="仿宋" w:cs="仿宋"/>
          <w:sz w:val="32"/>
          <w:szCs w:val="36"/>
        </w:rPr>
        <w:t>本年度或以前年度预算安排,已执行但尚未完成或因客观条件发生变化无法按原计划实施,需延迟到以后年度按有关规定继续使用的资金。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6"/>
        </w:rPr>
      </w:pPr>
      <w:r>
        <w:rPr>
          <w:rFonts w:hint="eastAsia" w:ascii="仿宋" w:hAnsi="仿宋" w:eastAsia="仿宋" w:cs="仿宋"/>
          <w:b/>
          <w:bCs/>
          <w:sz w:val="32"/>
          <w:szCs w:val="36"/>
        </w:rPr>
        <w:t>九、年末结余:</w:t>
      </w:r>
      <w:r>
        <w:rPr>
          <w:rFonts w:hint="eastAsia" w:ascii="仿宋" w:hAnsi="仿宋" w:eastAsia="仿宋" w:cs="仿宋"/>
          <w:sz w:val="32"/>
          <w:szCs w:val="36"/>
        </w:rPr>
        <w:t>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p>
    <w:p>
      <w:pPr>
        <w:numPr>
          <w:ilvl w:val="0"/>
          <w:numId w:val="0"/>
        </w:numPr>
        <w:rPr>
          <w:rFonts w:hint="eastAsia" w:ascii="仿宋" w:hAnsi="仿宋" w:eastAsia="仿宋" w:cs="仿宋"/>
          <w:sz w:val="32"/>
          <w:szCs w:val="36"/>
        </w:rPr>
      </w:pPr>
    </w:p>
    <w:p>
      <w:pPr>
        <w:numPr>
          <w:ilvl w:val="0"/>
          <w:numId w:val="5"/>
        </w:numPr>
        <w:outlineLvl w:val="0"/>
        <w:rPr>
          <w:rFonts w:hint="eastAsia" w:ascii="黑体" w:hAnsi="黑体" w:eastAsia="黑体"/>
          <w:b/>
          <w:sz w:val="32"/>
          <w:szCs w:val="32"/>
        </w:rPr>
      </w:pPr>
      <w:bookmarkStart w:id="102" w:name="_Toc22630"/>
      <w:bookmarkEnd w:id="102"/>
      <w:bookmarkStart w:id="103" w:name="_Toc6838"/>
      <w:bookmarkEnd w:id="103"/>
      <w:r>
        <w:rPr>
          <w:rFonts w:hint="eastAsia" w:ascii="黑体" w:hAnsi="黑体" w:eastAsia="黑体"/>
          <w:b/>
          <w:sz w:val="32"/>
          <w:szCs w:val="32"/>
          <w:lang w:val="en-US" w:eastAsia="zh-CN"/>
        </w:rPr>
        <w:t xml:space="preserve"> </w:t>
      </w:r>
      <w:bookmarkStart w:id="104" w:name="_Toc17826"/>
      <w:bookmarkStart w:id="105" w:name="_Toc32250"/>
      <w:bookmarkStart w:id="106" w:name="_Toc27420"/>
      <w:r>
        <w:rPr>
          <w:rFonts w:hint="eastAsia" w:ascii="黑体" w:hAnsi="黑体" w:eastAsia="黑体"/>
          <w:b/>
          <w:sz w:val="32"/>
          <w:szCs w:val="32"/>
        </w:rPr>
        <w:t>附件</w:t>
      </w:r>
      <w:bookmarkEnd w:id="104"/>
      <w:bookmarkEnd w:id="105"/>
      <w:bookmarkEnd w:id="106"/>
    </w:p>
    <w:p>
      <w:pPr>
        <w:numPr>
          <w:ilvl w:val="0"/>
          <w:numId w:val="0"/>
        </w:numPr>
        <w:outlineLvl w:val="9"/>
        <w:rPr>
          <w:rFonts w:hint="eastAsia" w:ascii="黑体" w:hAnsi="黑体" w:eastAsia="黑体"/>
          <w:b/>
          <w:sz w:val="32"/>
          <w:szCs w:val="32"/>
        </w:rPr>
      </w:pPr>
    </w:p>
    <w:p>
      <w:pPr>
        <w:ind w:firstLine="640" w:firstLineChars="200"/>
        <w:rPr>
          <w:rFonts w:hint="default" w:ascii="仿宋" w:hAnsi="仿宋" w:eastAsia="仿宋" w:cs="仿宋"/>
          <w:sz w:val="32"/>
          <w:szCs w:val="36"/>
          <w:lang w:val="en-US" w:eastAsia="zh-CN"/>
        </w:rPr>
      </w:pPr>
      <w:r>
        <w:rPr>
          <w:rFonts w:hint="eastAsia" w:ascii="仿宋" w:hAnsi="仿宋" w:eastAsia="仿宋" w:cs="仿宋"/>
          <w:sz w:val="32"/>
          <w:szCs w:val="36"/>
        </w:rPr>
        <w:t>无</w:t>
      </w:r>
    </w:p>
    <w:p>
      <w:pPr>
        <w:rPr>
          <w:rFonts w:hint="eastAsia" w:ascii="仿宋" w:hAnsi="仿宋" w:eastAsia="仿宋" w:cs="仿宋"/>
          <w:sz w:val="32"/>
          <w:szCs w:val="36"/>
        </w:rPr>
      </w:pPr>
    </w:p>
    <w:p>
      <w:pPr>
        <w:rPr>
          <w:rFonts w:hint="eastAsia" w:ascii="仿宋" w:hAnsi="仿宋" w:eastAsia="仿宋" w:cs="仿宋"/>
          <w:sz w:val="32"/>
          <w:szCs w:val="36"/>
        </w:rPr>
      </w:pPr>
    </w:p>
    <w:p>
      <w:pPr>
        <w:rPr>
          <w:rFonts w:hint="eastAsia" w:ascii="仿宋" w:hAnsi="仿宋" w:eastAsia="仿宋" w:cs="仿宋"/>
          <w:sz w:val="32"/>
          <w:szCs w:val="36"/>
        </w:rPr>
      </w:pPr>
    </w:p>
    <w:p>
      <w:pPr>
        <w:rPr>
          <w:rFonts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0"/>
        <w:rPr>
          <w:rFonts w:hint="eastAsia" w:ascii="仿宋" w:hAnsi="仿宋" w:eastAsia="仿宋" w:cs="仿宋"/>
          <w:sz w:val="32"/>
          <w:szCs w:val="36"/>
        </w:rPr>
      </w:pPr>
      <w:r>
        <w:rPr>
          <w:rFonts w:hint="eastAsia" w:ascii="仿宋" w:hAnsi="仿宋" w:eastAsia="仿宋" w:cs="仿宋"/>
          <w:sz w:val="32"/>
          <w:szCs w:val="36"/>
        </w:rPr>
        <w:t xml:space="preserve">  </w:t>
      </w:r>
      <w:bookmarkStart w:id="107" w:name="_Toc31426"/>
      <w:bookmarkStart w:id="108" w:name="_Toc17625"/>
      <w:bookmarkStart w:id="109" w:name="_Toc27127"/>
      <w:r>
        <w:rPr>
          <w:rFonts w:hint="eastAsia" w:ascii="仿宋" w:hAnsi="仿宋" w:eastAsia="仿宋" w:cs="仿宋"/>
          <w:sz w:val="32"/>
          <w:szCs w:val="36"/>
        </w:rPr>
        <w:t>大同市公安局云泉分局</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6"/>
        </w:rPr>
      </w:pPr>
      <w:r>
        <w:rPr>
          <w:rFonts w:hint="eastAsia" w:ascii="仿宋" w:hAnsi="仿宋" w:eastAsia="仿宋" w:cs="仿宋"/>
          <w:sz w:val="32"/>
          <w:szCs w:val="36"/>
        </w:rPr>
        <w:t xml:space="preserve">                             </w:t>
      </w:r>
      <w:r>
        <w:rPr>
          <w:rFonts w:hint="default" w:ascii="仿宋" w:hAnsi="仿宋" w:eastAsia="仿宋" w:cs="仿宋"/>
          <w:sz w:val="32"/>
          <w:szCs w:val="36"/>
          <w:lang w:val="en-US"/>
        </w:rPr>
        <w:t xml:space="preserve">          </w:t>
      </w:r>
      <w:r>
        <w:rPr>
          <w:rFonts w:hint="eastAsia" w:ascii="仿宋" w:hAnsi="仿宋" w:eastAsia="仿宋" w:cs="仿宋"/>
          <w:sz w:val="32"/>
          <w:szCs w:val="36"/>
        </w:rPr>
        <w:t xml:space="preserve">   2022年</w:t>
      </w:r>
      <w:r>
        <w:rPr>
          <w:rFonts w:ascii="仿宋" w:hAnsi="仿宋" w:eastAsia="仿宋" w:cs="仿宋"/>
          <w:sz w:val="32"/>
          <w:szCs w:val="36"/>
        </w:rPr>
        <w:t>7</w:t>
      </w:r>
      <w:r>
        <w:rPr>
          <w:rFonts w:hint="eastAsia" w:ascii="仿宋" w:hAnsi="仿宋" w:eastAsia="仿宋" w:cs="仿宋"/>
          <w:sz w:val="32"/>
          <w:szCs w:val="36"/>
        </w:rPr>
        <w:t>月</w:t>
      </w:r>
      <w:r>
        <w:rPr>
          <w:rFonts w:ascii="仿宋" w:hAnsi="仿宋" w:eastAsia="仿宋" w:cs="仿宋"/>
          <w:sz w:val="32"/>
          <w:szCs w:val="36"/>
        </w:rPr>
        <w:t>2</w:t>
      </w:r>
      <w:r>
        <w:rPr>
          <w:rFonts w:hint="eastAsia" w:ascii="仿宋" w:hAnsi="仿宋" w:eastAsia="仿宋" w:cs="仿宋"/>
          <w:sz w:val="32"/>
          <w:szCs w:val="36"/>
        </w:rPr>
        <w:t>8日</w:t>
      </w:r>
    </w:p>
    <w:p/>
    <w:p/>
    <w:sectPr>
      <w:headerReference r:id="rId6" w:type="default"/>
      <w:footerReference r:id="rId7" w:type="default"/>
      <w:footnotePr>
        <w:numFmt w:val="decimal"/>
      </w:footnotePr>
      <w:endnotePr>
        <w:numFmt w:val="decimal"/>
      </w:endnotePr>
      <w:pgSz w:w="11906" w:h="16838"/>
      <w:pgMar w:top="1440" w:right="1800" w:bottom="1440" w:left="1800" w:header="720"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206030500000203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fldChar w:fldCharType="begin"/>
                          </w:r>
                          <w:r>
                            <w:instrText xml:space="preserve"> PAGE \* Arabic </w:instrText>
                          </w:r>
                          <w:r>
                            <w:fldChar w:fldCharType="separate"/>
                          </w:r>
                          <w:r>
                            <w:t>4</w:t>
                          </w:r>
                          <w: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allowincell="f"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r>
                      <w:fldChar w:fldCharType="begin"/>
                    </w:r>
                    <w:r>
                      <w:instrText xml:space="preserve"> PAGE \* Arabic </w:instrText>
                    </w:r>
                    <w:r>
                      <w:fldChar w:fldCharType="separate"/>
                    </w:r>
                    <w:r>
                      <w:t>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0</wp:posOffset>
              </wp:positionV>
              <wp:extent cx="1828800" cy="1828800"/>
              <wp:effectExtent l="0" t="0" r="0" b="0"/>
              <wp:wrapNone/>
              <wp:docPr id="4098"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fldChar w:fldCharType="begin"/>
                          </w:r>
                          <w:r>
                            <w:instrText xml:space="preserve"> PAGE \* Arabic </w:instrText>
                          </w:r>
                          <w:r>
                            <w:fldChar w:fldCharType="separate"/>
                          </w:r>
                          <w:r>
                            <w:t>10</w:t>
                          </w:r>
                          <w:r>
                            <w:fldChar w:fldCharType="end"/>
                          </w: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allowincell="f"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Bods8AvAEAAHsDAAAOAAAAAAAAAAEAIAAAAB8BAABkcnMvZTJvRG9jLnhtbFBLBQYAAAAA&#10;BgAGAFkBAABNBQAAAAA=&#10;">
              <v:fill on="f" focussize="0,0"/>
              <v:stroke on="f"/>
              <v:imagedata o:title=""/>
              <o:lock v:ext="edit" aspectratio="f"/>
              <v:textbox inset="0mm,0mm,0mm,0mm" style="mso-fit-shape-to-text:t;">
                <w:txbxContent>
                  <w:p>
                    <w:r>
                      <w:fldChar w:fldCharType="begin"/>
                    </w:r>
                    <w:r>
                      <w:instrText xml:space="preserve"> PAGE \* Arabic </w:instrText>
                    </w:r>
                    <w:r>
                      <w:fldChar w:fldCharType="separate"/>
                    </w:r>
                    <w:r>
                      <w:t>10</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fldChar w:fldCharType="begin"/>
                          </w:r>
                          <w:r>
                            <w:instrText xml:space="preserve"> PAGE \* Arabic </w:instrText>
                          </w:r>
                          <w:r>
                            <w:fldChar w:fldCharType="separate"/>
                          </w:r>
                          <w:r>
                            <w:t>13</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allowincell="f"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9p2cUvAEAAHsDAAAOAAAAAAAAAAEAIAAAAB8BAABkcnMvZTJvRG9jLnhtbFBLBQYAAAAA&#10;BgAGAFkBAABNBQAAAAA=&#10;">
              <v:fill on="f" focussize="0,0"/>
              <v:stroke on="f"/>
              <v:imagedata o:title=""/>
              <o:lock v:ext="edit" aspectratio="f"/>
              <v:textbox inset="0mm,0mm,0mm,0mm" style="mso-fit-shape-to-text:t;">
                <w:txbxContent>
                  <w:p>
                    <w:r>
                      <w:fldChar w:fldCharType="begin"/>
                    </w:r>
                    <w:r>
                      <w:instrText xml:space="preserve"> PAGE \* Arabic </w:instrText>
                    </w:r>
                    <w:r>
                      <w:fldChar w:fldCharType="separate"/>
                    </w:r>
                    <w:r>
                      <w:t>13</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space"/>
      <w:lvlText w:val="第%1部分"/>
      <w:lvlJc w:val="left"/>
      <w:pPr>
        <w:ind w:left="0" w:firstLine="0"/>
      </w:pPr>
    </w:lvl>
  </w:abstractNum>
  <w:abstractNum w:abstractNumId="1">
    <w:nsid w:val="00000001"/>
    <w:multiLevelType w:val="singleLevel"/>
    <w:tmpl w:val="00000001"/>
    <w:lvl w:ilvl="0" w:tentative="0">
      <w:start w:val="2"/>
      <w:numFmt w:val="chineseCounting"/>
      <w:suff w:val="nothing"/>
      <w:lvlText w:val="%1、"/>
      <w:lvlJc w:val="left"/>
      <w:pPr>
        <w:ind w:left="0" w:firstLine="0"/>
      </w:pPr>
    </w:lvl>
  </w:abstractNum>
  <w:abstractNum w:abstractNumId="2">
    <w:nsid w:val="00000002"/>
    <w:multiLevelType w:val="singleLevel"/>
    <w:tmpl w:val="00000002"/>
    <w:lvl w:ilvl="0" w:tentative="0">
      <w:start w:val="9"/>
      <w:numFmt w:val="chineseCounting"/>
      <w:suff w:val="nothing"/>
      <w:lvlText w:val="%1、"/>
      <w:lvlJc w:val="left"/>
      <w:pPr>
        <w:ind w:left="0" w:firstLine="0"/>
      </w:pPr>
    </w:lvl>
  </w:abstractNum>
  <w:abstractNum w:abstractNumId="3">
    <w:nsid w:val="00000003"/>
    <w:multiLevelType w:val="singleLevel"/>
    <w:tmpl w:val="00000003"/>
    <w:lvl w:ilvl="0" w:tentative="0">
      <w:start w:val="5"/>
      <w:numFmt w:val="chineseCounting"/>
      <w:suff w:val="space"/>
      <w:lvlText w:val="第%1部分"/>
      <w:lvlJc w:val="left"/>
      <w:rPr>
        <w:rFonts w:hint="eastAsia"/>
      </w:rPr>
    </w:lvl>
  </w:abstractNum>
  <w:abstractNum w:abstractNumId="4">
    <w:nsid w:val="00000004"/>
    <w:multiLevelType w:val="singleLevel"/>
    <w:tmpl w:val="00000004"/>
    <w:lvl w:ilvl="0" w:tentative="0">
      <w:start w:val="0"/>
      <w:numFmt w:val="bullet"/>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TdlYzgyMmJlZjJiMTdjMjE4Y2MzNDdiMTQ1YTcifQ=="/>
  </w:docVars>
  <w:rsids>
    <w:rsidRoot w:val="00000000"/>
    <w:rsid w:val="11E46AD6"/>
    <w:rsid w:val="39753C1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1"/>
      <w:sz w:val="21"/>
      <w:szCs w:val="22"/>
      <w:lang w:val="en-US" w:eastAsia="zh-CN" w:bidi="ar-SA"/>
    </w:rPr>
  </w:style>
  <w:style w:type="paragraph" w:styleId="2">
    <w:name w:val="heading 1"/>
    <w:next w:val="1"/>
    <w:qFormat/>
    <w:uiPriority w:val="0"/>
    <w:pPr>
      <w:keepNext/>
      <w:keepLines/>
      <w:widowControl w:val="0"/>
      <w:spacing w:before="340" w:after="330" w:line="500" w:lineRule="exact"/>
      <w:jc w:val="both"/>
    </w:pPr>
    <w:rPr>
      <w:rFonts w:ascii="Times New Roman" w:hAnsi="Times New Roman" w:eastAsia="仿宋" w:cs="Arial"/>
      <w:kern w:val="0"/>
      <w:sz w:val="36"/>
      <w:szCs w:val="22"/>
      <w:lang w:val="en-US" w:eastAsia="zh-CN" w:bidi="ar-SA"/>
    </w:rPr>
  </w:style>
  <w:style w:type="paragraph" w:styleId="3">
    <w:name w:val="heading 2"/>
    <w:next w:val="1"/>
    <w:qFormat/>
    <w:uiPriority w:val="0"/>
    <w:pPr>
      <w:keepNext/>
      <w:keepLines/>
      <w:widowControl w:val="0"/>
      <w:spacing w:before="260" w:after="260" w:line="413" w:lineRule="auto"/>
      <w:jc w:val="both"/>
      <w:outlineLvl w:val="1"/>
    </w:pPr>
    <w:rPr>
      <w:rFonts w:ascii="Arial" w:hAnsi="Arial" w:eastAsia="黑体" w:cs="Arial"/>
      <w:b/>
      <w:kern w:val="1"/>
      <w:sz w:val="32"/>
      <w:szCs w:val="22"/>
      <w:lang w:val="en-US" w:eastAsia="zh-CN" w:bidi="ar-SA"/>
    </w:rPr>
  </w:style>
  <w:style w:type="paragraph" w:styleId="4">
    <w:name w:val="heading 3"/>
    <w:next w:val="1"/>
    <w:qFormat/>
    <w:uiPriority w:val="0"/>
    <w:pPr>
      <w:keepNext/>
      <w:keepLines/>
      <w:widowControl w:val="0"/>
      <w:spacing w:before="260" w:after="260" w:line="413" w:lineRule="auto"/>
      <w:jc w:val="both"/>
      <w:outlineLvl w:val="2"/>
    </w:pPr>
    <w:rPr>
      <w:rFonts w:ascii="Calibri" w:hAnsi="Calibri" w:eastAsia="宋体" w:cs="Arial"/>
      <w:b/>
      <w:kern w:val="1"/>
      <w:sz w:val="32"/>
      <w:szCs w:val="22"/>
      <w:lang w:val="en-US" w:eastAsia="zh-CN" w:bidi="ar-SA"/>
    </w:rPr>
  </w:style>
  <w:style w:type="paragraph" w:styleId="5">
    <w:name w:val="heading 4"/>
    <w:next w:val="1"/>
    <w:qFormat/>
    <w:uiPriority w:val="0"/>
    <w:pPr>
      <w:keepNext/>
      <w:keepLines/>
      <w:widowControl w:val="0"/>
      <w:spacing w:before="280" w:after="290" w:line="372" w:lineRule="auto"/>
      <w:jc w:val="both"/>
      <w:outlineLvl w:val="3"/>
    </w:pPr>
    <w:rPr>
      <w:rFonts w:ascii="Arial" w:hAnsi="Arial" w:eastAsia="黑体" w:cs="Arial"/>
      <w:b/>
      <w:kern w:val="1"/>
      <w:sz w:val="28"/>
      <w:szCs w:val="22"/>
      <w:lang w:val="en-US" w:eastAsia="zh-CN" w:bidi="ar-SA"/>
    </w:rPr>
  </w:style>
  <w:style w:type="character" w:default="1" w:styleId="11">
    <w:name w:val="Default Paragraph Font"/>
    <w:qFormat/>
    <w:uiPriority w:val="0"/>
    <w:rPr>
      <w:rFonts w:ascii="Times New Roman" w:hAnsi="Times New Roman" w:cs="Times New Roman"/>
      <w:kern w:val="0"/>
      <w:sz w:val="20"/>
      <w:szCs w:val="20"/>
      <w:lang w:val="en-US" w:eastAsia="zh-CN" w:bidi="ar-SA"/>
    </w:rPr>
  </w:style>
  <w:style w:type="table" w:default="1" w:styleId="10">
    <w:name w:val="Normal Table"/>
    <w:qFormat/>
    <w:uiPriority w:val="99"/>
    <w:tblPr>
      <w:tblCellMar>
        <w:top w:w="0" w:type="dxa"/>
        <w:left w:w="108" w:type="dxa"/>
        <w:bottom w:w="0" w:type="dxa"/>
        <w:right w:w="108" w:type="dxa"/>
      </w:tblCellMar>
    </w:tblPr>
  </w:style>
  <w:style w:type="paragraph" w:styleId="6">
    <w:name w:val="footer"/>
    <w:qFormat/>
    <w:uiPriority w:val="0"/>
    <w:pPr>
      <w:widowControl w:val="0"/>
      <w:tabs>
        <w:tab w:val="center" w:pos="4153"/>
        <w:tab w:val="right" w:pos="8306"/>
      </w:tabs>
      <w:jc w:val="left"/>
    </w:pPr>
    <w:rPr>
      <w:rFonts w:ascii="Calibri" w:hAnsi="Calibri" w:eastAsia="宋体" w:cs="Arial"/>
      <w:kern w:val="1"/>
      <w:sz w:val="18"/>
      <w:szCs w:val="22"/>
      <w:lang w:val="en-US" w:eastAsia="zh-CN" w:bidi="ar-SA"/>
    </w:rPr>
  </w:style>
  <w:style w:type="paragraph" w:styleId="7">
    <w:name w:val="header"/>
    <w:qFormat/>
    <w:uiPriority w:val="0"/>
    <w:pPr>
      <w:widowControl w:val="0"/>
      <w:pBdr>
        <w:top w:val="none" w:color="000000" w:sz="0" w:space="1"/>
        <w:left w:val="none" w:color="000000" w:sz="0" w:space="4"/>
        <w:bottom w:val="none" w:color="000000" w:sz="0" w:space="1"/>
        <w:right w:val="none" w:color="000000" w:sz="0" w:space="4"/>
        <w:between w:val="none" w:color="000000" w:sz="0" w:space="0"/>
      </w:pBdr>
      <w:shd w:val="clear" w:color="auto" w:fill="auto"/>
      <w:tabs>
        <w:tab w:val="center" w:pos="4153"/>
        <w:tab w:val="right" w:pos="8306"/>
      </w:tabs>
      <w:jc w:val="both"/>
    </w:pPr>
    <w:rPr>
      <w:rFonts w:ascii="Calibri" w:hAnsi="Calibri" w:eastAsia="宋体" w:cs="Arial"/>
      <w:kern w:val="1"/>
      <w:sz w:val="18"/>
      <w:szCs w:val="22"/>
      <w:lang w:val="en-US" w:eastAsia="zh-CN" w:bidi="ar-SA"/>
    </w:rPr>
  </w:style>
  <w:style w:type="paragraph" w:styleId="8">
    <w:name w:val="Normal (Web)"/>
    <w:qFormat/>
    <w:uiPriority w:val="0"/>
    <w:pPr>
      <w:widowControl/>
      <w:spacing w:before="100" w:beforeAutospacing="1" w:after="100" w:afterAutospacing="1"/>
      <w:jc w:val="left"/>
    </w:pPr>
    <w:rPr>
      <w:rFonts w:ascii="宋体" w:hAnsi="宋体" w:eastAsia="宋体" w:cs="宋体"/>
      <w:kern w:val="1"/>
      <w:sz w:val="24"/>
      <w:szCs w:val="24"/>
      <w:lang w:val="en-US" w:eastAsia="zh-CN" w:bidi="ar-SA"/>
    </w:rPr>
  </w:style>
  <w:style w:type="paragraph" w:styleId="9">
    <w:name w:val="Title"/>
    <w:qFormat/>
    <w:uiPriority w:val="0"/>
    <w:pPr>
      <w:widowControl w:val="0"/>
      <w:spacing w:before="240" w:after="60"/>
      <w:jc w:val="center"/>
      <w:outlineLvl w:val="0"/>
    </w:pPr>
    <w:rPr>
      <w:rFonts w:ascii="Arial" w:hAnsi="Arial" w:eastAsia="宋体" w:cs="Arial"/>
      <w:b/>
      <w:kern w:val="1"/>
      <w:sz w:val="32"/>
      <w:szCs w:val="22"/>
      <w:lang w:val="en-US" w:eastAsia="zh-CN" w:bidi="ar-SA"/>
    </w:rPr>
  </w:style>
  <w:style w:type="paragraph" w:styleId="12">
    <w:name w:val="List Paragraph"/>
    <w:qFormat/>
    <w:uiPriority w:val="0"/>
    <w:pPr>
      <w:widowControl w:val="0"/>
      <w:ind w:firstLine="420"/>
      <w:jc w:val="both"/>
    </w:pPr>
    <w:rPr>
      <w:rFonts w:ascii="Calibri" w:hAnsi="Calibri" w:eastAsia="宋体" w:cs="Arial"/>
      <w:kern w:val="1"/>
      <w:sz w:val="21"/>
      <w:szCs w:val="22"/>
      <w:lang w:val="en-US" w:eastAsia="zh-CN" w:bidi="ar-SA"/>
    </w:rPr>
  </w:style>
  <w:style w:type="paragraph" w:customStyle="1" w:styleId="13">
    <w:name w:val="WPSOffice手动目录 1"/>
    <w:qFormat/>
    <w:uiPriority w:val="0"/>
    <w:pPr>
      <w:widowControl/>
      <w:jc w:val="left"/>
    </w:pPr>
    <w:rPr>
      <w:rFonts w:ascii="Times New Roman" w:hAnsi="Times New Roman" w:eastAsia="宋体" w:cs="Times New Roman"/>
      <w:kern w:val="0"/>
      <w:sz w:val="20"/>
      <w:szCs w:val="20"/>
      <w:lang w:val="en-US" w:eastAsia="zh-CN" w:bidi="ar-SA"/>
    </w:rPr>
  </w:style>
  <w:style w:type="paragraph" w:customStyle="1" w:styleId="14">
    <w:name w:val="WPSOffice手动目录 2"/>
    <w:qFormat/>
    <w:uiPriority w:val="0"/>
    <w:pPr>
      <w:widowControl/>
      <w:jc w:val="left"/>
    </w:pPr>
    <w:rPr>
      <w:rFonts w:ascii="Times New Roman" w:hAnsi="Times New Roman" w:eastAsia="宋体" w:cs="Times New Roman"/>
      <w:kern w:val="0"/>
      <w:sz w:val="20"/>
      <w:szCs w:val="20"/>
      <w:lang w:val="en-US" w:eastAsia="zh-CN" w:bidi="ar-SA"/>
    </w:rPr>
  </w:style>
  <w:style w:type="paragraph" w:customStyle="1" w:styleId="15">
    <w:name w:val="WPSOffice手动目录 3"/>
    <w:qFormat/>
    <w:uiPriority w:val="0"/>
    <w:pPr>
      <w:widowControl/>
      <w:jc w:val="left"/>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10716</Words>
  <Characters>14851</Characters>
  <Paragraphs>3288</Paragraphs>
  <TotalTime>15</TotalTime>
  <ScaleCrop>false</ScaleCrop>
  <LinksUpToDate>false</LinksUpToDate>
  <CharactersWithSpaces>15287</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2021-05-07T20:24:00Z</dcterms:created>
  <dc:creator>ELS-AN10</dc:creator>
  <cp:lastModifiedBy>Administrator</cp:lastModifiedBy>
  <cp:lastPrinted>2023-10-03T03:30:00Z</cp:lastPrinted>
  <dcterms:modified xsi:type="dcterms:W3CDTF">2023-10-03T10:06:30Z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51D7B856E2BF41DC99B4C81EE41386D6_13</vt:lpwstr>
  </property>
</Properties>
</file>