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华文中宋" w:hAnsi="华文中宋" w:eastAsia="华文中宋" w:cs="华文中宋"/>
          <w:color w:val="000000"/>
          <w:kern w:val="0"/>
          <w:sz w:val="40"/>
          <w:szCs w:val="40"/>
          <w:lang w:val="en-US" w:eastAsia="zh-CN" w:bidi="ar"/>
        </w:rPr>
      </w:pPr>
    </w:p>
    <w:p>
      <w:pPr>
        <w:keepNext w:val="0"/>
        <w:keepLines w:val="0"/>
        <w:widowControl/>
        <w:suppressLineNumbers w:val="0"/>
        <w:jc w:val="center"/>
        <w:rPr>
          <w:rFonts w:ascii="华文中宋" w:hAnsi="华文中宋" w:eastAsia="华文中宋" w:cs="华文中宋"/>
          <w:color w:val="000000"/>
          <w:kern w:val="0"/>
          <w:sz w:val="40"/>
          <w:szCs w:val="40"/>
          <w:lang w:val="en-US" w:eastAsia="zh-CN" w:bidi="ar"/>
        </w:rPr>
      </w:pPr>
    </w:p>
    <w:p>
      <w:pPr>
        <w:keepNext w:val="0"/>
        <w:keepLines w:val="0"/>
        <w:widowControl/>
        <w:suppressLineNumbers w:val="0"/>
        <w:jc w:val="center"/>
        <w:rPr>
          <w:rFonts w:ascii="华文中宋" w:hAnsi="华文中宋" w:eastAsia="华文中宋" w:cs="华文中宋"/>
          <w:color w:val="000000"/>
          <w:kern w:val="0"/>
          <w:sz w:val="40"/>
          <w:szCs w:val="40"/>
          <w:lang w:val="en-US" w:eastAsia="zh-CN" w:bidi="ar"/>
        </w:rPr>
      </w:pPr>
    </w:p>
    <w:p>
      <w:pPr>
        <w:keepNext w:val="0"/>
        <w:keepLines w:val="0"/>
        <w:widowControl/>
        <w:suppressLineNumbers w:val="0"/>
        <w:jc w:val="center"/>
        <w:rPr>
          <w:rFonts w:ascii="华文中宋" w:hAnsi="华文中宋" w:eastAsia="华文中宋" w:cs="华文中宋"/>
          <w:color w:val="000000"/>
          <w:kern w:val="0"/>
          <w:sz w:val="40"/>
          <w:szCs w:val="40"/>
          <w:lang w:val="en-US" w:eastAsia="zh-CN" w:bidi="ar"/>
        </w:rPr>
      </w:pPr>
    </w:p>
    <w:p>
      <w:pPr>
        <w:keepNext w:val="0"/>
        <w:keepLines w:val="0"/>
        <w:widowControl/>
        <w:suppressLineNumbers w:val="0"/>
        <w:jc w:val="center"/>
        <w:rPr>
          <w:rFonts w:ascii="华文中宋" w:hAnsi="华文中宋" w:eastAsia="华文中宋" w:cs="华文中宋"/>
          <w:color w:val="000000"/>
          <w:kern w:val="0"/>
          <w:sz w:val="40"/>
          <w:szCs w:val="40"/>
          <w:lang w:val="en-US" w:eastAsia="zh-CN" w:bidi="ar"/>
        </w:rPr>
      </w:pPr>
    </w:p>
    <w:p>
      <w:pPr>
        <w:keepNext w:val="0"/>
        <w:keepLines w:val="0"/>
        <w:widowControl/>
        <w:suppressLineNumbers w:val="0"/>
        <w:jc w:val="center"/>
        <w:rPr>
          <w:rFonts w:ascii="华文中宋" w:hAnsi="华文中宋" w:eastAsia="华文中宋" w:cs="华文中宋"/>
          <w:color w:val="000000"/>
          <w:kern w:val="0"/>
          <w:sz w:val="40"/>
          <w:szCs w:val="40"/>
          <w:lang w:val="en-US" w:eastAsia="zh-CN" w:bidi="ar"/>
        </w:rPr>
      </w:pPr>
    </w:p>
    <w:p>
      <w:pPr>
        <w:keepNext w:val="0"/>
        <w:keepLines w:val="0"/>
        <w:widowControl/>
        <w:suppressLineNumbers w:val="0"/>
        <w:jc w:val="center"/>
        <w:rPr>
          <w:rFonts w:ascii="华文中宋" w:hAnsi="华文中宋" w:eastAsia="华文中宋" w:cs="华文中宋"/>
          <w:color w:val="000000"/>
          <w:kern w:val="0"/>
          <w:sz w:val="40"/>
          <w:szCs w:val="40"/>
          <w:lang w:val="en-US" w:eastAsia="zh-CN" w:bidi="ar"/>
        </w:rPr>
      </w:pPr>
    </w:p>
    <w:p>
      <w:pPr>
        <w:keepNext w:val="0"/>
        <w:keepLines w:val="0"/>
        <w:widowControl/>
        <w:suppressLineNumbers w:val="0"/>
        <w:jc w:val="center"/>
        <w:rPr>
          <w:rFonts w:ascii="华文中宋" w:hAnsi="华文中宋" w:eastAsia="华文中宋" w:cs="华文中宋"/>
          <w:color w:val="000000"/>
          <w:kern w:val="0"/>
          <w:sz w:val="40"/>
          <w:szCs w:val="40"/>
          <w:lang w:val="en-US" w:eastAsia="zh-CN" w:bidi="ar"/>
        </w:rPr>
      </w:pPr>
      <w:r>
        <w:rPr>
          <w:rFonts w:ascii="华文中宋" w:hAnsi="华文中宋" w:eastAsia="华文中宋" w:cs="华文中宋"/>
          <w:color w:val="000000"/>
          <w:kern w:val="0"/>
          <w:sz w:val="40"/>
          <w:szCs w:val="40"/>
          <w:lang w:val="en-US" w:eastAsia="zh-CN" w:bidi="ar"/>
        </w:rPr>
        <w:t xml:space="preserve">大 同 市 </w:t>
      </w:r>
      <w:r>
        <w:rPr>
          <w:rFonts w:hint="eastAsia" w:ascii="华文中宋" w:hAnsi="华文中宋" w:eastAsia="华文中宋" w:cs="华文中宋"/>
          <w:color w:val="000000"/>
          <w:kern w:val="0"/>
          <w:sz w:val="40"/>
          <w:szCs w:val="40"/>
          <w:lang w:val="en-US" w:eastAsia="zh-CN" w:bidi="ar"/>
        </w:rPr>
        <w:t>行 政 拘 留</w:t>
      </w:r>
      <w:r>
        <w:rPr>
          <w:rFonts w:ascii="华文中宋" w:hAnsi="华文中宋" w:eastAsia="华文中宋" w:cs="华文中宋"/>
          <w:color w:val="000000"/>
          <w:kern w:val="0"/>
          <w:sz w:val="40"/>
          <w:szCs w:val="40"/>
          <w:lang w:val="en-US" w:eastAsia="zh-CN" w:bidi="ar"/>
        </w:rPr>
        <w:t xml:space="preserve"> 所</w:t>
      </w:r>
    </w:p>
    <w:p>
      <w:pPr>
        <w:keepNext w:val="0"/>
        <w:keepLines w:val="0"/>
        <w:widowControl/>
        <w:suppressLineNumbers w:val="0"/>
        <w:jc w:val="center"/>
        <w:rPr>
          <w:rFonts w:ascii="华文中宋" w:hAnsi="华文中宋" w:eastAsia="华文中宋" w:cs="华文中宋"/>
          <w:color w:val="000000"/>
          <w:kern w:val="0"/>
          <w:sz w:val="40"/>
          <w:szCs w:val="40"/>
          <w:lang w:val="en-US" w:eastAsia="zh-CN" w:bidi="ar"/>
        </w:rPr>
      </w:pPr>
    </w:p>
    <w:p>
      <w:pPr>
        <w:keepNext w:val="0"/>
        <w:keepLines w:val="0"/>
        <w:widowControl/>
        <w:suppressLineNumbers w:val="0"/>
        <w:jc w:val="center"/>
        <w:rPr>
          <w:sz w:val="24"/>
          <w:szCs w:val="32"/>
        </w:rPr>
      </w:pPr>
      <w:r>
        <w:rPr>
          <w:rFonts w:hint="eastAsia" w:ascii="华文中宋" w:hAnsi="华文中宋" w:eastAsia="华文中宋" w:cs="华文中宋"/>
          <w:color w:val="000000"/>
          <w:kern w:val="0"/>
          <w:sz w:val="40"/>
          <w:szCs w:val="40"/>
          <w:lang w:val="en-US" w:eastAsia="zh-CN" w:bidi="ar"/>
        </w:rPr>
        <w:t>2 0 2 1年 度 单 位 决 算 公 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b/>
          <w:color w:val="000000"/>
          <w:sz w:val="40"/>
          <w:szCs w:val="40"/>
        </w:rPr>
      </w:pPr>
    </w:p>
    <w:p>
      <w:pPr>
        <w:keepNext w:val="0"/>
        <w:keepLines w:val="0"/>
        <w:pageBreakBefore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rPr>
          <w:rFonts w:ascii="宋体" w:hAnsi="宋体" w:eastAsia="宋体" w:cs="Times New Roman"/>
          <w:kern w:val="2"/>
          <w:sz w:val="44"/>
          <w:szCs w:val="44"/>
          <w:lang w:val="en-US" w:eastAsia="zh-CN" w:bidi="ar-SA"/>
        </w:rPr>
        <w:sectPr>
          <w:pgSz w:w="11906" w:h="16838"/>
          <w:pgMar w:top="1440" w:right="1077" w:bottom="1440" w:left="1077" w:header="851" w:footer="992" w:gutter="0"/>
          <w:cols w:space="425" w:num="1"/>
          <w:docGrid w:type="lines" w:linePitch="312" w:charSpace="0"/>
        </w:sectPr>
      </w:pPr>
    </w:p>
    <w:sdt>
      <w:sdtPr>
        <w:rPr>
          <w:rFonts w:ascii="宋体" w:hAnsi="宋体" w:eastAsia="宋体" w:cs="Times New Roman"/>
          <w:kern w:val="2"/>
          <w:sz w:val="44"/>
          <w:szCs w:val="44"/>
          <w:lang w:val="en-US" w:eastAsia="zh-CN" w:bidi="ar-SA"/>
        </w:rPr>
        <w:id w:val="147472395"/>
        <w15:color w:val="DBDBDB"/>
        <w:docPartObj>
          <w:docPartGallery w:val="Table of Contents"/>
          <w:docPartUnique/>
        </w:docPartObj>
      </w:sdtPr>
      <w:sdtEndPr>
        <w:rPr>
          <w:rFonts w:hint="eastAsia" w:ascii="宋体" w:hAnsi="宋体" w:eastAsia="宋体" w:cs="Times New Roman"/>
          <w:b/>
          <w:color w:val="000000"/>
          <w:kern w:val="2"/>
          <w:sz w:val="21"/>
          <w:szCs w:val="36"/>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rPr>
              <w:sz w:val="44"/>
              <w:szCs w:val="44"/>
            </w:rPr>
          </w:pPr>
          <w:r>
            <w:rPr>
              <w:rFonts w:hint="eastAsia" w:ascii="黑体" w:hAnsi="黑体" w:eastAsia="黑体" w:cs="黑体"/>
              <w:sz w:val="44"/>
              <w:szCs w:val="44"/>
            </w:rPr>
            <w:t>目录</w:t>
          </w:r>
        </w:p>
        <w:p>
          <w:pPr>
            <w:pStyle w:val="10"/>
            <w:keepNext w:val="0"/>
            <w:keepLines w:val="0"/>
            <w:pageBreakBefore w:val="0"/>
            <w:tabs>
              <w:tab w:val="right" w:leader="dot" w:pos="9752"/>
            </w:tabs>
            <w:kinsoku/>
            <w:wordWrap/>
            <w:overflowPunct/>
            <w:topLinePunct w:val="0"/>
            <w:autoSpaceDE/>
            <w:autoSpaceDN/>
            <w:bidi w:val="0"/>
            <w:adjustRightInd/>
            <w:snapToGrid/>
            <w:spacing w:line="480" w:lineRule="exact"/>
            <w:textAlignment w:val="auto"/>
            <w:rPr>
              <w:rFonts w:hint="eastAsia" w:ascii="宋体" w:hAnsi="宋体" w:eastAsia="宋体" w:cs="宋体"/>
              <w:b/>
              <w:sz w:val="28"/>
              <w:szCs w:val="28"/>
            </w:rPr>
          </w:pPr>
          <w:r>
            <w:rPr>
              <w:rFonts w:hint="eastAsia" w:ascii="宋体" w:hAnsi="宋体"/>
              <w:b/>
              <w:color w:val="000000"/>
              <w:sz w:val="28"/>
              <w:szCs w:val="28"/>
              <w:lang w:val="en-US" w:eastAsia="zh-CN"/>
            </w:rPr>
            <w:fldChar w:fldCharType="begin"/>
          </w:r>
          <w:r>
            <w:rPr>
              <w:rFonts w:hint="eastAsia" w:ascii="宋体" w:hAnsi="宋体"/>
              <w:b/>
              <w:color w:val="000000"/>
              <w:sz w:val="28"/>
              <w:szCs w:val="28"/>
              <w:lang w:val="en-US" w:eastAsia="zh-CN"/>
            </w:rPr>
            <w:instrText xml:space="preserve">TOC \o "1-2" \h \u </w:instrText>
          </w:r>
          <w:r>
            <w:rPr>
              <w:rFonts w:hint="eastAsia" w:ascii="宋体" w:hAnsi="宋体"/>
              <w:b/>
              <w:color w:val="000000"/>
              <w:sz w:val="28"/>
              <w:szCs w:val="28"/>
              <w:lang w:val="en-US" w:eastAsia="zh-CN"/>
            </w:rPr>
            <w:fldChar w:fldCharType="separate"/>
          </w:r>
          <w:r>
            <w:rPr>
              <w:rFonts w:hint="eastAsia" w:ascii="黑体" w:hAnsi="黑体" w:eastAsia="黑体" w:cs="黑体"/>
              <w:b w:val="0"/>
              <w:bCs/>
              <w:color w:val="000000"/>
              <w:sz w:val="28"/>
              <w:szCs w:val="28"/>
              <w:lang w:val="en-US" w:eastAsia="zh-CN"/>
            </w:rPr>
            <w:fldChar w:fldCharType="begin"/>
          </w:r>
          <w:r>
            <w:rPr>
              <w:rFonts w:hint="eastAsia" w:ascii="黑体" w:hAnsi="黑体" w:eastAsia="黑体" w:cs="黑体"/>
              <w:b w:val="0"/>
              <w:bCs/>
              <w:sz w:val="28"/>
              <w:szCs w:val="28"/>
              <w:lang w:val="en-US" w:eastAsia="zh-CN"/>
            </w:rPr>
            <w:instrText xml:space="preserve"> HYPERLINK \l _Toc24573 </w:instrText>
          </w:r>
          <w:r>
            <w:rPr>
              <w:rFonts w:hint="eastAsia" w:ascii="黑体" w:hAnsi="黑体" w:eastAsia="黑体" w:cs="黑体"/>
              <w:b w:val="0"/>
              <w:bCs/>
              <w:sz w:val="28"/>
              <w:szCs w:val="28"/>
              <w:lang w:val="en-US" w:eastAsia="zh-CN"/>
            </w:rPr>
            <w:fldChar w:fldCharType="separate"/>
          </w:r>
          <w:r>
            <w:rPr>
              <w:rFonts w:hint="eastAsia" w:ascii="黑体" w:hAnsi="黑体" w:eastAsia="黑体" w:cs="黑体"/>
              <w:b w:val="0"/>
              <w:bCs/>
              <w:sz w:val="28"/>
              <w:szCs w:val="28"/>
              <w:lang w:val="en-US" w:eastAsia="zh-CN"/>
            </w:rPr>
            <w:t>第一部分 概况</w:t>
          </w:r>
          <w:r>
            <w:rPr>
              <w:rFonts w:hint="eastAsia" w:ascii="黑体" w:hAnsi="黑体" w:eastAsia="黑体" w:cs="黑体"/>
              <w:b w:val="0"/>
              <w:bCs/>
              <w:sz w:val="28"/>
              <w:szCs w:val="28"/>
            </w:rPr>
            <w:tab/>
          </w:r>
          <w:r>
            <w:rPr>
              <w:rFonts w:hint="eastAsia" w:ascii="黑体" w:hAnsi="黑体" w:eastAsia="黑体" w:cs="黑体"/>
              <w:b w:val="0"/>
              <w:bCs/>
              <w:sz w:val="28"/>
              <w:szCs w:val="28"/>
            </w:rPr>
            <w:fldChar w:fldCharType="begin"/>
          </w:r>
          <w:r>
            <w:rPr>
              <w:rFonts w:hint="eastAsia" w:ascii="黑体" w:hAnsi="黑体" w:eastAsia="黑体" w:cs="黑体"/>
              <w:b w:val="0"/>
              <w:bCs/>
              <w:sz w:val="28"/>
              <w:szCs w:val="28"/>
            </w:rPr>
            <w:instrText xml:space="preserve"> PAGEREF _Toc24573 \h </w:instrText>
          </w:r>
          <w:r>
            <w:rPr>
              <w:rFonts w:hint="eastAsia" w:ascii="黑体" w:hAnsi="黑体" w:eastAsia="黑体" w:cs="黑体"/>
              <w:b w:val="0"/>
              <w:bCs/>
              <w:sz w:val="28"/>
              <w:szCs w:val="28"/>
            </w:rPr>
            <w:fldChar w:fldCharType="separate"/>
          </w:r>
          <w:r>
            <w:rPr>
              <w:rFonts w:hint="eastAsia" w:ascii="黑体" w:hAnsi="黑体" w:eastAsia="黑体" w:cs="黑体"/>
              <w:b w:val="0"/>
              <w:bCs/>
              <w:sz w:val="28"/>
              <w:szCs w:val="28"/>
            </w:rPr>
            <w:t>1</w:t>
          </w:r>
          <w:r>
            <w:rPr>
              <w:rFonts w:hint="eastAsia" w:ascii="黑体" w:hAnsi="黑体" w:eastAsia="黑体" w:cs="黑体"/>
              <w:b w:val="0"/>
              <w:bCs/>
              <w:sz w:val="28"/>
              <w:szCs w:val="28"/>
            </w:rPr>
            <w:fldChar w:fldCharType="end"/>
          </w:r>
          <w:r>
            <w:rPr>
              <w:rFonts w:hint="eastAsia" w:ascii="黑体" w:hAnsi="黑体" w:eastAsia="黑体" w:cs="黑体"/>
              <w:b w:val="0"/>
              <w:bCs/>
              <w:color w:val="000000"/>
              <w:sz w:val="28"/>
              <w:szCs w:val="28"/>
              <w:lang w:val="en-US" w:eastAsia="zh-CN"/>
            </w:rPr>
            <w:fldChar w:fldCharType="end"/>
          </w:r>
        </w:p>
        <w:p>
          <w:pPr>
            <w:pStyle w:val="11"/>
            <w:keepNext w:val="0"/>
            <w:keepLines w:val="0"/>
            <w:pageBreakBefore w:val="0"/>
            <w:tabs>
              <w:tab w:val="right" w:leader="dot" w:pos="9752"/>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lang w:val="en-US" w:eastAsia="zh-CN"/>
            </w:rPr>
            <w:fldChar w:fldCharType="begin"/>
          </w:r>
          <w:r>
            <w:rPr>
              <w:rFonts w:hint="eastAsia" w:ascii="仿宋" w:hAnsi="仿宋" w:eastAsia="仿宋" w:cs="仿宋"/>
              <w:sz w:val="28"/>
              <w:szCs w:val="28"/>
              <w:lang w:val="en-US" w:eastAsia="zh-CN"/>
            </w:rPr>
            <w:instrText xml:space="preserve"> HYPERLINK \l _Toc12136 </w:instrText>
          </w:r>
          <w:r>
            <w:rPr>
              <w:rFonts w:hint="eastAsia" w:ascii="仿宋" w:hAnsi="仿宋" w:eastAsia="仿宋" w:cs="仿宋"/>
              <w:sz w:val="28"/>
              <w:szCs w:val="28"/>
              <w:lang w:val="en-US" w:eastAsia="zh-CN"/>
            </w:rPr>
            <w:fldChar w:fldCharType="separate"/>
          </w:r>
          <w:r>
            <w:rPr>
              <w:rFonts w:hint="eastAsia" w:ascii="仿宋" w:hAnsi="仿宋" w:eastAsia="仿宋" w:cs="仿宋"/>
              <w:bCs/>
              <w:sz w:val="28"/>
              <w:szCs w:val="28"/>
              <w:lang w:val="en-US" w:eastAsia="zh-CN"/>
            </w:rPr>
            <w:t>一、 本部门（单位）职责</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_Toc12136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color w:val="000000"/>
              <w:sz w:val="28"/>
              <w:szCs w:val="28"/>
              <w:lang w:val="en-US" w:eastAsia="zh-CN"/>
            </w:rPr>
            <w:fldChar w:fldCharType="end"/>
          </w:r>
        </w:p>
        <w:p>
          <w:pPr>
            <w:pStyle w:val="11"/>
            <w:keepNext w:val="0"/>
            <w:keepLines w:val="0"/>
            <w:pageBreakBefore w:val="0"/>
            <w:tabs>
              <w:tab w:val="right" w:leader="dot" w:pos="9752"/>
            </w:tabs>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r>
            <w:rPr>
              <w:rFonts w:hint="eastAsia" w:ascii="仿宋" w:hAnsi="仿宋" w:eastAsia="仿宋" w:cs="仿宋"/>
              <w:color w:val="000000"/>
              <w:sz w:val="28"/>
              <w:szCs w:val="28"/>
              <w:lang w:val="en-US" w:eastAsia="zh-CN"/>
            </w:rPr>
            <w:fldChar w:fldCharType="begin"/>
          </w:r>
          <w:r>
            <w:rPr>
              <w:rFonts w:hint="eastAsia" w:ascii="仿宋" w:hAnsi="仿宋" w:eastAsia="仿宋" w:cs="仿宋"/>
              <w:sz w:val="28"/>
              <w:szCs w:val="28"/>
              <w:lang w:val="en-US" w:eastAsia="zh-CN"/>
            </w:rPr>
            <w:instrText xml:space="preserve"> HYPERLINK \l _Toc17431 </w:instrText>
          </w:r>
          <w:r>
            <w:rPr>
              <w:rFonts w:hint="eastAsia" w:ascii="仿宋" w:hAnsi="仿宋" w:eastAsia="仿宋" w:cs="仿宋"/>
              <w:sz w:val="28"/>
              <w:szCs w:val="28"/>
              <w:lang w:val="en-US" w:eastAsia="zh-CN"/>
            </w:rPr>
            <w:fldChar w:fldCharType="separate"/>
          </w:r>
          <w:r>
            <w:rPr>
              <w:rFonts w:hint="eastAsia" w:ascii="仿宋" w:hAnsi="仿宋" w:eastAsia="仿宋" w:cs="仿宋"/>
              <w:bCs/>
              <w:sz w:val="28"/>
              <w:szCs w:val="28"/>
              <w:lang w:val="en-US" w:eastAsia="zh-CN"/>
            </w:rPr>
            <w:t>二、机构设置情况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_Toc17431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color w:val="000000"/>
              <w:sz w:val="28"/>
              <w:szCs w:val="28"/>
              <w:lang w:val="en-US" w:eastAsia="zh-CN"/>
            </w:rPr>
            <w:fldChar w:fldCharType="end"/>
          </w:r>
        </w:p>
        <w:p>
          <w:pPr>
            <w:pStyle w:val="10"/>
            <w:keepNext w:val="0"/>
            <w:keepLines w:val="0"/>
            <w:pageBreakBefore w:val="0"/>
            <w:tabs>
              <w:tab w:val="right" w:leader="dot" w:pos="9752"/>
            </w:tabs>
            <w:kinsoku/>
            <w:wordWrap/>
            <w:overflowPunct/>
            <w:topLinePunct w:val="0"/>
            <w:autoSpaceDE/>
            <w:autoSpaceDN/>
            <w:bidi w:val="0"/>
            <w:adjustRightInd/>
            <w:snapToGrid/>
            <w:spacing w:line="480" w:lineRule="exact"/>
            <w:textAlignment w:val="auto"/>
            <w:rPr>
              <w:rFonts w:hint="eastAsia" w:ascii="宋体" w:hAnsi="宋体" w:eastAsia="宋体" w:cs="宋体"/>
              <w:b/>
              <w:sz w:val="28"/>
              <w:szCs w:val="28"/>
            </w:rPr>
          </w:pPr>
          <w:r>
            <w:rPr>
              <w:rFonts w:hint="eastAsia" w:ascii="宋体" w:hAnsi="宋体" w:eastAsia="宋体" w:cs="宋体"/>
              <w:b/>
              <w:color w:val="000000"/>
              <w:sz w:val="28"/>
              <w:szCs w:val="28"/>
              <w:lang w:val="en-US" w:eastAsia="zh-CN"/>
            </w:rPr>
            <w:fldChar w:fldCharType="begin"/>
          </w:r>
          <w:r>
            <w:rPr>
              <w:rFonts w:hint="eastAsia" w:ascii="宋体" w:hAnsi="宋体" w:eastAsia="宋体" w:cs="宋体"/>
              <w:b/>
              <w:sz w:val="28"/>
              <w:szCs w:val="28"/>
              <w:lang w:val="en-US" w:eastAsia="zh-CN"/>
            </w:rPr>
            <w:instrText xml:space="preserve"> HYPERLINK \l _Toc25061 </w:instrText>
          </w:r>
          <w:r>
            <w:rPr>
              <w:rFonts w:hint="eastAsia" w:ascii="宋体" w:hAnsi="宋体" w:eastAsia="宋体" w:cs="宋体"/>
              <w:b/>
              <w:sz w:val="28"/>
              <w:szCs w:val="28"/>
              <w:lang w:val="en-US" w:eastAsia="zh-CN"/>
            </w:rPr>
            <w:fldChar w:fldCharType="separate"/>
          </w:r>
          <w:r>
            <w:rPr>
              <w:rFonts w:hint="eastAsia" w:ascii="黑体" w:hAnsi="黑体" w:eastAsia="黑体" w:cs="黑体"/>
              <w:b w:val="0"/>
              <w:bCs/>
              <w:sz w:val="28"/>
              <w:szCs w:val="28"/>
              <w:lang w:val="en-US" w:eastAsia="zh-CN"/>
            </w:rPr>
            <w:t>第二部分  2021年度部门决算报表</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_Toc25061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2</w:t>
          </w:r>
          <w:r>
            <w:rPr>
              <w:rFonts w:hint="eastAsia" w:ascii="宋体" w:hAnsi="宋体" w:eastAsia="宋体" w:cs="宋体"/>
              <w:b/>
              <w:sz w:val="28"/>
              <w:szCs w:val="28"/>
            </w:rPr>
            <w:fldChar w:fldCharType="end"/>
          </w:r>
          <w:r>
            <w:rPr>
              <w:rFonts w:hint="eastAsia" w:ascii="宋体" w:hAnsi="宋体" w:eastAsia="宋体" w:cs="宋体"/>
              <w:b/>
              <w:color w:val="000000"/>
              <w:sz w:val="28"/>
              <w:szCs w:val="28"/>
              <w:lang w:val="en-US" w:eastAsia="zh-CN"/>
            </w:rPr>
            <w:fldChar w:fldCharType="end"/>
          </w:r>
        </w:p>
        <w:p>
          <w:pPr>
            <w:pStyle w:val="11"/>
            <w:keepNext w:val="0"/>
            <w:keepLines w:val="0"/>
            <w:pageBreakBefore w:val="0"/>
            <w:tabs>
              <w:tab w:val="right" w:leader="dot" w:pos="9752"/>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lang w:val="en-US" w:eastAsia="zh-CN"/>
            </w:rPr>
            <w:t>一、</w:t>
          </w:r>
          <w:r>
            <w:rPr>
              <w:rFonts w:hint="eastAsia" w:ascii="仿宋" w:hAnsi="仿宋" w:eastAsia="仿宋" w:cs="仿宋"/>
              <w:color w:val="000000"/>
              <w:sz w:val="28"/>
              <w:szCs w:val="28"/>
              <w:lang w:val="en-US" w:eastAsia="zh-CN"/>
            </w:rPr>
            <w:fldChar w:fldCharType="begin"/>
          </w:r>
          <w:r>
            <w:rPr>
              <w:rFonts w:hint="eastAsia" w:ascii="仿宋" w:hAnsi="仿宋" w:eastAsia="仿宋" w:cs="仿宋"/>
              <w:sz w:val="28"/>
              <w:szCs w:val="28"/>
              <w:lang w:val="en-US" w:eastAsia="zh-CN"/>
            </w:rPr>
            <w:instrText xml:space="preserve"> HYPERLINK \l _Toc1753 </w:instrText>
          </w:r>
          <w:r>
            <w:rPr>
              <w:rFonts w:hint="eastAsia" w:ascii="仿宋" w:hAnsi="仿宋" w:eastAsia="仿宋" w:cs="仿宋"/>
              <w:sz w:val="28"/>
              <w:szCs w:val="28"/>
              <w:lang w:val="en-US" w:eastAsia="zh-CN"/>
            </w:rPr>
            <w:fldChar w:fldCharType="separate"/>
          </w:r>
          <w:r>
            <w:rPr>
              <w:rFonts w:hint="eastAsia" w:ascii="仿宋" w:hAnsi="仿宋" w:eastAsia="仿宋" w:cs="仿宋"/>
              <w:bCs/>
              <w:sz w:val="28"/>
              <w:szCs w:val="28"/>
              <w:lang w:val="en-US" w:eastAsia="zh-CN"/>
            </w:rPr>
            <w:t>收入支出决算总表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_Toc1753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color w:val="000000"/>
              <w:sz w:val="28"/>
              <w:szCs w:val="28"/>
              <w:lang w:val="en-US" w:eastAsia="zh-CN"/>
            </w:rPr>
            <w:fldChar w:fldCharType="end"/>
          </w:r>
        </w:p>
        <w:p>
          <w:pPr>
            <w:pStyle w:val="11"/>
            <w:keepNext w:val="0"/>
            <w:keepLines w:val="0"/>
            <w:pageBreakBefore w:val="0"/>
            <w:tabs>
              <w:tab w:val="right" w:leader="dot" w:pos="9752"/>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lang w:val="en-US" w:eastAsia="zh-CN"/>
            </w:rPr>
            <w:t>二、</w:t>
          </w:r>
          <w:r>
            <w:rPr>
              <w:rFonts w:hint="eastAsia" w:ascii="仿宋" w:hAnsi="仿宋" w:eastAsia="仿宋" w:cs="仿宋"/>
              <w:color w:val="000000"/>
              <w:sz w:val="28"/>
              <w:szCs w:val="28"/>
              <w:lang w:val="en-US" w:eastAsia="zh-CN"/>
            </w:rPr>
            <w:fldChar w:fldCharType="begin"/>
          </w:r>
          <w:r>
            <w:rPr>
              <w:rFonts w:hint="eastAsia" w:ascii="仿宋" w:hAnsi="仿宋" w:eastAsia="仿宋" w:cs="仿宋"/>
              <w:sz w:val="28"/>
              <w:szCs w:val="28"/>
              <w:lang w:val="en-US" w:eastAsia="zh-CN"/>
            </w:rPr>
            <w:instrText xml:space="preserve"> HYPERLINK \l _Toc10006 </w:instrText>
          </w:r>
          <w:r>
            <w:rPr>
              <w:rFonts w:hint="eastAsia" w:ascii="仿宋" w:hAnsi="仿宋" w:eastAsia="仿宋" w:cs="仿宋"/>
              <w:sz w:val="28"/>
              <w:szCs w:val="28"/>
              <w:lang w:val="en-US" w:eastAsia="zh-CN"/>
            </w:rPr>
            <w:fldChar w:fldCharType="separate"/>
          </w:r>
          <w:r>
            <w:rPr>
              <w:rFonts w:hint="eastAsia" w:ascii="仿宋" w:hAnsi="仿宋" w:eastAsia="仿宋" w:cs="仿宋"/>
              <w:bCs/>
              <w:sz w:val="28"/>
              <w:szCs w:val="28"/>
              <w:lang w:val="en-US" w:eastAsia="zh-CN"/>
            </w:rPr>
            <w:t>收入决算表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_Toc10006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color w:val="000000"/>
              <w:sz w:val="28"/>
              <w:szCs w:val="28"/>
              <w:lang w:val="en-US" w:eastAsia="zh-CN"/>
            </w:rPr>
            <w:fldChar w:fldCharType="end"/>
          </w:r>
        </w:p>
        <w:p>
          <w:pPr>
            <w:pStyle w:val="11"/>
            <w:keepNext w:val="0"/>
            <w:keepLines w:val="0"/>
            <w:pageBreakBefore w:val="0"/>
            <w:tabs>
              <w:tab w:val="right" w:leader="dot" w:pos="9752"/>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lang w:val="en-US" w:eastAsia="zh-CN"/>
            </w:rPr>
            <w:t>三、</w:t>
          </w:r>
          <w:r>
            <w:rPr>
              <w:rFonts w:hint="eastAsia" w:ascii="仿宋" w:hAnsi="仿宋" w:eastAsia="仿宋" w:cs="仿宋"/>
              <w:color w:val="000000"/>
              <w:sz w:val="28"/>
              <w:szCs w:val="28"/>
              <w:lang w:val="en-US" w:eastAsia="zh-CN"/>
            </w:rPr>
            <w:fldChar w:fldCharType="begin"/>
          </w:r>
          <w:r>
            <w:rPr>
              <w:rFonts w:hint="eastAsia" w:ascii="仿宋" w:hAnsi="仿宋" w:eastAsia="仿宋" w:cs="仿宋"/>
              <w:sz w:val="28"/>
              <w:szCs w:val="28"/>
              <w:lang w:val="en-US" w:eastAsia="zh-CN"/>
            </w:rPr>
            <w:instrText xml:space="preserve"> HYPERLINK \l _Toc14979 </w:instrText>
          </w:r>
          <w:r>
            <w:rPr>
              <w:rFonts w:hint="eastAsia" w:ascii="仿宋" w:hAnsi="仿宋" w:eastAsia="仿宋" w:cs="仿宋"/>
              <w:sz w:val="28"/>
              <w:szCs w:val="28"/>
              <w:lang w:val="en-US" w:eastAsia="zh-CN"/>
            </w:rPr>
            <w:fldChar w:fldCharType="separate"/>
          </w:r>
          <w:r>
            <w:rPr>
              <w:rFonts w:hint="eastAsia" w:ascii="仿宋" w:hAnsi="仿宋" w:eastAsia="仿宋" w:cs="仿宋"/>
              <w:bCs/>
              <w:sz w:val="28"/>
              <w:szCs w:val="28"/>
              <w:lang w:val="en-US" w:eastAsia="zh-CN"/>
            </w:rPr>
            <w:t>支出决算表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_Toc14979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color w:val="000000"/>
              <w:sz w:val="28"/>
              <w:szCs w:val="28"/>
              <w:lang w:val="en-US" w:eastAsia="zh-CN"/>
            </w:rPr>
            <w:fldChar w:fldCharType="end"/>
          </w:r>
        </w:p>
        <w:p>
          <w:pPr>
            <w:pStyle w:val="11"/>
            <w:keepNext w:val="0"/>
            <w:keepLines w:val="0"/>
            <w:pageBreakBefore w:val="0"/>
            <w:tabs>
              <w:tab w:val="right" w:leader="dot" w:pos="9752"/>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lang w:val="en-US" w:eastAsia="zh-CN"/>
            </w:rPr>
            <w:t>四、</w:t>
          </w:r>
          <w:r>
            <w:rPr>
              <w:rFonts w:hint="eastAsia" w:ascii="仿宋" w:hAnsi="仿宋" w:eastAsia="仿宋" w:cs="仿宋"/>
              <w:color w:val="000000"/>
              <w:sz w:val="28"/>
              <w:szCs w:val="28"/>
              <w:lang w:val="en-US" w:eastAsia="zh-CN"/>
            </w:rPr>
            <w:fldChar w:fldCharType="begin"/>
          </w:r>
          <w:r>
            <w:rPr>
              <w:rFonts w:hint="eastAsia" w:ascii="仿宋" w:hAnsi="仿宋" w:eastAsia="仿宋" w:cs="仿宋"/>
              <w:sz w:val="28"/>
              <w:szCs w:val="28"/>
              <w:lang w:val="en-US" w:eastAsia="zh-CN"/>
            </w:rPr>
            <w:instrText xml:space="preserve"> HYPERLINK \l _Toc32641 </w:instrText>
          </w:r>
          <w:r>
            <w:rPr>
              <w:rFonts w:hint="eastAsia" w:ascii="仿宋" w:hAnsi="仿宋" w:eastAsia="仿宋" w:cs="仿宋"/>
              <w:sz w:val="28"/>
              <w:szCs w:val="28"/>
              <w:lang w:val="en-US" w:eastAsia="zh-CN"/>
            </w:rPr>
            <w:fldChar w:fldCharType="separate"/>
          </w:r>
          <w:r>
            <w:rPr>
              <w:rFonts w:hint="eastAsia" w:ascii="仿宋" w:hAnsi="仿宋" w:eastAsia="仿宋" w:cs="仿宋"/>
              <w:bCs/>
              <w:sz w:val="28"/>
              <w:szCs w:val="28"/>
              <w:lang w:val="en-US" w:eastAsia="zh-CN"/>
            </w:rPr>
            <w:t>财政拨款收入支出决算总表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_Toc32641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color w:val="000000"/>
              <w:sz w:val="28"/>
              <w:szCs w:val="28"/>
              <w:lang w:val="en-US" w:eastAsia="zh-CN"/>
            </w:rPr>
            <w:fldChar w:fldCharType="end"/>
          </w:r>
        </w:p>
        <w:p>
          <w:pPr>
            <w:pStyle w:val="11"/>
            <w:keepNext w:val="0"/>
            <w:keepLines w:val="0"/>
            <w:pageBreakBefore w:val="0"/>
            <w:tabs>
              <w:tab w:val="right" w:leader="dot" w:pos="9752"/>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lang w:val="en-US" w:eastAsia="zh-CN"/>
            </w:rPr>
            <w:t>五、</w:t>
          </w:r>
          <w:r>
            <w:rPr>
              <w:rFonts w:hint="eastAsia" w:ascii="仿宋" w:hAnsi="仿宋" w:eastAsia="仿宋" w:cs="仿宋"/>
              <w:color w:val="000000"/>
              <w:sz w:val="28"/>
              <w:szCs w:val="28"/>
              <w:lang w:val="en-US" w:eastAsia="zh-CN"/>
            </w:rPr>
            <w:fldChar w:fldCharType="begin"/>
          </w:r>
          <w:r>
            <w:rPr>
              <w:rFonts w:hint="eastAsia" w:ascii="仿宋" w:hAnsi="仿宋" w:eastAsia="仿宋" w:cs="仿宋"/>
              <w:sz w:val="28"/>
              <w:szCs w:val="28"/>
              <w:lang w:val="en-US" w:eastAsia="zh-CN"/>
            </w:rPr>
            <w:instrText xml:space="preserve"> HYPERLINK \l _Toc24486 </w:instrText>
          </w:r>
          <w:r>
            <w:rPr>
              <w:rFonts w:hint="eastAsia" w:ascii="仿宋" w:hAnsi="仿宋" w:eastAsia="仿宋" w:cs="仿宋"/>
              <w:sz w:val="28"/>
              <w:szCs w:val="28"/>
              <w:lang w:val="en-US" w:eastAsia="zh-CN"/>
            </w:rPr>
            <w:fldChar w:fldCharType="separate"/>
          </w:r>
          <w:r>
            <w:rPr>
              <w:rFonts w:hint="eastAsia" w:ascii="仿宋" w:hAnsi="仿宋" w:eastAsia="仿宋" w:cs="仿宋"/>
              <w:bCs/>
              <w:sz w:val="28"/>
              <w:szCs w:val="28"/>
              <w:lang w:val="en-US" w:eastAsia="zh-CN"/>
            </w:rPr>
            <w:t>一般公共预算财政拨款支出决算表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_Toc24486 \h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lang w:val="en-US" w:eastAsia="zh-CN"/>
            </w:rPr>
            <w:fldChar w:fldCharType="end"/>
          </w:r>
        </w:p>
        <w:p>
          <w:pPr>
            <w:pStyle w:val="11"/>
            <w:keepNext w:val="0"/>
            <w:keepLines w:val="0"/>
            <w:pageBreakBefore w:val="0"/>
            <w:tabs>
              <w:tab w:val="right" w:leader="dot" w:pos="9752"/>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lang w:val="en-US" w:eastAsia="zh-CN"/>
            </w:rPr>
            <w:t>六、</w:t>
          </w:r>
          <w:r>
            <w:rPr>
              <w:rFonts w:hint="eastAsia" w:ascii="仿宋" w:hAnsi="仿宋" w:eastAsia="仿宋" w:cs="仿宋"/>
              <w:color w:val="000000"/>
              <w:sz w:val="28"/>
              <w:szCs w:val="28"/>
              <w:lang w:val="en-US" w:eastAsia="zh-CN"/>
            </w:rPr>
            <w:fldChar w:fldCharType="begin"/>
          </w:r>
          <w:r>
            <w:rPr>
              <w:rFonts w:hint="eastAsia" w:ascii="仿宋" w:hAnsi="仿宋" w:eastAsia="仿宋" w:cs="仿宋"/>
              <w:sz w:val="28"/>
              <w:szCs w:val="28"/>
              <w:lang w:val="en-US" w:eastAsia="zh-CN"/>
            </w:rPr>
            <w:instrText xml:space="preserve"> HYPERLINK \l _Toc27409 </w:instrText>
          </w:r>
          <w:r>
            <w:rPr>
              <w:rFonts w:hint="eastAsia" w:ascii="仿宋" w:hAnsi="仿宋" w:eastAsia="仿宋" w:cs="仿宋"/>
              <w:sz w:val="28"/>
              <w:szCs w:val="28"/>
              <w:lang w:val="en-US" w:eastAsia="zh-CN"/>
            </w:rPr>
            <w:fldChar w:fldCharType="separate"/>
          </w:r>
          <w:r>
            <w:rPr>
              <w:rFonts w:hint="eastAsia" w:ascii="仿宋" w:hAnsi="仿宋" w:eastAsia="仿宋" w:cs="仿宋"/>
              <w:bCs/>
              <w:sz w:val="28"/>
              <w:szCs w:val="28"/>
              <w:lang w:val="en-US" w:eastAsia="zh-CN"/>
            </w:rPr>
            <w:t>一般公共预算财政拨款基本支出决算表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_Toc27409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color w:val="000000"/>
              <w:sz w:val="28"/>
              <w:szCs w:val="28"/>
              <w:lang w:val="en-US" w:eastAsia="zh-CN"/>
            </w:rPr>
            <w:fldChar w:fldCharType="end"/>
          </w:r>
        </w:p>
        <w:p>
          <w:pPr>
            <w:pStyle w:val="11"/>
            <w:keepNext w:val="0"/>
            <w:keepLines w:val="0"/>
            <w:pageBreakBefore w:val="0"/>
            <w:tabs>
              <w:tab w:val="right" w:leader="dot" w:pos="9752"/>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lang w:val="en-US" w:eastAsia="zh-CN"/>
            </w:rPr>
            <w:t>七、</w:t>
          </w:r>
          <w:r>
            <w:rPr>
              <w:rFonts w:hint="eastAsia" w:ascii="仿宋" w:hAnsi="仿宋" w:eastAsia="仿宋" w:cs="仿宋"/>
              <w:color w:val="000000"/>
              <w:sz w:val="28"/>
              <w:szCs w:val="28"/>
              <w:lang w:val="en-US" w:eastAsia="zh-CN"/>
            </w:rPr>
            <w:fldChar w:fldCharType="begin"/>
          </w:r>
          <w:r>
            <w:rPr>
              <w:rFonts w:hint="eastAsia" w:ascii="仿宋" w:hAnsi="仿宋" w:eastAsia="仿宋" w:cs="仿宋"/>
              <w:sz w:val="28"/>
              <w:szCs w:val="28"/>
              <w:lang w:val="en-US" w:eastAsia="zh-CN"/>
            </w:rPr>
            <w:instrText xml:space="preserve"> HYPERLINK \l _Toc22960 </w:instrText>
          </w:r>
          <w:r>
            <w:rPr>
              <w:rFonts w:hint="eastAsia" w:ascii="仿宋" w:hAnsi="仿宋" w:eastAsia="仿宋" w:cs="仿宋"/>
              <w:sz w:val="28"/>
              <w:szCs w:val="28"/>
              <w:lang w:val="en-US" w:eastAsia="zh-CN"/>
            </w:rPr>
            <w:fldChar w:fldCharType="separate"/>
          </w:r>
          <w:r>
            <w:rPr>
              <w:rFonts w:hint="eastAsia" w:ascii="仿宋" w:hAnsi="仿宋" w:eastAsia="仿宋" w:cs="仿宋"/>
              <w:bCs/>
              <w:sz w:val="28"/>
              <w:szCs w:val="28"/>
              <w:lang w:val="en-US" w:eastAsia="zh-CN"/>
            </w:rPr>
            <w:t>一般公共预算财政拨款“三公”经费支出决算表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_Toc22960 \h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color w:val="000000"/>
              <w:sz w:val="28"/>
              <w:szCs w:val="28"/>
              <w:lang w:val="en-US" w:eastAsia="zh-CN"/>
            </w:rPr>
            <w:fldChar w:fldCharType="end"/>
          </w:r>
        </w:p>
        <w:p>
          <w:pPr>
            <w:pStyle w:val="11"/>
            <w:keepNext w:val="0"/>
            <w:keepLines w:val="0"/>
            <w:pageBreakBefore w:val="0"/>
            <w:tabs>
              <w:tab w:val="right" w:leader="dot" w:pos="9752"/>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lang w:val="en-US" w:eastAsia="zh-CN"/>
            </w:rPr>
            <w:t>八、</w:t>
          </w:r>
          <w:r>
            <w:rPr>
              <w:rFonts w:hint="eastAsia" w:ascii="仿宋" w:hAnsi="仿宋" w:eastAsia="仿宋" w:cs="仿宋"/>
              <w:color w:val="000000"/>
              <w:sz w:val="28"/>
              <w:szCs w:val="28"/>
              <w:lang w:val="en-US" w:eastAsia="zh-CN"/>
            </w:rPr>
            <w:fldChar w:fldCharType="begin"/>
          </w:r>
          <w:r>
            <w:rPr>
              <w:rFonts w:hint="eastAsia" w:ascii="仿宋" w:hAnsi="仿宋" w:eastAsia="仿宋" w:cs="仿宋"/>
              <w:sz w:val="28"/>
              <w:szCs w:val="28"/>
              <w:lang w:val="en-US" w:eastAsia="zh-CN"/>
            </w:rPr>
            <w:instrText xml:space="preserve"> HYPERLINK \l _Toc24030 </w:instrText>
          </w:r>
          <w:r>
            <w:rPr>
              <w:rFonts w:hint="eastAsia" w:ascii="仿宋" w:hAnsi="仿宋" w:eastAsia="仿宋" w:cs="仿宋"/>
              <w:sz w:val="28"/>
              <w:szCs w:val="28"/>
              <w:lang w:val="en-US" w:eastAsia="zh-CN"/>
            </w:rPr>
            <w:fldChar w:fldCharType="separate"/>
          </w:r>
          <w:r>
            <w:rPr>
              <w:rFonts w:hint="eastAsia" w:ascii="仿宋" w:hAnsi="仿宋" w:eastAsia="仿宋" w:cs="仿宋"/>
              <w:bCs/>
              <w:sz w:val="28"/>
              <w:szCs w:val="28"/>
              <w:lang w:val="en-US" w:eastAsia="zh-CN"/>
            </w:rPr>
            <w:t>政府性基金预算财政拨款收入支出决算表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_Toc24030 \h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color w:val="000000"/>
              <w:sz w:val="28"/>
              <w:szCs w:val="28"/>
              <w:lang w:val="en-US" w:eastAsia="zh-CN"/>
            </w:rPr>
            <w:fldChar w:fldCharType="end"/>
          </w:r>
        </w:p>
        <w:p>
          <w:pPr>
            <w:pStyle w:val="11"/>
            <w:keepNext w:val="0"/>
            <w:keepLines w:val="0"/>
            <w:pageBreakBefore w:val="0"/>
            <w:tabs>
              <w:tab w:val="right" w:leader="dot" w:pos="9752"/>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lang w:val="en-US" w:eastAsia="zh-CN"/>
            </w:rPr>
            <w:t>九、</w:t>
          </w:r>
          <w:r>
            <w:rPr>
              <w:rFonts w:hint="eastAsia" w:ascii="仿宋" w:hAnsi="仿宋" w:eastAsia="仿宋" w:cs="仿宋"/>
              <w:color w:val="000000"/>
              <w:sz w:val="28"/>
              <w:szCs w:val="28"/>
              <w:lang w:val="en-US" w:eastAsia="zh-CN"/>
            </w:rPr>
            <w:fldChar w:fldCharType="begin"/>
          </w:r>
          <w:r>
            <w:rPr>
              <w:rFonts w:hint="eastAsia" w:ascii="仿宋" w:hAnsi="仿宋" w:eastAsia="仿宋" w:cs="仿宋"/>
              <w:sz w:val="28"/>
              <w:szCs w:val="28"/>
              <w:lang w:val="en-US" w:eastAsia="zh-CN"/>
            </w:rPr>
            <w:instrText xml:space="preserve"> HYPERLINK \l _Toc6429 </w:instrText>
          </w:r>
          <w:r>
            <w:rPr>
              <w:rFonts w:hint="eastAsia" w:ascii="仿宋" w:hAnsi="仿宋" w:eastAsia="仿宋" w:cs="仿宋"/>
              <w:sz w:val="28"/>
              <w:szCs w:val="28"/>
              <w:lang w:val="en-US" w:eastAsia="zh-CN"/>
            </w:rPr>
            <w:fldChar w:fldCharType="separate"/>
          </w:r>
          <w:r>
            <w:rPr>
              <w:rFonts w:hint="eastAsia" w:ascii="仿宋" w:hAnsi="仿宋" w:eastAsia="仿宋" w:cs="仿宋"/>
              <w:bCs/>
              <w:sz w:val="28"/>
              <w:szCs w:val="28"/>
              <w:lang w:val="en-US" w:eastAsia="zh-CN"/>
            </w:rPr>
            <w:t>国有资本经营预算财政拨款支出决算表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_Toc6429 \h </w:instrText>
          </w:r>
          <w:r>
            <w:rPr>
              <w:rFonts w:hint="eastAsia" w:ascii="仿宋" w:hAnsi="仿宋" w:eastAsia="仿宋" w:cs="仿宋"/>
              <w:sz w:val="28"/>
              <w:szCs w:val="28"/>
            </w:rPr>
            <w:fldChar w:fldCharType="separate"/>
          </w:r>
          <w:r>
            <w:rPr>
              <w:rFonts w:hint="eastAsia" w:ascii="仿宋" w:hAnsi="仿宋" w:eastAsia="仿宋" w:cs="仿宋"/>
              <w:sz w:val="28"/>
              <w:szCs w:val="28"/>
            </w:rPr>
            <w:t>13</w:t>
          </w:r>
          <w:r>
            <w:rPr>
              <w:rFonts w:hint="eastAsia" w:ascii="仿宋" w:hAnsi="仿宋" w:eastAsia="仿宋" w:cs="仿宋"/>
              <w:sz w:val="28"/>
              <w:szCs w:val="28"/>
            </w:rPr>
            <w:fldChar w:fldCharType="end"/>
          </w:r>
          <w:r>
            <w:rPr>
              <w:rFonts w:hint="eastAsia" w:ascii="仿宋" w:hAnsi="仿宋" w:eastAsia="仿宋" w:cs="仿宋"/>
              <w:color w:val="000000"/>
              <w:sz w:val="28"/>
              <w:szCs w:val="28"/>
              <w:lang w:val="en-US" w:eastAsia="zh-CN"/>
            </w:rPr>
            <w:fldChar w:fldCharType="end"/>
          </w:r>
        </w:p>
        <w:p>
          <w:pPr>
            <w:pStyle w:val="11"/>
            <w:keepNext w:val="0"/>
            <w:keepLines w:val="0"/>
            <w:pageBreakBefore w:val="0"/>
            <w:tabs>
              <w:tab w:val="right" w:leader="dot" w:pos="9752"/>
            </w:tabs>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r>
            <w:rPr>
              <w:rFonts w:hint="eastAsia" w:ascii="仿宋" w:hAnsi="仿宋" w:eastAsia="仿宋" w:cs="仿宋"/>
              <w:color w:val="000000"/>
              <w:sz w:val="28"/>
              <w:szCs w:val="28"/>
              <w:lang w:val="en-US" w:eastAsia="zh-CN"/>
            </w:rPr>
            <w:t>十、</w:t>
          </w:r>
          <w:r>
            <w:rPr>
              <w:rFonts w:hint="eastAsia" w:ascii="仿宋" w:hAnsi="仿宋" w:eastAsia="仿宋" w:cs="仿宋"/>
              <w:color w:val="000000"/>
              <w:sz w:val="28"/>
              <w:szCs w:val="28"/>
              <w:lang w:val="en-US" w:eastAsia="zh-CN"/>
            </w:rPr>
            <w:fldChar w:fldCharType="begin"/>
          </w:r>
          <w:r>
            <w:rPr>
              <w:rFonts w:hint="eastAsia" w:ascii="仿宋" w:hAnsi="仿宋" w:eastAsia="仿宋" w:cs="仿宋"/>
              <w:sz w:val="28"/>
              <w:szCs w:val="28"/>
              <w:lang w:val="en-US" w:eastAsia="zh-CN"/>
            </w:rPr>
            <w:instrText xml:space="preserve"> HYPERLINK \l _Toc10296 </w:instrText>
          </w:r>
          <w:r>
            <w:rPr>
              <w:rFonts w:hint="eastAsia" w:ascii="仿宋" w:hAnsi="仿宋" w:eastAsia="仿宋" w:cs="仿宋"/>
              <w:sz w:val="28"/>
              <w:szCs w:val="28"/>
              <w:lang w:val="en-US" w:eastAsia="zh-CN"/>
            </w:rPr>
            <w:fldChar w:fldCharType="separate"/>
          </w:r>
          <w:r>
            <w:rPr>
              <w:rFonts w:hint="eastAsia" w:ascii="仿宋" w:hAnsi="仿宋" w:eastAsia="仿宋" w:cs="仿宋"/>
              <w:bCs/>
              <w:sz w:val="28"/>
              <w:szCs w:val="28"/>
              <w:lang w:val="en-US" w:eastAsia="zh-CN"/>
            </w:rPr>
            <w:t>部门决算公开相关信息统计表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_Toc10296 \h </w:instrText>
          </w:r>
          <w:r>
            <w:rPr>
              <w:rFonts w:hint="eastAsia" w:ascii="仿宋" w:hAnsi="仿宋" w:eastAsia="仿宋" w:cs="仿宋"/>
              <w:sz w:val="28"/>
              <w:szCs w:val="28"/>
            </w:rPr>
            <w:fldChar w:fldCharType="separate"/>
          </w:r>
          <w:r>
            <w:rPr>
              <w:rFonts w:hint="eastAsia" w:ascii="仿宋" w:hAnsi="仿宋" w:eastAsia="仿宋" w:cs="仿宋"/>
              <w:sz w:val="28"/>
              <w:szCs w:val="28"/>
            </w:rPr>
            <w:t>14</w:t>
          </w:r>
          <w:r>
            <w:rPr>
              <w:rFonts w:hint="eastAsia" w:ascii="仿宋" w:hAnsi="仿宋" w:eastAsia="仿宋" w:cs="仿宋"/>
              <w:sz w:val="28"/>
              <w:szCs w:val="28"/>
            </w:rPr>
            <w:fldChar w:fldCharType="end"/>
          </w:r>
          <w:r>
            <w:rPr>
              <w:rFonts w:hint="eastAsia" w:ascii="仿宋" w:hAnsi="仿宋" w:eastAsia="仿宋" w:cs="仿宋"/>
              <w:color w:val="000000"/>
              <w:sz w:val="28"/>
              <w:szCs w:val="28"/>
              <w:lang w:val="en-US" w:eastAsia="zh-CN"/>
            </w:rPr>
            <w:fldChar w:fldCharType="end"/>
          </w:r>
        </w:p>
        <w:p>
          <w:pPr>
            <w:pStyle w:val="10"/>
            <w:keepNext w:val="0"/>
            <w:keepLines w:val="0"/>
            <w:pageBreakBefore w:val="0"/>
            <w:tabs>
              <w:tab w:val="right" w:leader="dot" w:pos="9752"/>
            </w:tabs>
            <w:kinsoku/>
            <w:wordWrap/>
            <w:overflowPunct/>
            <w:topLinePunct w:val="0"/>
            <w:autoSpaceDE/>
            <w:autoSpaceDN/>
            <w:bidi w:val="0"/>
            <w:adjustRightInd/>
            <w:snapToGrid/>
            <w:spacing w:line="480" w:lineRule="exact"/>
            <w:textAlignment w:val="auto"/>
            <w:rPr>
              <w:rFonts w:hint="eastAsia" w:ascii="宋体" w:hAnsi="宋体" w:eastAsia="宋体" w:cs="宋体"/>
              <w:b/>
              <w:sz w:val="28"/>
              <w:szCs w:val="28"/>
            </w:rPr>
          </w:pPr>
          <w:r>
            <w:rPr>
              <w:rFonts w:hint="eastAsia" w:ascii="宋体" w:hAnsi="宋体" w:eastAsia="宋体" w:cs="宋体"/>
              <w:b/>
              <w:color w:val="000000"/>
              <w:sz w:val="28"/>
              <w:szCs w:val="28"/>
              <w:lang w:val="en-US" w:eastAsia="zh-CN"/>
            </w:rPr>
            <w:fldChar w:fldCharType="begin"/>
          </w:r>
          <w:r>
            <w:rPr>
              <w:rFonts w:hint="eastAsia" w:ascii="宋体" w:hAnsi="宋体" w:eastAsia="宋体" w:cs="宋体"/>
              <w:b/>
              <w:sz w:val="28"/>
              <w:szCs w:val="28"/>
              <w:lang w:val="en-US" w:eastAsia="zh-CN"/>
            </w:rPr>
            <w:instrText xml:space="preserve"> HYPERLINK \l _Toc12242 </w:instrText>
          </w:r>
          <w:r>
            <w:rPr>
              <w:rFonts w:hint="eastAsia" w:ascii="宋体" w:hAnsi="宋体" w:eastAsia="宋体" w:cs="宋体"/>
              <w:b/>
              <w:sz w:val="28"/>
              <w:szCs w:val="28"/>
              <w:lang w:val="en-US" w:eastAsia="zh-CN"/>
            </w:rPr>
            <w:fldChar w:fldCharType="separate"/>
          </w:r>
          <w:r>
            <w:rPr>
              <w:rFonts w:hint="eastAsia" w:ascii="黑体" w:hAnsi="黑体" w:eastAsia="黑体" w:cs="黑体"/>
              <w:b w:val="0"/>
              <w:bCs/>
              <w:sz w:val="28"/>
              <w:szCs w:val="28"/>
              <w:lang w:val="en-US" w:eastAsia="zh-CN"/>
            </w:rPr>
            <w:t>第三部分   2021年部门决算情况说明</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_Toc12242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15</w:t>
          </w:r>
          <w:r>
            <w:rPr>
              <w:rFonts w:hint="eastAsia" w:ascii="宋体" w:hAnsi="宋体" w:eastAsia="宋体" w:cs="宋体"/>
              <w:b/>
              <w:sz w:val="28"/>
              <w:szCs w:val="28"/>
            </w:rPr>
            <w:fldChar w:fldCharType="end"/>
          </w:r>
          <w:r>
            <w:rPr>
              <w:rFonts w:hint="eastAsia" w:ascii="宋体" w:hAnsi="宋体" w:eastAsia="宋体" w:cs="宋体"/>
              <w:b/>
              <w:color w:val="000000"/>
              <w:sz w:val="28"/>
              <w:szCs w:val="28"/>
              <w:lang w:val="en-US" w:eastAsia="zh-CN"/>
            </w:rPr>
            <w:fldChar w:fldCharType="end"/>
          </w:r>
        </w:p>
        <w:p>
          <w:pPr>
            <w:pStyle w:val="11"/>
            <w:keepNext w:val="0"/>
            <w:keepLines w:val="0"/>
            <w:pageBreakBefore w:val="0"/>
            <w:widowControl/>
            <w:tabs>
              <w:tab w:val="right" w:leader="dot" w:pos="9752"/>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bookmarkStart w:id="26" w:name="_GoBack"/>
          <w:r>
            <w:rPr>
              <w:rFonts w:hint="eastAsia" w:ascii="仿宋" w:hAnsi="仿宋" w:eastAsia="仿宋" w:cs="仿宋"/>
              <w:color w:val="000000"/>
              <w:sz w:val="28"/>
              <w:szCs w:val="28"/>
              <w:lang w:val="en-US" w:eastAsia="zh-CN"/>
            </w:rPr>
            <w:fldChar w:fldCharType="begin"/>
          </w:r>
          <w:r>
            <w:rPr>
              <w:rFonts w:hint="eastAsia" w:ascii="仿宋" w:hAnsi="仿宋" w:eastAsia="仿宋" w:cs="仿宋"/>
              <w:sz w:val="28"/>
              <w:szCs w:val="28"/>
              <w:lang w:val="en-US" w:eastAsia="zh-CN"/>
            </w:rPr>
            <w:instrText xml:space="preserve"> HYPERLINK \l _Toc21493 </w:instrText>
          </w:r>
          <w:r>
            <w:rPr>
              <w:rFonts w:hint="eastAsia" w:ascii="仿宋" w:hAnsi="仿宋" w:eastAsia="仿宋" w:cs="仿宋"/>
              <w:sz w:val="28"/>
              <w:szCs w:val="28"/>
              <w:lang w:val="en-US" w:eastAsia="zh-CN"/>
            </w:rPr>
            <w:fldChar w:fldCharType="separate"/>
          </w:r>
          <w:r>
            <w:rPr>
              <w:rFonts w:hint="eastAsia" w:ascii="仿宋" w:hAnsi="仿宋" w:eastAsia="仿宋" w:cs="仿宋"/>
              <w:bCs/>
              <w:sz w:val="28"/>
              <w:szCs w:val="28"/>
              <w:lang w:val="en-US" w:eastAsia="zh-CN"/>
            </w:rPr>
            <w:t>一、</w:t>
          </w:r>
          <w:r>
            <w:rPr>
              <w:rFonts w:hint="eastAsia" w:ascii="仿宋" w:hAnsi="仿宋" w:eastAsia="仿宋" w:cs="仿宋"/>
              <w:bCs/>
              <w:sz w:val="28"/>
              <w:szCs w:val="28"/>
            </w:rPr>
            <w:t>收</w:t>
          </w:r>
          <w:r>
            <w:rPr>
              <w:rFonts w:hint="eastAsia" w:ascii="仿宋" w:hAnsi="仿宋" w:eastAsia="仿宋" w:cs="仿宋"/>
              <w:bCs/>
              <w:sz w:val="28"/>
              <w:szCs w:val="28"/>
              <w:lang w:val="en-US" w:eastAsia="zh-CN"/>
            </w:rPr>
            <w:t>入支出</w:t>
          </w:r>
          <w:r>
            <w:rPr>
              <w:rFonts w:hint="eastAsia" w:ascii="仿宋" w:hAnsi="仿宋" w:eastAsia="仿宋" w:cs="仿宋"/>
              <w:bCs/>
              <w:sz w:val="28"/>
              <w:szCs w:val="28"/>
            </w:rPr>
            <w:t>决算</w:t>
          </w:r>
          <w:r>
            <w:rPr>
              <w:rFonts w:hint="eastAsia" w:ascii="仿宋" w:hAnsi="仿宋" w:eastAsia="仿宋" w:cs="仿宋"/>
              <w:bCs/>
              <w:sz w:val="28"/>
              <w:szCs w:val="28"/>
              <w:lang w:val="en-US" w:eastAsia="zh-CN"/>
            </w:rPr>
            <w:t>总体情况说明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_Toc21493 \h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color w:val="000000"/>
              <w:sz w:val="28"/>
              <w:szCs w:val="28"/>
              <w:lang w:val="en-US" w:eastAsia="zh-CN"/>
            </w:rPr>
            <w:fldChar w:fldCharType="end"/>
          </w:r>
        </w:p>
        <w:p>
          <w:pPr>
            <w:pStyle w:val="11"/>
            <w:keepNext w:val="0"/>
            <w:keepLines w:val="0"/>
            <w:pageBreakBefore w:val="0"/>
            <w:tabs>
              <w:tab w:val="right" w:leader="dot" w:pos="9752"/>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lang w:val="en-US" w:eastAsia="zh-CN"/>
            </w:rPr>
            <w:fldChar w:fldCharType="begin"/>
          </w:r>
          <w:r>
            <w:rPr>
              <w:rFonts w:hint="eastAsia" w:ascii="仿宋" w:hAnsi="仿宋" w:eastAsia="仿宋" w:cs="仿宋"/>
              <w:sz w:val="28"/>
              <w:szCs w:val="28"/>
              <w:lang w:val="en-US" w:eastAsia="zh-CN"/>
            </w:rPr>
            <w:instrText xml:space="preserve"> HYPERLINK \l _Toc27052 </w:instrText>
          </w:r>
          <w:r>
            <w:rPr>
              <w:rFonts w:hint="eastAsia" w:ascii="仿宋" w:hAnsi="仿宋" w:eastAsia="仿宋" w:cs="仿宋"/>
              <w:sz w:val="28"/>
              <w:szCs w:val="28"/>
              <w:lang w:val="en-US" w:eastAsia="zh-CN"/>
            </w:rPr>
            <w:fldChar w:fldCharType="separate"/>
          </w:r>
          <w:r>
            <w:rPr>
              <w:rFonts w:hint="eastAsia" w:ascii="仿宋" w:hAnsi="仿宋" w:eastAsia="仿宋" w:cs="仿宋"/>
              <w:bCs/>
              <w:sz w:val="28"/>
              <w:szCs w:val="28"/>
              <w:lang w:val="en-US" w:eastAsia="zh-CN"/>
            </w:rPr>
            <w:t>二、收入决算情况说明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_Toc27052 \h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color w:val="000000"/>
              <w:sz w:val="28"/>
              <w:szCs w:val="28"/>
              <w:lang w:val="en-US" w:eastAsia="zh-CN"/>
            </w:rPr>
            <w:fldChar w:fldCharType="end"/>
          </w:r>
        </w:p>
        <w:p>
          <w:pPr>
            <w:pStyle w:val="11"/>
            <w:keepNext w:val="0"/>
            <w:keepLines w:val="0"/>
            <w:pageBreakBefore w:val="0"/>
            <w:tabs>
              <w:tab w:val="right" w:leader="dot" w:pos="9752"/>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lang w:val="en-US" w:eastAsia="zh-CN"/>
            </w:rPr>
            <w:fldChar w:fldCharType="begin"/>
          </w:r>
          <w:r>
            <w:rPr>
              <w:rFonts w:hint="eastAsia" w:ascii="仿宋" w:hAnsi="仿宋" w:eastAsia="仿宋" w:cs="仿宋"/>
              <w:sz w:val="28"/>
              <w:szCs w:val="28"/>
              <w:lang w:val="en-US" w:eastAsia="zh-CN"/>
            </w:rPr>
            <w:instrText xml:space="preserve"> HYPERLINK \l _Toc18775 </w:instrText>
          </w:r>
          <w:r>
            <w:rPr>
              <w:rFonts w:hint="eastAsia" w:ascii="仿宋" w:hAnsi="仿宋" w:eastAsia="仿宋" w:cs="仿宋"/>
              <w:sz w:val="28"/>
              <w:szCs w:val="28"/>
              <w:lang w:val="en-US" w:eastAsia="zh-CN"/>
            </w:rPr>
            <w:fldChar w:fldCharType="separate"/>
          </w:r>
          <w:r>
            <w:rPr>
              <w:rFonts w:hint="eastAsia" w:ascii="仿宋" w:hAnsi="仿宋" w:eastAsia="仿宋" w:cs="仿宋"/>
              <w:bCs/>
              <w:sz w:val="28"/>
              <w:szCs w:val="28"/>
              <w:lang w:val="en-US" w:eastAsia="zh-CN"/>
            </w:rPr>
            <w:t>三、支出决算情况说明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_Toc18775 \h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color w:val="000000"/>
              <w:sz w:val="28"/>
              <w:szCs w:val="28"/>
              <w:lang w:val="en-US" w:eastAsia="zh-CN"/>
            </w:rPr>
            <w:fldChar w:fldCharType="end"/>
          </w:r>
        </w:p>
        <w:p>
          <w:pPr>
            <w:pStyle w:val="11"/>
            <w:keepNext w:val="0"/>
            <w:keepLines w:val="0"/>
            <w:pageBreakBefore w:val="0"/>
            <w:tabs>
              <w:tab w:val="right" w:leader="dot" w:pos="9752"/>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lang w:val="en-US" w:eastAsia="zh-CN"/>
            </w:rPr>
            <w:fldChar w:fldCharType="begin"/>
          </w:r>
          <w:r>
            <w:rPr>
              <w:rFonts w:hint="eastAsia" w:ascii="仿宋" w:hAnsi="仿宋" w:eastAsia="仿宋" w:cs="仿宋"/>
              <w:sz w:val="28"/>
              <w:szCs w:val="28"/>
              <w:lang w:val="en-US" w:eastAsia="zh-CN"/>
            </w:rPr>
            <w:instrText xml:space="preserve"> HYPERLINK \l _Toc4693 </w:instrText>
          </w:r>
          <w:r>
            <w:rPr>
              <w:rFonts w:hint="eastAsia" w:ascii="仿宋" w:hAnsi="仿宋" w:eastAsia="仿宋" w:cs="仿宋"/>
              <w:sz w:val="28"/>
              <w:szCs w:val="28"/>
              <w:lang w:val="en-US" w:eastAsia="zh-CN"/>
            </w:rPr>
            <w:fldChar w:fldCharType="separate"/>
          </w:r>
          <w:r>
            <w:rPr>
              <w:rFonts w:hint="eastAsia" w:ascii="仿宋" w:hAnsi="仿宋" w:eastAsia="仿宋" w:cs="仿宋"/>
              <w:bCs/>
              <w:sz w:val="28"/>
              <w:szCs w:val="28"/>
              <w:lang w:val="en-US" w:eastAsia="zh-CN"/>
            </w:rPr>
            <w:t>四、财政拨款收入支出决算总体情况说明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_Toc4693 \h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color w:val="000000"/>
              <w:sz w:val="28"/>
              <w:szCs w:val="28"/>
              <w:lang w:val="en-US" w:eastAsia="zh-CN"/>
            </w:rPr>
            <w:fldChar w:fldCharType="end"/>
          </w:r>
        </w:p>
        <w:p>
          <w:pPr>
            <w:pStyle w:val="11"/>
            <w:keepNext w:val="0"/>
            <w:keepLines w:val="0"/>
            <w:pageBreakBefore w:val="0"/>
            <w:tabs>
              <w:tab w:val="right" w:leader="dot" w:pos="9752"/>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lang w:val="en-US" w:eastAsia="zh-CN"/>
            </w:rPr>
            <w:fldChar w:fldCharType="begin"/>
          </w:r>
          <w:r>
            <w:rPr>
              <w:rFonts w:hint="eastAsia" w:ascii="仿宋" w:hAnsi="仿宋" w:eastAsia="仿宋" w:cs="仿宋"/>
              <w:sz w:val="28"/>
              <w:szCs w:val="28"/>
              <w:lang w:val="en-US" w:eastAsia="zh-CN"/>
            </w:rPr>
            <w:instrText xml:space="preserve"> HYPERLINK \l _Toc24585 </w:instrText>
          </w:r>
          <w:r>
            <w:rPr>
              <w:rFonts w:hint="eastAsia" w:ascii="仿宋" w:hAnsi="仿宋" w:eastAsia="仿宋" w:cs="仿宋"/>
              <w:sz w:val="28"/>
              <w:szCs w:val="28"/>
              <w:lang w:val="en-US" w:eastAsia="zh-CN"/>
            </w:rPr>
            <w:fldChar w:fldCharType="separate"/>
          </w:r>
          <w:r>
            <w:rPr>
              <w:rFonts w:hint="eastAsia" w:ascii="仿宋" w:hAnsi="仿宋" w:eastAsia="仿宋" w:cs="仿宋"/>
              <w:bCs/>
              <w:sz w:val="28"/>
              <w:szCs w:val="28"/>
              <w:lang w:val="en-US" w:eastAsia="zh-CN"/>
            </w:rPr>
            <w:t>五、一般公共预算财政拨款支出决算情况说明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_Toc24585 \h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color w:val="000000"/>
              <w:sz w:val="28"/>
              <w:szCs w:val="28"/>
              <w:lang w:val="en-US" w:eastAsia="zh-CN"/>
            </w:rPr>
            <w:fldChar w:fldCharType="end"/>
          </w:r>
        </w:p>
        <w:p>
          <w:pPr>
            <w:pStyle w:val="11"/>
            <w:keepNext w:val="0"/>
            <w:keepLines w:val="0"/>
            <w:pageBreakBefore w:val="0"/>
            <w:tabs>
              <w:tab w:val="right" w:leader="dot" w:pos="9752"/>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lang w:val="en-US" w:eastAsia="zh-CN"/>
            </w:rPr>
            <w:fldChar w:fldCharType="begin"/>
          </w:r>
          <w:r>
            <w:rPr>
              <w:rFonts w:hint="eastAsia" w:ascii="仿宋" w:hAnsi="仿宋" w:eastAsia="仿宋" w:cs="仿宋"/>
              <w:sz w:val="28"/>
              <w:szCs w:val="28"/>
              <w:lang w:val="en-US" w:eastAsia="zh-CN"/>
            </w:rPr>
            <w:instrText xml:space="preserve"> HYPERLINK \l _Toc6867 </w:instrText>
          </w:r>
          <w:r>
            <w:rPr>
              <w:rFonts w:hint="eastAsia" w:ascii="仿宋" w:hAnsi="仿宋" w:eastAsia="仿宋" w:cs="仿宋"/>
              <w:sz w:val="28"/>
              <w:szCs w:val="28"/>
              <w:lang w:val="en-US" w:eastAsia="zh-CN"/>
            </w:rPr>
            <w:fldChar w:fldCharType="separate"/>
          </w:r>
          <w:r>
            <w:rPr>
              <w:rFonts w:hint="eastAsia" w:ascii="仿宋" w:hAnsi="仿宋" w:eastAsia="仿宋" w:cs="仿宋"/>
              <w:bCs/>
              <w:sz w:val="28"/>
              <w:szCs w:val="28"/>
              <w:lang w:val="en-US" w:eastAsia="zh-CN"/>
            </w:rPr>
            <w:t>六、一般公共预算财政拨款基本支出决算情况说明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_Toc6867 \h </w:instrText>
          </w:r>
          <w:r>
            <w:rPr>
              <w:rFonts w:hint="eastAsia" w:ascii="仿宋" w:hAnsi="仿宋" w:eastAsia="仿宋" w:cs="仿宋"/>
              <w:sz w:val="28"/>
              <w:szCs w:val="28"/>
            </w:rPr>
            <w:fldChar w:fldCharType="separate"/>
          </w:r>
          <w:r>
            <w:rPr>
              <w:rFonts w:hint="eastAsia" w:ascii="仿宋" w:hAnsi="仿宋" w:eastAsia="仿宋" w:cs="仿宋"/>
              <w:sz w:val="28"/>
              <w:szCs w:val="28"/>
            </w:rPr>
            <w:t>16</w:t>
          </w:r>
          <w:r>
            <w:rPr>
              <w:rFonts w:hint="eastAsia" w:ascii="仿宋" w:hAnsi="仿宋" w:eastAsia="仿宋" w:cs="仿宋"/>
              <w:sz w:val="28"/>
              <w:szCs w:val="28"/>
            </w:rPr>
            <w:fldChar w:fldCharType="end"/>
          </w:r>
          <w:r>
            <w:rPr>
              <w:rFonts w:hint="eastAsia" w:ascii="仿宋" w:hAnsi="仿宋" w:eastAsia="仿宋" w:cs="仿宋"/>
              <w:color w:val="000000"/>
              <w:sz w:val="28"/>
              <w:szCs w:val="28"/>
              <w:lang w:val="en-US" w:eastAsia="zh-CN"/>
            </w:rPr>
            <w:fldChar w:fldCharType="end"/>
          </w:r>
        </w:p>
        <w:p>
          <w:pPr>
            <w:pStyle w:val="11"/>
            <w:keepNext w:val="0"/>
            <w:keepLines w:val="0"/>
            <w:pageBreakBefore w:val="0"/>
            <w:tabs>
              <w:tab w:val="right" w:leader="dot" w:pos="9752"/>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lang w:val="en-US" w:eastAsia="zh-CN"/>
            </w:rPr>
            <w:fldChar w:fldCharType="begin"/>
          </w:r>
          <w:r>
            <w:rPr>
              <w:rFonts w:hint="eastAsia" w:ascii="仿宋" w:hAnsi="仿宋" w:eastAsia="仿宋" w:cs="仿宋"/>
              <w:sz w:val="28"/>
              <w:szCs w:val="28"/>
              <w:lang w:val="en-US" w:eastAsia="zh-CN"/>
            </w:rPr>
            <w:instrText xml:space="preserve"> HYPERLINK \l _Toc25849 </w:instrText>
          </w:r>
          <w:r>
            <w:rPr>
              <w:rFonts w:hint="eastAsia" w:ascii="仿宋" w:hAnsi="仿宋" w:eastAsia="仿宋" w:cs="仿宋"/>
              <w:sz w:val="28"/>
              <w:szCs w:val="28"/>
              <w:lang w:val="en-US" w:eastAsia="zh-CN"/>
            </w:rPr>
            <w:fldChar w:fldCharType="separate"/>
          </w:r>
          <w:r>
            <w:rPr>
              <w:rFonts w:hint="eastAsia" w:ascii="仿宋" w:hAnsi="仿宋" w:eastAsia="仿宋" w:cs="仿宋"/>
              <w:bCs/>
              <w:sz w:val="28"/>
              <w:szCs w:val="28"/>
              <w:lang w:val="en-US" w:eastAsia="zh-CN"/>
            </w:rPr>
            <w:t>七、一般公共预算财政拨款“三公”经费支出决算情况说明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_Toc25849 \h </w:instrText>
          </w:r>
          <w:r>
            <w:rPr>
              <w:rFonts w:hint="eastAsia" w:ascii="仿宋" w:hAnsi="仿宋" w:eastAsia="仿宋" w:cs="仿宋"/>
              <w:sz w:val="28"/>
              <w:szCs w:val="28"/>
            </w:rPr>
            <w:fldChar w:fldCharType="separate"/>
          </w:r>
          <w:r>
            <w:rPr>
              <w:rFonts w:hint="eastAsia" w:ascii="仿宋" w:hAnsi="仿宋" w:eastAsia="仿宋" w:cs="仿宋"/>
              <w:sz w:val="28"/>
              <w:szCs w:val="28"/>
            </w:rPr>
            <w:t>16</w:t>
          </w:r>
          <w:r>
            <w:rPr>
              <w:rFonts w:hint="eastAsia" w:ascii="仿宋" w:hAnsi="仿宋" w:eastAsia="仿宋" w:cs="仿宋"/>
              <w:sz w:val="28"/>
              <w:szCs w:val="28"/>
            </w:rPr>
            <w:fldChar w:fldCharType="end"/>
          </w:r>
          <w:r>
            <w:rPr>
              <w:rFonts w:hint="eastAsia" w:ascii="仿宋" w:hAnsi="仿宋" w:eastAsia="仿宋" w:cs="仿宋"/>
              <w:color w:val="000000"/>
              <w:sz w:val="28"/>
              <w:szCs w:val="28"/>
              <w:lang w:val="en-US" w:eastAsia="zh-CN"/>
            </w:rPr>
            <w:fldChar w:fldCharType="end"/>
          </w:r>
        </w:p>
        <w:p>
          <w:pPr>
            <w:pStyle w:val="11"/>
            <w:keepNext w:val="0"/>
            <w:keepLines w:val="0"/>
            <w:pageBreakBefore w:val="0"/>
            <w:tabs>
              <w:tab w:val="right" w:leader="dot" w:pos="9752"/>
            </w:tabs>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r>
            <w:rPr>
              <w:rFonts w:hint="eastAsia" w:ascii="仿宋" w:hAnsi="仿宋" w:eastAsia="仿宋" w:cs="仿宋"/>
              <w:color w:val="000000"/>
              <w:sz w:val="28"/>
              <w:szCs w:val="28"/>
              <w:lang w:val="en-US" w:eastAsia="zh-CN"/>
            </w:rPr>
            <w:fldChar w:fldCharType="begin"/>
          </w:r>
          <w:r>
            <w:rPr>
              <w:rFonts w:hint="eastAsia" w:ascii="仿宋" w:hAnsi="仿宋" w:eastAsia="仿宋" w:cs="仿宋"/>
              <w:sz w:val="28"/>
              <w:szCs w:val="28"/>
              <w:lang w:val="en-US" w:eastAsia="zh-CN"/>
            </w:rPr>
            <w:instrText xml:space="preserve"> HYPERLINK \l _Toc9321 </w:instrText>
          </w:r>
          <w:r>
            <w:rPr>
              <w:rFonts w:hint="eastAsia" w:ascii="仿宋" w:hAnsi="仿宋" w:eastAsia="仿宋" w:cs="仿宋"/>
              <w:sz w:val="28"/>
              <w:szCs w:val="28"/>
              <w:lang w:val="en-US" w:eastAsia="zh-CN"/>
            </w:rPr>
            <w:fldChar w:fldCharType="separate"/>
          </w:r>
          <w:r>
            <w:rPr>
              <w:rFonts w:hint="eastAsia" w:ascii="仿宋" w:hAnsi="仿宋" w:eastAsia="仿宋" w:cs="仿宋"/>
              <w:bCs/>
              <w:sz w:val="28"/>
              <w:szCs w:val="28"/>
              <w:lang w:val="en-US" w:eastAsia="zh-CN"/>
            </w:rPr>
            <w:t>八、其他重要事项情况说明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_Toc9321 \h </w:instrText>
          </w:r>
          <w:r>
            <w:rPr>
              <w:rFonts w:hint="eastAsia" w:ascii="仿宋" w:hAnsi="仿宋" w:eastAsia="仿宋" w:cs="仿宋"/>
              <w:sz w:val="28"/>
              <w:szCs w:val="28"/>
            </w:rPr>
            <w:fldChar w:fldCharType="separate"/>
          </w:r>
          <w:r>
            <w:rPr>
              <w:rFonts w:hint="eastAsia" w:ascii="仿宋" w:hAnsi="仿宋" w:eastAsia="仿宋" w:cs="仿宋"/>
              <w:sz w:val="28"/>
              <w:szCs w:val="28"/>
            </w:rPr>
            <w:t>16</w:t>
          </w:r>
          <w:r>
            <w:rPr>
              <w:rFonts w:hint="eastAsia" w:ascii="仿宋" w:hAnsi="仿宋" w:eastAsia="仿宋" w:cs="仿宋"/>
              <w:sz w:val="28"/>
              <w:szCs w:val="28"/>
            </w:rPr>
            <w:fldChar w:fldCharType="end"/>
          </w:r>
          <w:r>
            <w:rPr>
              <w:rFonts w:hint="eastAsia" w:ascii="仿宋" w:hAnsi="仿宋" w:eastAsia="仿宋" w:cs="仿宋"/>
              <w:color w:val="000000"/>
              <w:sz w:val="28"/>
              <w:szCs w:val="28"/>
              <w:lang w:val="en-US" w:eastAsia="zh-CN"/>
            </w:rPr>
            <w:fldChar w:fldCharType="end"/>
          </w:r>
          <w:bookmarkEnd w:id="26"/>
        </w:p>
        <w:p>
          <w:pPr>
            <w:pStyle w:val="10"/>
            <w:keepNext w:val="0"/>
            <w:keepLines w:val="0"/>
            <w:pageBreakBefore w:val="0"/>
            <w:tabs>
              <w:tab w:val="right" w:leader="dot" w:pos="9752"/>
            </w:tabs>
            <w:kinsoku/>
            <w:wordWrap/>
            <w:overflowPunct/>
            <w:topLinePunct w:val="0"/>
            <w:autoSpaceDE/>
            <w:autoSpaceDN/>
            <w:bidi w:val="0"/>
            <w:adjustRightInd/>
            <w:snapToGrid/>
            <w:spacing w:line="480" w:lineRule="exact"/>
            <w:textAlignment w:val="auto"/>
            <w:rPr>
              <w:rFonts w:hint="eastAsia" w:ascii="宋体" w:hAnsi="宋体" w:eastAsia="宋体" w:cs="宋体"/>
              <w:b/>
              <w:sz w:val="28"/>
              <w:szCs w:val="28"/>
            </w:rPr>
          </w:pPr>
          <w:r>
            <w:rPr>
              <w:rFonts w:hint="eastAsia" w:ascii="宋体" w:hAnsi="宋体" w:eastAsia="宋体" w:cs="宋体"/>
              <w:b/>
              <w:color w:val="000000"/>
              <w:sz w:val="28"/>
              <w:szCs w:val="28"/>
              <w:lang w:val="en-US" w:eastAsia="zh-CN"/>
            </w:rPr>
            <w:fldChar w:fldCharType="begin"/>
          </w:r>
          <w:r>
            <w:rPr>
              <w:rFonts w:hint="eastAsia" w:ascii="宋体" w:hAnsi="宋体" w:eastAsia="宋体" w:cs="宋体"/>
              <w:b/>
              <w:sz w:val="28"/>
              <w:szCs w:val="28"/>
              <w:lang w:val="en-US" w:eastAsia="zh-CN"/>
            </w:rPr>
            <w:instrText xml:space="preserve"> HYPERLINK \l _Toc9249 </w:instrText>
          </w:r>
          <w:r>
            <w:rPr>
              <w:rFonts w:hint="eastAsia" w:ascii="宋体" w:hAnsi="宋体" w:eastAsia="宋体" w:cs="宋体"/>
              <w:b/>
              <w:sz w:val="28"/>
              <w:szCs w:val="28"/>
              <w:lang w:val="en-US" w:eastAsia="zh-CN"/>
            </w:rPr>
            <w:fldChar w:fldCharType="separate"/>
          </w:r>
          <w:r>
            <w:rPr>
              <w:rFonts w:hint="eastAsia" w:ascii="黑体" w:hAnsi="黑体" w:eastAsia="黑体" w:cs="黑体"/>
              <w:b w:val="0"/>
              <w:bCs/>
              <w:sz w:val="28"/>
              <w:szCs w:val="28"/>
              <w:lang w:val="en-US" w:eastAsia="zh-CN"/>
            </w:rPr>
            <w:t>第四部分  名词解释</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_Toc9249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21</w:t>
          </w:r>
          <w:r>
            <w:rPr>
              <w:rFonts w:hint="eastAsia" w:ascii="宋体" w:hAnsi="宋体" w:eastAsia="宋体" w:cs="宋体"/>
              <w:b/>
              <w:sz w:val="28"/>
              <w:szCs w:val="28"/>
            </w:rPr>
            <w:fldChar w:fldCharType="end"/>
          </w:r>
          <w:r>
            <w:rPr>
              <w:rFonts w:hint="eastAsia" w:ascii="宋体" w:hAnsi="宋体" w:eastAsia="宋体" w:cs="宋体"/>
              <w:b/>
              <w:color w:val="000000"/>
              <w:sz w:val="28"/>
              <w:szCs w:val="28"/>
              <w:lang w:val="en-US" w:eastAsia="zh-CN"/>
            </w:rPr>
            <w:fldChar w:fldCharType="end"/>
          </w:r>
        </w:p>
        <w:p>
          <w:pPr>
            <w:pStyle w:val="10"/>
            <w:keepNext w:val="0"/>
            <w:keepLines w:val="0"/>
            <w:pageBreakBefore w:val="0"/>
            <w:tabs>
              <w:tab w:val="right" w:leader="dot" w:pos="9752"/>
            </w:tabs>
            <w:kinsoku/>
            <w:wordWrap/>
            <w:overflowPunct/>
            <w:topLinePunct w:val="0"/>
            <w:autoSpaceDE/>
            <w:autoSpaceDN/>
            <w:bidi w:val="0"/>
            <w:adjustRightInd/>
            <w:snapToGrid/>
            <w:spacing w:line="480" w:lineRule="exact"/>
            <w:textAlignment w:val="auto"/>
            <w:rPr>
              <w:b/>
              <w:sz w:val="28"/>
              <w:szCs w:val="28"/>
            </w:rPr>
          </w:pPr>
          <w:r>
            <w:rPr>
              <w:rFonts w:hint="eastAsia" w:ascii="宋体" w:hAnsi="宋体" w:eastAsia="宋体" w:cs="宋体"/>
              <w:b/>
              <w:color w:val="000000"/>
              <w:sz w:val="28"/>
              <w:szCs w:val="28"/>
              <w:lang w:val="en-US" w:eastAsia="zh-CN"/>
            </w:rPr>
            <w:fldChar w:fldCharType="begin"/>
          </w:r>
          <w:r>
            <w:rPr>
              <w:rFonts w:hint="eastAsia" w:ascii="宋体" w:hAnsi="宋体" w:eastAsia="宋体" w:cs="宋体"/>
              <w:b/>
              <w:sz w:val="28"/>
              <w:szCs w:val="28"/>
              <w:lang w:val="en-US" w:eastAsia="zh-CN"/>
            </w:rPr>
            <w:instrText xml:space="preserve"> HYPERLINK \l _Toc15741 </w:instrText>
          </w:r>
          <w:r>
            <w:rPr>
              <w:rFonts w:hint="eastAsia" w:ascii="宋体" w:hAnsi="宋体" w:eastAsia="宋体" w:cs="宋体"/>
              <w:b/>
              <w:sz w:val="28"/>
              <w:szCs w:val="28"/>
              <w:lang w:val="en-US" w:eastAsia="zh-CN"/>
            </w:rPr>
            <w:fldChar w:fldCharType="separate"/>
          </w:r>
          <w:r>
            <w:rPr>
              <w:rFonts w:hint="eastAsia" w:ascii="黑体" w:hAnsi="黑体" w:eastAsia="黑体" w:cs="黑体"/>
              <w:b w:val="0"/>
              <w:bCs/>
              <w:sz w:val="28"/>
              <w:szCs w:val="28"/>
              <w:lang w:val="en-US" w:eastAsia="zh-CN"/>
            </w:rPr>
            <w:t>第五部分  附件</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_Toc15741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22</w:t>
          </w:r>
          <w:r>
            <w:rPr>
              <w:rFonts w:hint="eastAsia" w:ascii="宋体" w:hAnsi="宋体" w:eastAsia="宋体" w:cs="宋体"/>
              <w:b/>
              <w:sz w:val="28"/>
              <w:szCs w:val="28"/>
            </w:rPr>
            <w:fldChar w:fldCharType="end"/>
          </w:r>
          <w:r>
            <w:rPr>
              <w:rFonts w:hint="eastAsia" w:ascii="宋体" w:hAnsi="宋体" w:eastAsia="宋体" w:cs="宋体"/>
              <w:b/>
              <w:color w:val="000000"/>
              <w:sz w:val="28"/>
              <w:szCs w:val="28"/>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Times New Roman"/>
              <w:b/>
              <w:color w:val="000000"/>
              <w:kern w:val="2"/>
              <w:sz w:val="21"/>
              <w:szCs w:val="36"/>
              <w:lang w:val="en-US" w:eastAsia="zh-CN" w:bidi="ar-SA"/>
            </w:rPr>
          </w:pPr>
          <w:r>
            <w:rPr>
              <w:rFonts w:hint="eastAsia" w:ascii="宋体" w:hAnsi="宋体"/>
              <w:b/>
              <w:color w:val="000000"/>
              <w:sz w:val="28"/>
              <w:szCs w:val="28"/>
              <w:lang w:val="en-US" w:eastAsia="zh-CN"/>
            </w:rPr>
            <w:fldChar w:fldCharType="end"/>
          </w:r>
        </w:p>
      </w:sdtContent>
    </w:sdt>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tabs>
          <w:tab w:val="left" w:pos="2574"/>
        </w:tabs>
        <w:bidi w:val="0"/>
        <w:jc w:val="left"/>
        <w:rPr>
          <w:rFonts w:hint="eastAsia"/>
          <w:lang w:val="en-US" w:eastAsia="zh-CN"/>
        </w:rPr>
        <w:sectPr>
          <w:pgSz w:w="11906" w:h="16838"/>
          <w:pgMar w:top="1440" w:right="1077" w:bottom="1440" w:left="1077" w:header="851" w:footer="992" w:gutter="0"/>
          <w:cols w:space="425" w:num="1"/>
          <w:docGrid w:type="lines" w:linePitch="312" w:charSpace="0"/>
        </w:sectPr>
      </w:pPr>
      <w:r>
        <w:rPr>
          <w:rFonts w:hint="eastAsia"/>
          <w:lang w:val="en-US" w:eastAsia="zh-CN"/>
        </w:rPr>
        <w:tab/>
      </w:r>
    </w:p>
    <w:p>
      <w:pPr>
        <w:pStyle w:val="2"/>
        <w:bidi w:val="0"/>
        <w:jc w:val="center"/>
        <w:rPr>
          <w:rFonts w:hint="eastAsia" w:ascii="宋体" w:hAnsi="宋体"/>
          <w:b/>
          <w:bCs w:val="0"/>
          <w:color w:val="000000"/>
          <w:sz w:val="32"/>
          <w:szCs w:val="32"/>
          <w:lang w:val="en-US" w:eastAsia="zh-CN"/>
        </w:rPr>
      </w:pPr>
      <w:bookmarkStart w:id="0" w:name="_Toc24573"/>
      <w:r>
        <w:rPr>
          <w:rFonts w:hint="eastAsia"/>
          <w:sz w:val="36"/>
          <w:szCs w:val="36"/>
          <w:lang w:val="en-US" w:eastAsia="zh-CN"/>
        </w:rPr>
        <w:t>第一部分 概况</w:t>
      </w:r>
      <w:bookmarkEnd w:id="0"/>
    </w:p>
    <w:p>
      <w:pPr>
        <w:pStyle w:val="3"/>
        <w:numPr>
          <w:ilvl w:val="0"/>
          <w:numId w:val="1"/>
        </w:numPr>
        <w:bidi w:val="0"/>
        <w:rPr>
          <w:rFonts w:hint="eastAsia"/>
          <w:b w:val="0"/>
          <w:bCs/>
          <w:lang w:val="en-US" w:eastAsia="zh-CN"/>
        </w:rPr>
      </w:pPr>
      <w:bookmarkStart w:id="1" w:name="_Toc12136"/>
      <w:r>
        <w:rPr>
          <w:rFonts w:hint="eastAsia"/>
          <w:b w:val="0"/>
          <w:bCs/>
          <w:lang w:val="en-US" w:eastAsia="zh-CN"/>
        </w:rPr>
        <w:t>本部门（单位）职责</w:t>
      </w:r>
      <w:bookmarkEnd w:id="1"/>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大同市行政拘留所</w:t>
      </w:r>
      <w:r>
        <w:rPr>
          <w:rFonts w:hint="eastAsia" w:ascii="仿宋_GB2312" w:eastAsia="仿宋_GB2312"/>
          <w:sz w:val="32"/>
          <w:szCs w:val="32"/>
        </w:rPr>
        <w:t xml:space="preserve">主要承担以下工作职责： </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1、拘押全市公安机关、国家安全机关依法给予行政拘留处罚的人；</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2、被人民法院依法决定司法拘留的人；</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3、被公安机关依法给予现场行政强制措施性质拘留的人；</w:t>
      </w:r>
    </w:p>
    <w:p>
      <w:pPr>
        <w:ind w:firstLine="640" w:firstLineChars="200"/>
        <w:rPr>
          <w:rFonts w:hint="eastAsia"/>
          <w:sz w:val="32"/>
          <w:szCs w:val="32"/>
          <w:lang w:val="en-US" w:eastAsia="zh-CN"/>
        </w:rPr>
      </w:pPr>
      <w:r>
        <w:rPr>
          <w:rFonts w:hint="eastAsia" w:ascii="仿宋_GB2312" w:eastAsia="仿宋_GB2312"/>
          <w:sz w:val="32"/>
          <w:szCs w:val="32"/>
          <w:lang w:val="en-US" w:eastAsia="zh-CN"/>
        </w:rPr>
        <w:t>4、被公安机关依法决定拘留审查的外国人，以及被依法决定、判处驱逐出境或被依法决定遣送出境但不能立即执行的人。</w:t>
      </w:r>
    </w:p>
    <w:p/>
    <w:p>
      <w:pPr>
        <w:pStyle w:val="3"/>
        <w:bidi w:val="0"/>
        <w:rPr>
          <w:rFonts w:hint="eastAsia"/>
          <w:b w:val="0"/>
          <w:bCs/>
          <w:lang w:val="en-US" w:eastAsia="zh-CN"/>
        </w:rPr>
      </w:pPr>
      <w:bookmarkStart w:id="2" w:name="_Toc17431"/>
      <w:r>
        <w:rPr>
          <w:rFonts w:hint="eastAsia"/>
          <w:b w:val="0"/>
          <w:bCs/>
          <w:lang w:val="en-US" w:eastAsia="zh-CN"/>
        </w:rPr>
        <w:t>二、机构设置情况</w:t>
      </w:r>
      <w:bookmarkEnd w:id="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宋体" w:hAnsi="宋体"/>
          <w:b/>
          <w:bCs w:val="0"/>
          <w:color w:val="000000"/>
          <w:sz w:val="36"/>
          <w:szCs w:val="36"/>
          <w:lang w:val="en-US" w:eastAsia="zh-CN"/>
        </w:rPr>
      </w:pPr>
      <w:r>
        <w:rPr>
          <w:rFonts w:hint="eastAsia" w:ascii="仿宋_GB2312" w:eastAsia="仿宋_GB2312"/>
          <w:sz w:val="32"/>
          <w:szCs w:val="32"/>
          <w:lang w:val="en-US" w:eastAsia="zh-CN"/>
        </w:rPr>
        <w:t>大同市行政拘留所为正科级建制单位，是公安机关对被裁决拘留处罚的人执行拘留的场所，是治安管理 的基层组织之一。大同市行政拘留所依据法律规定，行使国家行政强制权力，对违 反治安管理被裁决拘留人执行处罚。担负被拘留人员的管理教育和社会矛盾化解的任务，为维护全市社会治安稳定、保障人民安居乐业奠定扎实基础。</w:t>
      </w:r>
      <w:r>
        <w:rPr>
          <w:rFonts w:hint="eastAsia" w:ascii="宋体" w:hAnsi="宋体"/>
          <w:b/>
          <w:bCs w:val="0"/>
          <w:color w:val="000000"/>
          <w:sz w:val="36"/>
          <w:szCs w:val="36"/>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ascii="宋体" w:hAnsi="宋体"/>
          <w:b/>
          <w:bCs w:val="0"/>
          <w:color w:val="00000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ascii="宋体" w:hAnsi="宋体"/>
          <w:b/>
          <w:bCs w:val="0"/>
          <w:color w:val="00000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1807" w:firstLineChars="500"/>
        <w:jc w:val="both"/>
        <w:textAlignment w:val="auto"/>
        <w:rPr>
          <w:rFonts w:hint="eastAsia" w:ascii="宋体" w:hAnsi="宋体"/>
          <w:b/>
          <w:bCs w:val="0"/>
          <w:color w:val="00000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1807" w:firstLineChars="500"/>
        <w:jc w:val="both"/>
        <w:textAlignment w:val="auto"/>
        <w:rPr>
          <w:rFonts w:hint="eastAsia" w:ascii="宋体" w:hAnsi="宋体"/>
          <w:b/>
          <w:bCs w:val="0"/>
          <w:color w:val="00000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1807" w:firstLineChars="500"/>
        <w:jc w:val="both"/>
        <w:textAlignment w:val="auto"/>
        <w:rPr>
          <w:rFonts w:hint="eastAsia" w:ascii="宋体" w:hAnsi="宋体"/>
          <w:b/>
          <w:bCs w:val="0"/>
          <w:color w:val="00000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宋体" w:hAnsi="宋体"/>
          <w:b/>
          <w:bCs w:val="0"/>
          <w:color w:val="000000"/>
          <w:sz w:val="36"/>
          <w:szCs w:val="36"/>
          <w:lang w:val="en-US" w:eastAsia="zh-CN"/>
        </w:rPr>
      </w:pPr>
    </w:p>
    <w:p>
      <w:pPr>
        <w:pStyle w:val="2"/>
        <w:bidi w:val="0"/>
        <w:jc w:val="center"/>
        <w:rPr>
          <w:rFonts w:hint="default"/>
          <w:b/>
          <w:sz w:val="36"/>
          <w:szCs w:val="36"/>
          <w:lang w:val="en-US" w:eastAsia="zh-CN"/>
        </w:rPr>
      </w:pPr>
      <w:bookmarkStart w:id="3" w:name="_Toc25061"/>
      <w:r>
        <w:rPr>
          <w:rFonts w:hint="eastAsia"/>
          <w:b/>
          <w:sz w:val="36"/>
          <w:szCs w:val="36"/>
          <w:lang w:val="en-US" w:eastAsia="zh-CN"/>
        </w:rPr>
        <w:t>第二部分  2021年度部门决算报表</w:t>
      </w:r>
      <w:bookmarkEnd w:id="3"/>
    </w:p>
    <w:tbl>
      <w:tblPr>
        <w:tblStyle w:val="7"/>
        <w:tblpPr w:leftFromText="180" w:rightFromText="180" w:vertAnchor="text" w:horzAnchor="page" w:tblpX="1232" w:tblpY="45"/>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82"/>
        <w:gridCol w:w="576"/>
        <w:gridCol w:w="1145"/>
        <w:gridCol w:w="3087"/>
        <w:gridCol w:w="576"/>
        <w:gridCol w:w="13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000" w:type="pct"/>
            <w:gridSpan w:val="6"/>
            <w:tcBorders>
              <w:top w:val="nil"/>
              <w:left w:val="nil"/>
              <w:bottom w:val="nil"/>
              <w:right w:val="nil"/>
            </w:tcBorders>
            <w:shd w:val="clear" w:color="auto" w:fill="auto"/>
            <w:noWrap/>
            <w:vAlign w:val="bottom"/>
          </w:tcPr>
          <w:p>
            <w:pPr>
              <w:pStyle w:val="3"/>
              <w:bidi w:val="0"/>
              <w:jc w:val="center"/>
              <w:rPr>
                <w:rFonts w:hint="eastAsia" w:ascii="宋体" w:hAnsi="宋体" w:eastAsia="宋体" w:cs="宋体"/>
                <w:i w:val="0"/>
                <w:iCs w:val="0"/>
                <w:color w:val="000000"/>
                <w:szCs w:val="22"/>
                <w:u w:val="none"/>
              </w:rPr>
            </w:pPr>
            <w:bookmarkStart w:id="4" w:name="_Toc1753"/>
            <w:r>
              <w:rPr>
                <w:rFonts w:hint="eastAsia"/>
                <w:b w:val="0"/>
                <w:bCs/>
                <w:lang w:val="en-US" w:eastAsia="zh-CN"/>
              </w:rPr>
              <w:t>收入支出决算总表</w:t>
            </w:r>
            <w:bookmarkEnd w:id="4"/>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647" w:type="pct"/>
            <w:tcBorders>
              <w:top w:val="nil"/>
              <w:left w:val="nil"/>
              <w:bottom w:val="nil"/>
              <w:right w:val="nil"/>
            </w:tcBorders>
            <w:shd w:val="clear" w:color="auto" w:fill="auto"/>
            <w:noWrap/>
            <w:vAlign w:val="bottom"/>
          </w:tcPr>
          <w:p>
            <w:pPr>
              <w:rPr>
                <w:rFonts w:hint="eastAsia" w:ascii="Arial" w:hAnsi="Arial" w:cs="Arial"/>
                <w:i w:val="0"/>
                <w:iCs w:val="0"/>
                <w:color w:val="000000"/>
                <w:sz w:val="18"/>
                <w:szCs w:val="18"/>
                <w:u w:val="none"/>
              </w:rPr>
            </w:pPr>
          </w:p>
        </w:tc>
        <w:tc>
          <w:tcPr>
            <w:tcW w:w="288"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73"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549"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88"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65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647"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部门：大同市行政拘留所</w:t>
            </w:r>
          </w:p>
        </w:tc>
        <w:tc>
          <w:tcPr>
            <w:tcW w:w="288"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73"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549"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88"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65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510"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2489" w:type="pct"/>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行次</w:t>
            </w:r>
          </w:p>
        </w:tc>
        <w:tc>
          <w:tcPr>
            <w:tcW w:w="57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15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行次</w:t>
            </w:r>
          </w:p>
        </w:tc>
        <w:tc>
          <w:tcPr>
            <w:tcW w:w="6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288"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57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5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288"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6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一、一般公共预算财政拨款收入</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244,904.76</w:t>
            </w:r>
          </w:p>
        </w:tc>
        <w:tc>
          <w:tcPr>
            <w:tcW w:w="15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二、政府性基金预算财政拨款收入</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6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三、国有资本经营预算财政拨款收入</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6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四、上级补助收入</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四、公共安全支出</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6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244,904.76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五、事业收入</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五、教育支出</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6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六、经营收入</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六、科学技术支出</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6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七、附属单位上缴收入</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6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八、其他收入</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6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九、卫生健康支出</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6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4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十、节能环保支出</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6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十一、城乡社区支出</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6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4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十二、农林水支出</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6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十三、交通运输支出</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6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十四、资源勘探工业信息等支出</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6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十五、商业服务业等支出</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6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十六、金融支出</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6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十七、援助其他地区支出</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4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十八、自然资源海洋气象等支出</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6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十九、住房保障支出</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6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二十、粮油物资储备支出</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6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二十一、国有资本经营预算支出</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6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二十二、灾害防治及应急管理支出</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6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二十三、其他支出</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6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7"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15"/>
                <w:szCs w:val="15"/>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24</w:t>
            </w: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15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二十四、债务还本支出</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6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5"/>
                <w:szCs w:val="15"/>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25</w:t>
            </w: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15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二十五、债务付息支出</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6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5"/>
                <w:szCs w:val="15"/>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26</w:t>
            </w: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15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二十六、抗疫特别国债安排的支出</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6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本年收入合计</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5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244,904.76</w:t>
            </w:r>
          </w:p>
        </w:tc>
        <w:tc>
          <w:tcPr>
            <w:tcW w:w="15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本年支出合计</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6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244,904.76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使用非财政拨款结余</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结余分配</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6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年初结转和结余</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年末结转和结余</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6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5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9"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65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总计</w:t>
            </w:r>
          </w:p>
        </w:tc>
        <w:tc>
          <w:tcPr>
            <w:tcW w:w="288" w:type="pct"/>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5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244,904.76</w:t>
            </w:r>
          </w:p>
        </w:tc>
        <w:tc>
          <w:tcPr>
            <w:tcW w:w="154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总计</w:t>
            </w:r>
          </w:p>
        </w:tc>
        <w:tc>
          <w:tcPr>
            <w:tcW w:w="28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6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244,904.76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注：本表反映部门本年度的总收支和年末结转结余情况。本套报表金额单位转换时可能存在尾数误差。</w:t>
            </w:r>
          </w:p>
        </w:tc>
      </w:tr>
    </w:tbl>
    <w:p>
      <w:pPr>
        <w:rPr>
          <w:sz w:val="18"/>
          <w:szCs w:val="18"/>
        </w:rPr>
        <w:sectPr>
          <w:footerReference r:id="rId3" w:type="default"/>
          <w:pgSz w:w="11906" w:h="16838"/>
          <w:pgMar w:top="1440" w:right="1077" w:bottom="1440" w:left="1077" w:header="851" w:footer="992" w:gutter="0"/>
          <w:pgNumType w:fmt="decimal" w:start="1"/>
          <w:cols w:space="425" w:num="1"/>
          <w:docGrid w:type="lines" w:linePitch="312" w:charSpace="0"/>
        </w:sectPr>
      </w:pPr>
    </w:p>
    <w:p>
      <w:pPr>
        <w:rPr>
          <w:sz w:val="18"/>
          <w:szCs w:val="18"/>
        </w:r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95"/>
        <w:gridCol w:w="238"/>
        <w:gridCol w:w="224"/>
        <w:gridCol w:w="2197"/>
        <w:gridCol w:w="1539"/>
        <w:gridCol w:w="1539"/>
        <w:gridCol w:w="1108"/>
        <w:gridCol w:w="1108"/>
        <w:gridCol w:w="1109"/>
        <w:gridCol w:w="1109"/>
        <w:gridCol w:w="16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5000" w:type="pct"/>
            <w:gridSpan w:val="11"/>
            <w:tcBorders>
              <w:top w:val="nil"/>
              <w:left w:val="nil"/>
              <w:bottom w:val="nil"/>
              <w:right w:val="nil"/>
            </w:tcBorders>
            <w:shd w:val="clear" w:color="auto" w:fill="auto"/>
            <w:noWrap/>
            <w:vAlign w:val="bottom"/>
          </w:tcPr>
          <w:p>
            <w:pPr>
              <w:pStyle w:val="3"/>
              <w:bidi w:val="0"/>
              <w:jc w:val="center"/>
              <w:rPr>
                <w:rFonts w:hint="eastAsia" w:ascii="宋体" w:hAnsi="宋体" w:eastAsia="宋体" w:cs="宋体"/>
                <w:i w:val="0"/>
                <w:iCs w:val="0"/>
                <w:color w:val="000000"/>
                <w:szCs w:val="30"/>
                <w:u w:val="none"/>
              </w:rPr>
            </w:pPr>
            <w:bookmarkStart w:id="5" w:name="_Toc10006"/>
            <w:r>
              <w:rPr>
                <w:rFonts w:hint="eastAsia"/>
                <w:b w:val="0"/>
                <w:bCs/>
                <w:lang w:val="en-US" w:eastAsia="zh-CN"/>
              </w:rPr>
              <w:t>收入决算表</w:t>
            </w:r>
            <w:bookmarkEnd w:id="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45" w:type="pct"/>
            <w:tcBorders>
              <w:top w:val="nil"/>
              <w:left w:val="nil"/>
              <w:bottom w:val="nil"/>
              <w:right w:val="nil"/>
            </w:tcBorders>
            <w:shd w:val="clear" w:color="auto" w:fill="auto"/>
            <w:noWrap/>
            <w:vAlign w:val="bottom"/>
          </w:tcPr>
          <w:p>
            <w:pPr>
              <w:rPr>
                <w:rFonts w:hint="eastAsia" w:ascii="Arial" w:hAnsi="Arial" w:cs="Arial"/>
                <w:i w:val="0"/>
                <w:iCs w:val="0"/>
                <w:color w:val="000000"/>
                <w:sz w:val="21"/>
                <w:szCs w:val="21"/>
                <w:u w:val="none"/>
              </w:rPr>
            </w:pPr>
          </w:p>
        </w:tc>
        <w:tc>
          <w:tcPr>
            <w:tcW w:w="84"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78"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774"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543"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543"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391"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391"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391"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391"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563"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845"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部门：大同市行政拘留所</w:t>
            </w:r>
          </w:p>
        </w:tc>
        <w:tc>
          <w:tcPr>
            <w:tcW w:w="84"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78"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774"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543"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543"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391"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391"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391"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391" w:type="pct"/>
            <w:tcBorders>
              <w:top w:val="nil"/>
              <w:left w:val="nil"/>
              <w:bottom w:val="nil"/>
              <w:right w:val="nil"/>
            </w:tcBorders>
            <w:shd w:val="clear" w:color="auto" w:fill="auto"/>
            <w:noWrap/>
            <w:vAlign w:val="bottom"/>
          </w:tcPr>
          <w:p>
            <w:pPr>
              <w:rPr>
                <w:rFonts w:hint="default" w:ascii="Arial" w:hAnsi="Arial" w:cs="Arial"/>
                <w:i w:val="0"/>
                <w:iCs w:val="0"/>
                <w:color w:val="000000"/>
                <w:sz w:val="21"/>
                <w:szCs w:val="21"/>
                <w:u w:val="none"/>
              </w:rPr>
            </w:pPr>
          </w:p>
        </w:tc>
        <w:tc>
          <w:tcPr>
            <w:tcW w:w="563"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83"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43"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543"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391"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391"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391"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391"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563"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8"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774"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4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6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8"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74"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4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6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8"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74"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4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6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83"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4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4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9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9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9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9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6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83"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244,904.76</w:t>
            </w:r>
          </w:p>
        </w:tc>
        <w:tc>
          <w:tcPr>
            <w:tcW w:w="5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244,904.76</w:t>
            </w: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7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5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244,904.76</w:t>
            </w:r>
          </w:p>
        </w:tc>
        <w:tc>
          <w:tcPr>
            <w:tcW w:w="5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244,904.76</w:t>
            </w: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w:t>
            </w:r>
          </w:p>
        </w:tc>
        <w:tc>
          <w:tcPr>
            <w:tcW w:w="7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w:t>
            </w:r>
          </w:p>
        </w:tc>
        <w:tc>
          <w:tcPr>
            <w:tcW w:w="5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244,904.76</w:t>
            </w:r>
          </w:p>
        </w:tc>
        <w:tc>
          <w:tcPr>
            <w:tcW w:w="5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244,904.76</w:t>
            </w: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2040202</w:t>
            </w:r>
          </w:p>
        </w:tc>
        <w:tc>
          <w:tcPr>
            <w:tcW w:w="7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5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244,904.76</w:t>
            </w:r>
          </w:p>
        </w:tc>
        <w:tc>
          <w:tcPr>
            <w:tcW w:w="5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244,904.76</w:t>
            </w: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7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7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7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7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7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rPr>
          <w:rFonts w:hint="eastAsia" w:eastAsia="宋体"/>
          <w:sz w:val="18"/>
          <w:szCs w:val="18"/>
          <w:lang w:eastAsia="zh-CN"/>
        </w:rPr>
        <w:sectPr>
          <w:pgSz w:w="16838" w:h="11905" w:orient="landscape"/>
          <w:pgMar w:top="1083" w:right="1440" w:bottom="1083" w:left="1440" w:header="851" w:footer="992" w:gutter="0"/>
          <w:pgNumType w:fmt="decimal"/>
          <w:cols w:space="0" w:num="1"/>
          <w:rtlGutter w:val="0"/>
          <w:docGrid w:type="lines" w:linePitch="314" w:charSpace="0"/>
        </w:sect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54"/>
        <w:gridCol w:w="232"/>
        <w:gridCol w:w="238"/>
        <w:gridCol w:w="2322"/>
        <w:gridCol w:w="1695"/>
        <w:gridCol w:w="1225"/>
        <w:gridCol w:w="1695"/>
        <w:gridCol w:w="1225"/>
        <w:gridCol w:w="1225"/>
        <w:gridCol w:w="17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5000" w:type="pct"/>
            <w:gridSpan w:val="10"/>
            <w:tcBorders>
              <w:top w:val="nil"/>
              <w:left w:val="nil"/>
              <w:bottom w:val="nil"/>
              <w:right w:val="nil"/>
            </w:tcBorders>
            <w:shd w:val="clear" w:color="auto" w:fill="auto"/>
            <w:noWrap/>
            <w:vAlign w:val="bottom"/>
          </w:tcPr>
          <w:p>
            <w:pPr>
              <w:pStyle w:val="3"/>
              <w:bidi w:val="0"/>
              <w:jc w:val="center"/>
              <w:rPr>
                <w:rFonts w:hint="eastAsia" w:ascii="宋体" w:hAnsi="宋体" w:eastAsia="宋体" w:cs="宋体"/>
                <w:i w:val="0"/>
                <w:iCs w:val="0"/>
                <w:color w:val="000000"/>
                <w:szCs w:val="30"/>
                <w:u w:val="none"/>
              </w:rPr>
            </w:pPr>
            <w:bookmarkStart w:id="6" w:name="_Toc14979"/>
            <w:r>
              <w:rPr>
                <w:rFonts w:hint="eastAsia"/>
                <w:b w:val="0"/>
                <w:bCs/>
                <w:lang w:val="en-US" w:eastAsia="zh-CN"/>
              </w:rPr>
              <w:t>支出决算表</w:t>
            </w:r>
            <w:bookmarkEnd w:id="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01"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8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1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9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9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1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01"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1"/>
                <w:szCs w:val="21"/>
                <w:u w:val="none"/>
                <w:lang w:val="en-US" w:eastAsia="zh-CN" w:bidi="ar"/>
              </w:rPr>
              <w:t>部门：大同市行政拘留所</w:t>
            </w:r>
          </w:p>
        </w:tc>
        <w:tc>
          <w:tcPr>
            <w:tcW w:w="8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1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9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9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1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86"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98"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43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598"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43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43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61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7"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819"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9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9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1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7"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19"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9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9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1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7"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19"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9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9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1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86"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9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3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9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3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3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1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86"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244,904.76</w:t>
            </w: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244,904.76</w:t>
            </w: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8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5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244,904.76</w:t>
            </w: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244,904.76</w:t>
            </w: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w:t>
            </w:r>
          </w:p>
        </w:tc>
        <w:tc>
          <w:tcPr>
            <w:tcW w:w="8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w:t>
            </w:r>
          </w:p>
        </w:tc>
        <w:tc>
          <w:tcPr>
            <w:tcW w:w="5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244,904.76</w:t>
            </w: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244,904.76</w:t>
            </w: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2040202</w:t>
            </w:r>
          </w:p>
        </w:tc>
        <w:tc>
          <w:tcPr>
            <w:tcW w:w="8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5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244,904.76</w:t>
            </w: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244,904.76</w:t>
            </w: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7"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7"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7"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7"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7"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rPr>
          <w:rFonts w:hint="eastAsia" w:eastAsia="宋体"/>
          <w:sz w:val="18"/>
          <w:szCs w:val="18"/>
          <w:lang w:eastAsia="zh-CN"/>
        </w:rPr>
        <w:sectPr>
          <w:pgSz w:w="16838" w:h="11905" w:orient="landscape"/>
          <w:pgMar w:top="1083" w:right="1440" w:bottom="1083" w:left="1440" w:header="851" w:footer="992" w:gutter="0"/>
          <w:pgNumType w:fmt="decimal"/>
          <w:cols w:space="0" w:num="1"/>
          <w:rtlGutter w:val="0"/>
          <w:docGrid w:type="lines" w:linePitch="314" w:charSpace="0"/>
        </w:sect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304"/>
        <w:gridCol w:w="525"/>
        <w:gridCol w:w="1563"/>
        <w:gridCol w:w="3734"/>
        <w:gridCol w:w="525"/>
        <w:gridCol w:w="1336"/>
        <w:gridCol w:w="1563"/>
        <w:gridCol w:w="1118"/>
        <w:gridCol w:w="1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5000" w:type="pct"/>
            <w:gridSpan w:val="9"/>
            <w:tcBorders>
              <w:top w:val="nil"/>
              <w:left w:val="nil"/>
              <w:bottom w:val="nil"/>
              <w:right w:val="nil"/>
            </w:tcBorders>
            <w:shd w:val="clear" w:color="auto" w:fill="auto"/>
            <w:noWrap/>
            <w:vAlign w:val="bottom"/>
          </w:tcPr>
          <w:p>
            <w:pPr>
              <w:pStyle w:val="3"/>
              <w:bidi w:val="0"/>
              <w:jc w:val="center"/>
              <w:rPr>
                <w:rFonts w:hint="eastAsia" w:ascii="宋体" w:hAnsi="宋体" w:eastAsia="宋体" w:cs="宋体"/>
                <w:i w:val="0"/>
                <w:iCs w:val="0"/>
                <w:color w:val="000000"/>
                <w:szCs w:val="30"/>
                <w:u w:val="none"/>
              </w:rPr>
            </w:pPr>
            <w:bookmarkStart w:id="7" w:name="_Toc32641"/>
            <w:r>
              <w:rPr>
                <w:rFonts w:hint="eastAsia"/>
                <w:b w:val="0"/>
                <w:bCs/>
                <w:lang w:val="en-US" w:eastAsia="zh-CN"/>
              </w:rPr>
              <w:t>财政拨款收入支出决算总表</w:t>
            </w:r>
            <w:bookmarkEnd w:id="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076"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7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0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0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8"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076"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1"/>
                <w:szCs w:val="21"/>
                <w:u w:val="none"/>
                <w:lang w:val="en-US" w:eastAsia="zh-CN" w:bidi="ar"/>
              </w:rPr>
              <w:t>部门：大同市行政拘留所</w:t>
            </w:r>
          </w:p>
        </w:tc>
        <w:tc>
          <w:tcPr>
            <w:tcW w:w="17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0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0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8"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56"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3243"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076"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50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21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435"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0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36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54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076"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0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1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0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1"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1"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244,904.76</w:t>
            </w: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4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244,904.76</w:t>
            </w:r>
          </w:p>
        </w:tc>
        <w:tc>
          <w:tcPr>
            <w:tcW w:w="5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244,904.76</w:t>
            </w: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5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244,904.76</w:t>
            </w: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4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244,904.76</w:t>
            </w:r>
          </w:p>
        </w:tc>
        <w:tc>
          <w:tcPr>
            <w:tcW w:w="5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244,904.76</w:t>
            </w: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71" w:type="pct"/>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5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244,904.76</w:t>
            </w: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4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244,904.76</w:t>
            </w:r>
          </w:p>
        </w:tc>
        <w:tc>
          <w:tcPr>
            <w:tcW w:w="5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244,904.76</w:t>
            </w: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51" w:type="pct"/>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54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42"/>
        <w:gridCol w:w="335"/>
        <w:gridCol w:w="335"/>
        <w:gridCol w:w="3310"/>
        <w:gridCol w:w="2773"/>
        <w:gridCol w:w="2103"/>
        <w:gridCol w:w="2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5000" w:type="pct"/>
            <w:gridSpan w:val="7"/>
            <w:tcBorders>
              <w:top w:val="nil"/>
              <w:left w:val="nil"/>
              <w:bottom w:val="nil"/>
              <w:right w:val="nil"/>
            </w:tcBorders>
            <w:shd w:val="clear" w:color="auto" w:fill="auto"/>
            <w:noWrap/>
            <w:vAlign w:val="bottom"/>
          </w:tcPr>
          <w:p>
            <w:pPr>
              <w:pStyle w:val="3"/>
              <w:bidi w:val="0"/>
              <w:jc w:val="center"/>
              <w:rPr>
                <w:rFonts w:hint="eastAsia" w:ascii="宋体" w:hAnsi="宋体" w:eastAsia="宋体" w:cs="宋体"/>
                <w:i w:val="0"/>
                <w:iCs w:val="0"/>
                <w:color w:val="000000"/>
                <w:szCs w:val="30"/>
                <w:u w:val="none"/>
              </w:rPr>
            </w:pPr>
            <w:bookmarkStart w:id="8" w:name="_Toc24486"/>
            <w:r>
              <w:rPr>
                <w:rFonts w:hint="eastAsia"/>
                <w:b w:val="0"/>
                <w:bCs/>
                <w:lang w:val="en-US" w:eastAsia="zh-CN"/>
              </w:rPr>
              <w:t>一般公共预算财政拨款支出决算表</w:t>
            </w:r>
            <w:bookmarkEnd w:id="8"/>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1186"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0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7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0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8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2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86"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部门：大同市行政拘留所</w:t>
            </w:r>
          </w:p>
        </w:tc>
        <w:tc>
          <w:tcPr>
            <w:tcW w:w="10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7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0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8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2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82"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517"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4"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078"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0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68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92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404"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78"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0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8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2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4"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78"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0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8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2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82"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2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82"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244,904.76</w:t>
            </w: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9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244,904.76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10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9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244,904.76</w:t>
            </w: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244,904.76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w:t>
            </w:r>
          </w:p>
        </w:tc>
        <w:tc>
          <w:tcPr>
            <w:tcW w:w="10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w:t>
            </w:r>
          </w:p>
        </w:tc>
        <w:tc>
          <w:tcPr>
            <w:tcW w:w="9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244,904.76</w:t>
            </w: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244,904.76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2040202</w:t>
            </w:r>
          </w:p>
        </w:tc>
        <w:tc>
          <w:tcPr>
            <w:tcW w:w="10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9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244,904.76</w:t>
            </w: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244,904.76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4"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7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0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4"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7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0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4"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7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0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4"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7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0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4"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7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0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5"/>
        <w:gridCol w:w="2134"/>
        <w:gridCol w:w="856"/>
        <w:gridCol w:w="472"/>
        <w:gridCol w:w="536"/>
        <w:gridCol w:w="1495"/>
        <w:gridCol w:w="792"/>
        <w:gridCol w:w="472"/>
        <w:gridCol w:w="536"/>
        <w:gridCol w:w="1751"/>
        <w:gridCol w:w="344"/>
        <w:gridCol w:w="728"/>
        <w:gridCol w:w="536"/>
        <w:gridCol w:w="2647"/>
        <w:gridCol w:w="792"/>
        <w:gridCol w:w="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5000" w:type="pct"/>
            <w:gridSpan w:val="16"/>
            <w:tcBorders>
              <w:top w:val="nil"/>
              <w:left w:val="nil"/>
              <w:bottom w:val="nil"/>
              <w:right w:val="nil"/>
            </w:tcBorders>
            <w:shd w:val="clear" w:color="auto" w:fill="auto"/>
            <w:noWrap/>
            <w:vAlign w:val="bottom"/>
          </w:tcPr>
          <w:p>
            <w:pPr>
              <w:pStyle w:val="3"/>
              <w:bidi w:val="0"/>
              <w:jc w:val="center"/>
              <w:rPr>
                <w:rFonts w:hint="eastAsia" w:ascii="宋体" w:hAnsi="宋体" w:eastAsia="宋体" w:cs="宋体"/>
                <w:i w:val="0"/>
                <w:iCs w:val="0"/>
                <w:color w:val="000000"/>
                <w:szCs w:val="21"/>
                <w:u w:val="none"/>
              </w:rPr>
            </w:pPr>
            <w:bookmarkStart w:id="9" w:name="_Toc27409"/>
            <w:r>
              <w:rPr>
                <w:rFonts w:hint="eastAsia"/>
                <w:b w:val="0"/>
                <w:bCs/>
                <w:lang w:val="en-US" w:eastAsia="zh-CN"/>
              </w:rPr>
              <w:t>一般公共预算财政拨款基本支出决算表</w:t>
            </w:r>
            <w:bookmarkEnd w:id="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177" w:type="pct"/>
            <w:tcBorders>
              <w:top w:val="nil"/>
              <w:left w:val="nil"/>
              <w:bottom w:val="nil"/>
              <w:right w:val="nil"/>
            </w:tcBorders>
            <w:shd w:val="clear" w:color="auto" w:fill="auto"/>
            <w:noWrap/>
            <w:vAlign w:val="bottom"/>
          </w:tcPr>
          <w:p>
            <w:pPr>
              <w:rPr>
                <w:rFonts w:hint="eastAsia" w:ascii="Arial" w:hAnsi="Arial" w:cs="Arial"/>
                <w:i w:val="0"/>
                <w:iCs w:val="0"/>
                <w:color w:val="000000"/>
                <w:sz w:val="13"/>
                <w:szCs w:val="13"/>
                <w:u w:val="none"/>
              </w:rPr>
            </w:pPr>
          </w:p>
        </w:tc>
        <w:tc>
          <w:tcPr>
            <w:tcW w:w="685"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279"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157"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177"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482"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258"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157"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177"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563"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116"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238"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177"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847"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502"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862"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部门：大同市行政拘留所</w:t>
            </w:r>
          </w:p>
        </w:tc>
        <w:tc>
          <w:tcPr>
            <w:tcW w:w="279"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157"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177"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482"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258"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157"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177"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563"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116"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238"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177"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847"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502"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人员经费</w:t>
            </w:r>
          </w:p>
        </w:tc>
        <w:tc>
          <w:tcPr>
            <w:tcW w:w="3700" w:type="pct"/>
            <w:gridSpan w:val="12"/>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68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27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15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其中：基本支出</w:t>
            </w:r>
          </w:p>
        </w:tc>
        <w:tc>
          <w:tcPr>
            <w:tcW w:w="17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48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25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15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其中：基本支出</w:t>
            </w:r>
          </w:p>
        </w:tc>
        <w:tc>
          <w:tcPr>
            <w:tcW w:w="17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56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1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23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其中：基本支出</w:t>
            </w:r>
          </w:p>
        </w:tc>
        <w:tc>
          <w:tcPr>
            <w:tcW w:w="17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84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25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24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68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27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5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7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48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25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5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7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56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1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23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7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84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25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24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301</w:t>
            </w:r>
          </w:p>
        </w:tc>
        <w:tc>
          <w:tcPr>
            <w:tcW w:w="6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工资福利支出</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302</w:t>
            </w:r>
          </w:p>
        </w:tc>
        <w:tc>
          <w:tcPr>
            <w:tcW w:w="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商品和服务支出</w:t>
            </w:r>
          </w:p>
        </w:tc>
        <w:tc>
          <w:tcPr>
            <w:tcW w:w="2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96,842.87</w:t>
            </w: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307</w:t>
            </w:r>
          </w:p>
        </w:tc>
        <w:tc>
          <w:tcPr>
            <w:tcW w:w="5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债务利息及费用支出</w:t>
            </w:r>
          </w:p>
        </w:tc>
        <w:tc>
          <w:tcPr>
            <w:tcW w:w="1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3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31011</w:t>
            </w:r>
          </w:p>
        </w:tc>
        <w:tc>
          <w:tcPr>
            <w:tcW w:w="8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地上附着物和青苗补偿</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30101</w:t>
            </w:r>
          </w:p>
        </w:tc>
        <w:tc>
          <w:tcPr>
            <w:tcW w:w="6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基本工资</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30201</w:t>
            </w:r>
          </w:p>
        </w:tc>
        <w:tc>
          <w:tcPr>
            <w:tcW w:w="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办公费</w:t>
            </w:r>
          </w:p>
        </w:tc>
        <w:tc>
          <w:tcPr>
            <w:tcW w:w="2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68,391.41</w:t>
            </w: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30701</w:t>
            </w:r>
          </w:p>
        </w:tc>
        <w:tc>
          <w:tcPr>
            <w:tcW w:w="5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国内债务付息</w:t>
            </w:r>
          </w:p>
        </w:tc>
        <w:tc>
          <w:tcPr>
            <w:tcW w:w="1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3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31012</w:t>
            </w:r>
          </w:p>
        </w:tc>
        <w:tc>
          <w:tcPr>
            <w:tcW w:w="8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拆迁补偿</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30102</w:t>
            </w:r>
          </w:p>
        </w:tc>
        <w:tc>
          <w:tcPr>
            <w:tcW w:w="6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津贴补贴</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30202</w:t>
            </w:r>
          </w:p>
        </w:tc>
        <w:tc>
          <w:tcPr>
            <w:tcW w:w="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印刷费</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30702</w:t>
            </w:r>
          </w:p>
        </w:tc>
        <w:tc>
          <w:tcPr>
            <w:tcW w:w="5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国外债务付息</w:t>
            </w:r>
          </w:p>
        </w:tc>
        <w:tc>
          <w:tcPr>
            <w:tcW w:w="1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3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31013</w:t>
            </w:r>
          </w:p>
        </w:tc>
        <w:tc>
          <w:tcPr>
            <w:tcW w:w="8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公务用车购置</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30103</w:t>
            </w:r>
          </w:p>
        </w:tc>
        <w:tc>
          <w:tcPr>
            <w:tcW w:w="6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奖金</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30203</w:t>
            </w:r>
          </w:p>
        </w:tc>
        <w:tc>
          <w:tcPr>
            <w:tcW w:w="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咨询费</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30703</w:t>
            </w:r>
          </w:p>
        </w:tc>
        <w:tc>
          <w:tcPr>
            <w:tcW w:w="5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国内债务发行费用</w:t>
            </w:r>
          </w:p>
        </w:tc>
        <w:tc>
          <w:tcPr>
            <w:tcW w:w="1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3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31019</w:t>
            </w:r>
          </w:p>
        </w:tc>
        <w:tc>
          <w:tcPr>
            <w:tcW w:w="8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其他交通工具购置</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30106</w:t>
            </w:r>
          </w:p>
        </w:tc>
        <w:tc>
          <w:tcPr>
            <w:tcW w:w="6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伙食补助费</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30204</w:t>
            </w:r>
          </w:p>
        </w:tc>
        <w:tc>
          <w:tcPr>
            <w:tcW w:w="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手续费</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30704</w:t>
            </w:r>
          </w:p>
        </w:tc>
        <w:tc>
          <w:tcPr>
            <w:tcW w:w="5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国外债务发行费用</w:t>
            </w:r>
          </w:p>
        </w:tc>
        <w:tc>
          <w:tcPr>
            <w:tcW w:w="1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3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31021</w:t>
            </w:r>
          </w:p>
        </w:tc>
        <w:tc>
          <w:tcPr>
            <w:tcW w:w="8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文物和陈列品购置</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30107</w:t>
            </w:r>
          </w:p>
        </w:tc>
        <w:tc>
          <w:tcPr>
            <w:tcW w:w="6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绩效工资</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30205</w:t>
            </w:r>
          </w:p>
        </w:tc>
        <w:tc>
          <w:tcPr>
            <w:tcW w:w="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水费</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309</w:t>
            </w:r>
          </w:p>
        </w:tc>
        <w:tc>
          <w:tcPr>
            <w:tcW w:w="5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资本性支出（基本建设）</w:t>
            </w:r>
          </w:p>
        </w:tc>
        <w:tc>
          <w:tcPr>
            <w:tcW w:w="1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31022</w:t>
            </w:r>
          </w:p>
        </w:tc>
        <w:tc>
          <w:tcPr>
            <w:tcW w:w="8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无形资产购置</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30108</w:t>
            </w:r>
          </w:p>
        </w:tc>
        <w:tc>
          <w:tcPr>
            <w:tcW w:w="6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30206</w:t>
            </w:r>
          </w:p>
        </w:tc>
        <w:tc>
          <w:tcPr>
            <w:tcW w:w="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电费</w:t>
            </w:r>
          </w:p>
        </w:tc>
        <w:tc>
          <w:tcPr>
            <w:tcW w:w="2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28,451.46</w:t>
            </w: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30901</w:t>
            </w:r>
          </w:p>
        </w:tc>
        <w:tc>
          <w:tcPr>
            <w:tcW w:w="5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房屋构筑物构建</w:t>
            </w:r>
          </w:p>
        </w:tc>
        <w:tc>
          <w:tcPr>
            <w:tcW w:w="1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31099</w:t>
            </w:r>
          </w:p>
        </w:tc>
        <w:tc>
          <w:tcPr>
            <w:tcW w:w="8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其他资本性支出</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30109</w:t>
            </w:r>
          </w:p>
        </w:tc>
        <w:tc>
          <w:tcPr>
            <w:tcW w:w="6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职业年金缴费</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30207</w:t>
            </w:r>
          </w:p>
        </w:tc>
        <w:tc>
          <w:tcPr>
            <w:tcW w:w="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邮电费</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30902</w:t>
            </w:r>
          </w:p>
        </w:tc>
        <w:tc>
          <w:tcPr>
            <w:tcW w:w="5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办公设备购置</w:t>
            </w:r>
          </w:p>
        </w:tc>
        <w:tc>
          <w:tcPr>
            <w:tcW w:w="1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311</w:t>
            </w:r>
          </w:p>
        </w:tc>
        <w:tc>
          <w:tcPr>
            <w:tcW w:w="8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对企业补助（基本建设）</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30110</w:t>
            </w:r>
          </w:p>
        </w:tc>
        <w:tc>
          <w:tcPr>
            <w:tcW w:w="6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职工基本医疗保险缴费</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30208</w:t>
            </w:r>
          </w:p>
        </w:tc>
        <w:tc>
          <w:tcPr>
            <w:tcW w:w="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取暖费</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30903</w:t>
            </w:r>
          </w:p>
        </w:tc>
        <w:tc>
          <w:tcPr>
            <w:tcW w:w="5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专用设备购置</w:t>
            </w:r>
          </w:p>
        </w:tc>
        <w:tc>
          <w:tcPr>
            <w:tcW w:w="1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31101</w:t>
            </w:r>
          </w:p>
        </w:tc>
        <w:tc>
          <w:tcPr>
            <w:tcW w:w="8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资本金注入</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30111</w:t>
            </w:r>
          </w:p>
        </w:tc>
        <w:tc>
          <w:tcPr>
            <w:tcW w:w="6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公务员医疗补助缴费</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30209</w:t>
            </w:r>
          </w:p>
        </w:tc>
        <w:tc>
          <w:tcPr>
            <w:tcW w:w="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物业管理费</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30905</w:t>
            </w:r>
          </w:p>
        </w:tc>
        <w:tc>
          <w:tcPr>
            <w:tcW w:w="5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基础设施建设</w:t>
            </w:r>
          </w:p>
        </w:tc>
        <w:tc>
          <w:tcPr>
            <w:tcW w:w="1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31199</w:t>
            </w:r>
          </w:p>
        </w:tc>
        <w:tc>
          <w:tcPr>
            <w:tcW w:w="8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其他对企业补助</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30112</w:t>
            </w:r>
          </w:p>
        </w:tc>
        <w:tc>
          <w:tcPr>
            <w:tcW w:w="6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其他社会保障缴费</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30211</w:t>
            </w:r>
          </w:p>
        </w:tc>
        <w:tc>
          <w:tcPr>
            <w:tcW w:w="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差旅费</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30906</w:t>
            </w:r>
          </w:p>
        </w:tc>
        <w:tc>
          <w:tcPr>
            <w:tcW w:w="5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大型修缮</w:t>
            </w:r>
          </w:p>
        </w:tc>
        <w:tc>
          <w:tcPr>
            <w:tcW w:w="1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312</w:t>
            </w:r>
          </w:p>
        </w:tc>
        <w:tc>
          <w:tcPr>
            <w:tcW w:w="8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对企业补助</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30113</w:t>
            </w:r>
          </w:p>
        </w:tc>
        <w:tc>
          <w:tcPr>
            <w:tcW w:w="6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30212</w:t>
            </w:r>
          </w:p>
        </w:tc>
        <w:tc>
          <w:tcPr>
            <w:tcW w:w="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因公出国（境）费用</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30907</w:t>
            </w:r>
          </w:p>
        </w:tc>
        <w:tc>
          <w:tcPr>
            <w:tcW w:w="5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信息网络及软件购置更新</w:t>
            </w:r>
          </w:p>
        </w:tc>
        <w:tc>
          <w:tcPr>
            <w:tcW w:w="1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31201</w:t>
            </w:r>
          </w:p>
        </w:tc>
        <w:tc>
          <w:tcPr>
            <w:tcW w:w="8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资本金注入</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30114</w:t>
            </w:r>
          </w:p>
        </w:tc>
        <w:tc>
          <w:tcPr>
            <w:tcW w:w="6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医疗费</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30213</w:t>
            </w:r>
          </w:p>
        </w:tc>
        <w:tc>
          <w:tcPr>
            <w:tcW w:w="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维修（护）费</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30908</w:t>
            </w:r>
          </w:p>
        </w:tc>
        <w:tc>
          <w:tcPr>
            <w:tcW w:w="5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物资储备</w:t>
            </w:r>
          </w:p>
        </w:tc>
        <w:tc>
          <w:tcPr>
            <w:tcW w:w="1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31203</w:t>
            </w:r>
          </w:p>
        </w:tc>
        <w:tc>
          <w:tcPr>
            <w:tcW w:w="8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政府投资基金股权投资</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30199</w:t>
            </w:r>
          </w:p>
        </w:tc>
        <w:tc>
          <w:tcPr>
            <w:tcW w:w="6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其他工资福利支出</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30214</w:t>
            </w:r>
          </w:p>
        </w:tc>
        <w:tc>
          <w:tcPr>
            <w:tcW w:w="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租赁费</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30913</w:t>
            </w:r>
          </w:p>
        </w:tc>
        <w:tc>
          <w:tcPr>
            <w:tcW w:w="5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公务用车购置</w:t>
            </w:r>
          </w:p>
        </w:tc>
        <w:tc>
          <w:tcPr>
            <w:tcW w:w="1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31204</w:t>
            </w:r>
          </w:p>
        </w:tc>
        <w:tc>
          <w:tcPr>
            <w:tcW w:w="8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费用补贴</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303</w:t>
            </w:r>
          </w:p>
        </w:tc>
        <w:tc>
          <w:tcPr>
            <w:tcW w:w="6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对个人和家庭的补助</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148,061.89</w:t>
            </w: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30215</w:t>
            </w:r>
          </w:p>
        </w:tc>
        <w:tc>
          <w:tcPr>
            <w:tcW w:w="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会议费</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30919</w:t>
            </w:r>
          </w:p>
        </w:tc>
        <w:tc>
          <w:tcPr>
            <w:tcW w:w="5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其他交通工具购置</w:t>
            </w:r>
          </w:p>
        </w:tc>
        <w:tc>
          <w:tcPr>
            <w:tcW w:w="1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31205</w:t>
            </w:r>
          </w:p>
        </w:tc>
        <w:tc>
          <w:tcPr>
            <w:tcW w:w="8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利息补贴</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30301</w:t>
            </w:r>
          </w:p>
        </w:tc>
        <w:tc>
          <w:tcPr>
            <w:tcW w:w="6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离休费</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30216</w:t>
            </w:r>
          </w:p>
        </w:tc>
        <w:tc>
          <w:tcPr>
            <w:tcW w:w="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培训费</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30921</w:t>
            </w:r>
          </w:p>
        </w:tc>
        <w:tc>
          <w:tcPr>
            <w:tcW w:w="5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文物和陈列品购置</w:t>
            </w:r>
          </w:p>
        </w:tc>
        <w:tc>
          <w:tcPr>
            <w:tcW w:w="1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31299</w:t>
            </w:r>
          </w:p>
        </w:tc>
        <w:tc>
          <w:tcPr>
            <w:tcW w:w="8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其他对企业补助</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30302</w:t>
            </w:r>
          </w:p>
        </w:tc>
        <w:tc>
          <w:tcPr>
            <w:tcW w:w="6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退休费</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30217</w:t>
            </w:r>
          </w:p>
        </w:tc>
        <w:tc>
          <w:tcPr>
            <w:tcW w:w="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公务接待费</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30922</w:t>
            </w:r>
          </w:p>
        </w:tc>
        <w:tc>
          <w:tcPr>
            <w:tcW w:w="5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无形资产购置</w:t>
            </w:r>
          </w:p>
        </w:tc>
        <w:tc>
          <w:tcPr>
            <w:tcW w:w="1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313</w:t>
            </w:r>
          </w:p>
        </w:tc>
        <w:tc>
          <w:tcPr>
            <w:tcW w:w="8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对社会保障基金补助</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30303</w:t>
            </w:r>
          </w:p>
        </w:tc>
        <w:tc>
          <w:tcPr>
            <w:tcW w:w="6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退职（役）费</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30218</w:t>
            </w:r>
          </w:p>
        </w:tc>
        <w:tc>
          <w:tcPr>
            <w:tcW w:w="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专用材料费</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30999</w:t>
            </w:r>
          </w:p>
        </w:tc>
        <w:tc>
          <w:tcPr>
            <w:tcW w:w="5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其他资本性支出</w:t>
            </w:r>
          </w:p>
        </w:tc>
        <w:tc>
          <w:tcPr>
            <w:tcW w:w="1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31302</w:t>
            </w:r>
          </w:p>
        </w:tc>
        <w:tc>
          <w:tcPr>
            <w:tcW w:w="8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对社会保障基金补助</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30304</w:t>
            </w:r>
          </w:p>
        </w:tc>
        <w:tc>
          <w:tcPr>
            <w:tcW w:w="6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抚恤金</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30224</w:t>
            </w:r>
          </w:p>
        </w:tc>
        <w:tc>
          <w:tcPr>
            <w:tcW w:w="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被装购置费</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310</w:t>
            </w:r>
          </w:p>
        </w:tc>
        <w:tc>
          <w:tcPr>
            <w:tcW w:w="5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资本性支出</w:t>
            </w:r>
          </w:p>
        </w:tc>
        <w:tc>
          <w:tcPr>
            <w:tcW w:w="1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3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31303</w:t>
            </w:r>
          </w:p>
        </w:tc>
        <w:tc>
          <w:tcPr>
            <w:tcW w:w="8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补充全国社会保障基金</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30305</w:t>
            </w:r>
          </w:p>
        </w:tc>
        <w:tc>
          <w:tcPr>
            <w:tcW w:w="6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生活补助</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148,061.89</w:t>
            </w: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30225</w:t>
            </w:r>
          </w:p>
        </w:tc>
        <w:tc>
          <w:tcPr>
            <w:tcW w:w="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专用燃料费</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31001</w:t>
            </w:r>
          </w:p>
        </w:tc>
        <w:tc>
          <w:tcPr>
            <w:tcW w:w="5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房屋构筑物构建</w:t>
            </w:r>
          </w:p>
        </w:tc>
        <w:tc>
          <w:tcPr>
            <w:tcW w:w="1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3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31304</w:t>
            </w:r>
          </w:p>
        </w:tc>
        <w:tc>
          <w:tcPr>
            <w:tcW w:w="8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对机关事业单位职业年金的补助</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30306</w:t>
            </w:r>
          </w:p>
        </w:tc>
        <w:tc>
          <w:tcPr>
            <w:tcW w:w="6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救济费</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30226</w:t>
            </w:r>
          </w:p>
        </w:tc>
        <w:tc>
          <w:tcPr>
            <w:tcW w:w="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劳务费</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31002</w:t>
            </w:r>
          </w:p>
        </w:tc>
        <w:tc>
          <w:tcPr>
            <w:tcW w:w="5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办公设备购置</w:t>
            </w:r>
          </w:p>
        </w:tc>
        <w:tc>
          <w:tcPr>
            <w:tcW w:w="1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3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399</w:t>
            </w:r>
          </w:p>
        </w:tc>
        <w:tc>
          <w:tcPr>
            <w:tcW w:w="8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其他支出</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30307</w:t>
            </w:r>
          </w:p>
        </w:tc>
        <w:tc>
          <w:tcPr>
            <w:tcW w:w="6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医疗费补助</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30227</w:t>
            </w:r>
          </w:p>
        </w:tc>
        <w:tc>
          <w:tcPr>
            <w:tcW w:w="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委托业务费</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31003</w:t>
            </w:r>
          </w:p>
        </w:tc>
        <w:tc>
          <w:tcPr>
            <w:tcW w:w="5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专用设备购置</w:t>
            </w:r>
          </w:p>
        </w:tc>
        <w:tc>
          <w:tcPr>
            <w:tcW w:w="1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3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39906</w:t>
            </w:r>
          </w:p>
        </w:tc>
        <w:tc>
          <w:tcPr>
            <w:tcW w:w="8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赠与</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30308</w:t>
            </w:r>
          </w:p>
        </w:tc>
        <w:tc>
          <w:tcPr>
            <w:tcW w:w="6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助学金</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30228</w:t>
            </w:r>
          </w:p>
        </w:tc>
        <w:tc>
          <w:tcPr>
            <w:tcW w:w="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工会经费</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31005</w:t>
            </w:r>
          </w:p>
        </w:tc>
        <w:tc>
          <w:tcPr>
            <w:tcW w:w="5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基础设施建设</w:t>
            </w:r>
          </w:p>
        </w:tc>
        <w:tc>
          <w:tcPr>
            <w:tcW w:w="1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3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39907</w:t>
            </w:r>
          </w:p>
        </w:tc>
        <w:tc>
          <w:tcPr>
            <w:tcW w:w="8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国家赔偿费用支出</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30309</w:t>
            </w:r>
          </w:p>
        </w:tc>
        <w:tc>
          <w:tcPr>
            <w:tcW w:w="6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奖励金</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30229</w:t>
            </w:r>
          </w:p>
        </w:tc>
        <w:tc>
          <w:tcPr>
            <w:tcW w:w="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福利费</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31006</w:t>
            </w:r>
          </w:p>
        </w:tc>
        <w:tc>
          <w:tcPr>
            <w:tcW w:w="5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大型修缮</w:t>
            </w:r>
          </w:p>
        </w:tc>
        <w:tc>
          <w:tcPr>
            <w:tcW w:w="1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3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39908</w:t>
            </w:r>
          </w:p>
        </w:tc>
        <w:tc>
          <w:tcPr>
            <w:tcW w:w="8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对民间非营利组织和群众性自治组织补贴</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30310</w:t>
            </w:r>
          </w:p>
        </w:tc>
        <w:tc>
          <w:tcPr>
            <w:tcW w:w="6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个人农业生产补贴</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30231</w:t>
            </w:r>
          </w:p>
        </w:tc>
        <w:tc>
          <w:tcPr>
            <w:tcW w:w="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公务用车运行维护费</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31007</w:t>
            </w:r>
          </w:p>
        </w:tc>
        <w:tc>
          <w:tcPr>
            <w:tcW w:w="5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信息网络及软件购置更新</w:t>
            </w:r>
          </w:p>
        </w:tc>
        <w:tc>
          <w:tcPr>
            <w:tcW w:w="1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3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39999</w:t>
            </w:r>
          </w:p>
        </w:tc>
        <w:tc>
          <w:tcPr>
            <w:tcW w:w="8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其他支出</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30311</w:t>
            </w:r>
          </w:p>
        </w:tc>
        <w:tc>
          <w:tcPr>
            <w:tcW w:w="6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代缴社会保险费</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30239</w:t>
            </w:r>
          </w:p>
        </w:tc>
        <w:tc>
          <w:tcPr>
            <w:tcW w:w="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其他交通费用</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31008</w:t>
            </w:r>
          </w:p>
        </w:tc>
        <w:tc>
          <w:tcPr>
            <w:tcW w:w="5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物资储备</w:t>
            </w:r>
          </w:p>
        </w:tc>
        <w:tc>
          <w:tcPr>
            <w:tcW w:w="1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3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847"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30399</w:t>
            </w:r>
          </w:p>
        </w:tc>
        <w:tc>
          <w:tcPr>
            <w:tcW w:w="6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其他对个人和家庭的补助</w:t>
            </w: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30240</w:t>
            </w:r>
          </w:p>
        </w:tc>
        <w:tc>
          <w:tcPr>
            <w:tcW w:w="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税金及附加费用</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31009</w:t>
            </w:r>
          </w:p>
        </w:tc>
        <w:tc>
          <w:tcPr>
            <w:tcW w:w="5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土地补偿</w:t>
            </w:r>
          </w:p>
        </w:tc>
        <w:tc>
          <w:tcPr>
            <w:tcW w:w="1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3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847"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85"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w:t>
            </w:r>
          </w:p>
        </w:tc>
        <w:tc>
          <w:tcPr>
            <w:tcW w:w="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其他商品和服务支出</w:t>
            </w: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31010</w:t>
            </w:r>
          </w:p>
        </w:tc>
        <w:tc>
          <w:tcPr>
            <w:tcW w:w="5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安置补助</w:t>
            </w:r>
          </w:p>
        </w:tc>
        <w:tc>
          <w:tcPr>
            <w:tcW w:w="1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3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847"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2" w:type="pct"/>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人员经费合计</w:t>
            </w:r>
          </w:p>
        </w:tc>
        <w:tc>
          <w:tcPr>
            <w:tcW w:w="2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148,061.89</w:t>
            </w: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198" w:type="pct"/>
            <w:gridSpan w:val="10"/>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公用经费合计</w:t>
            </w:r>
          </w:p>
        </w:tc>
        <w:tc>
          <w:tcPr>
            <w:tcW w:w="2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96,842.87</w:t>
            </w:r>
          </w:p>
        </w:tc>
        <w:tc>
          <w:tcPr>
            <w:tcW w:w="2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注：本表反映部门本年度一般公共预算财政拨款支出明细情况（其中包括基本支出明细情况）。</w:t>
            </w:r>
          </w:p>
        </w:tc>
      </w:tr>
    </w:tbl>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0"/>
          <w:szCs w:val="10"/>
          <w:lang w:eastAsia="zh-CN"/>
        </w:rPr>
      </w:pPr>
    </w:p>
    <w:p>
      <w:pPr>
        <w:rPr>
          <w:sz w:val="10"/>
          <w:szCs w:val="10"/>
        </w:rPr>
      </w:pPr>
    </w:p>
    <w:p>
      <w:pPr>
        <w:rPr>
          <w:sz w:val="13"/>
          <w:szCs w:val="13"/>
        </w:rPr>
      </w:pPr>
    </w:p>
    <w:p>
      <w:pPr>
        <w:rPr>
          <w:sz w:val="13"/>
          <w:szCs w:val="13"/>
        </w:rPr>
      </w:pPr>
    </w:p>
    <w:p>
      <w:pPr>
        <w:rPr>
          <w:sz w:val="13"/>
          <w:szCs w:val="13"/>
        </w:rPr>
      </w:pPr>
    </w:p>
    <w:p>
      <w:pPr>
        <w:rPr>
          <w:sz w:val="13"/>
          <w:szCs w:val="13"/>
        </w:r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16"/>
        <w:gridCol w:w="1231"/>
        <w:gridCol w:w="1130"/>
        <w:gridCol w:w="1131"/>
        <w:gridCol w:w="1134"/>
        <w:gridCol w:w="1137"/>
        <w:gridCol w:w="1131"/>
        <w:gridCol w:w="1232"/>
        <w:gridCol w:w="1131"/>
        <w:gridCol w:w="1131"/>
        <w:gridCol w:w="1134"/>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5000" w:type="pct"/>
            <w:gridSpan w:val="12"/>
            <w:tcBorders>
              <w:top w:val="nil"/>
              <w:left w:val="nil"/>
              <w:bottom w:val="nil"/>
              <w:right w:val="nil"/>
            </w:tcBorders>
            <w:shd w:val="clear" w:color="auto" w:fill="auto"/>
            <w:noWrap/>
            <w:vAlign w:val="bottom"/>
          </w:tcPr>
          <w:p>
            <w:pPr>
              <w:pStyle w:val="3"/>
              <w:bidi w:val="0"/>
              <w:jc w:val="center"/>
              <w:rPr>
                <w:rFonts w:hint="eastAsia" w:ascii="宋体" w:hAnsi="宋体" w:eastAsia="宋体" w:cs="宋体"/>
                <w:i w:val="0"/>
                <w:iCs w:val="0"/>
                <w:color w:val="000000"/>
                <w:szCs w:val="44"/>
                <w:u w:val="none"/>
              </w:rPr>
            </w:pPr>
            <w:bookmarkStart w:id="10" w:name="_Toc22960"/>
            <w:r>
              <w:rPr>
                <w:rFonts w:hint="eastAsia"/>
                <w:b w:val="0"/>
                <w:bCs/>
                <w:lang w:val="en-US" w:eastAsia="zh-CN"/>
              </w:rPr>
              <w:t>一般公共预算财政拨款“三公”经费支出决算表</w:t>
            </w:r>
            <w:bookmarkEnd w:id="1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81"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8"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81"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部门：大同市行政拘留所</w:t>
            </w: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8"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31" w:type="pct"/>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2368" w:type="pct"/>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1"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1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1150"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38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38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1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1150"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41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681"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38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8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41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1" w:type="pc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1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1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1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1"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rPr>
          <w:rFonts w:hint="default" w:eastAsia="宋体"/>
          <w:sz w:val="28"/>
          <w:szCs w:val="28"/>
          <w:lang w:val="en-US" w:eastAsia="zh-CN"/>
        </w:rPr>
      </w:pPr>
      <w:r>
        <w:rPr>
          <w:rFonts w:hint="eastAsia"/>
          <w:sz w:val="28"/>
          <w:szCs w:val="28"/>
          <w:lang w:val="en-US" w:eastAsia="zh-CN"/>
        </w:rPr>
        <w:t>说明：大同市行政拘留所没有“三公”经费预算安排的支出，故本表无数据。</w:t>
      </w: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359"/>
        <w:gridCol w:w="307"/>
        <w:gridCol w:w="310"/>
        <w:gridCol w:w="1526"/>
        <w:gridCol w:w="1526"/>
        <w:gridCol w:w="1526"/>
        <w:gridCol w:w="1526"/>
        <w:gridCol w:w="1526"/>
        <w:gridCol w:w="1530"/>
        <w:gridCol w:w="22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5000" w:type="pct"/>
            <w:gridSpan w:val="10"/>
            <w:tcBorders>
              <w:top w:val="nil"/>
              <w:left w:val="nil"/>
              <w:bottom w:val="nil"/>
              <w:right w:val="nil"/>
            </w:tcBorders>
            <w:shd w:val="clear" w:color="auto" w:fill="auto"/>
            <w:noWrap/>
            <w:vAlign w:val="bottom"/>
          </w:tcPr>
          <w:p>
            <w:pPr>
              <w:pStyle w:val="3"/>
              <w:bidi w:val="0"/>
              <w:jc w:val="center"/>
              <w:rPr>
                <w:rFonts w:hint="eastAsia" w:ascii="宋体" w:hAnsi="宋体" w:eastAsia="宋体" w:cs="宋体"/>
                <w:i w:val="0"/>
                <w:iCs w:val="0"/>
                <w:color w:val="000000"/>
                <w:szCs w:val="30"/>
                <w:u w:val="none"/>
              </w:rPr>
            </w:pPr>
            <w:bookmarkStart w:id="11" w:name="_Toc24030"/>
            <w:r>
              <w:rPr>
                <w:rFonts w:hint="eastAsia"/>
                <w:b w:val="0"/>
                <w:bCs/>
                <w:lang w:val="en-US" w:eastAsia="zh-CN"/>
              </w:rPr>
              <w:t>政府性基金预算财政拨款收入支出决算表</w:t>
            </w:r>
            <w:bookmarkEnd w:id="1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094"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2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094"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部门：大同市行政拘留所</w:t>
            </w:r>
          </w:p>
        </w:tc>
        <w:tc>
          <w:tcPr>
            <w:tcW w:w="1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2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92"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9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49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1492"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72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5"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96"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9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49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49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72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5"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6"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2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5"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6"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2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92"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92"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7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5"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5"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5"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5"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5"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5"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rPr>
          <w:rFonts w:hint="default" w:eastAsia="宋体"/>
          <w:sz w:val="24"/>
          <w:szCs w:val="24"/>
          <w:lang w:val="en-US" w:eastAsia="zh-CN"/>
        </w:rPr>
      </w:pPr>
      <w:r>
        <w:rPr>
          <w:rFonts w:hint="eastAsia"/>
          <w:sz w:val="24"/>
          <w:szCs w:val="24"/>
          <w:lang w:val="en-US" w:eastAsia="zh-CN"/>
        </w:rPr>
        <w:t>说明：大同市行政拘留所没有使用政府性基金预算安排的支出，故本表无数据。</w:t>
      </w: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90"/>
        <w:gridCol w:w="439"/>
        <w:gridCol w:w="439"/>
        <w:gridCol w:w="2174"/>
        <w:gridCol w:w="2177"/>
        <w:gridCol w:w="2177"/>
        <w:gridCol w:w="31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5000" w:type="pct"/>
            <w:gridSpan w:val="7"/>
            <w:tcBorders>
              <w:top w:val="nil"/>
              <w:left w:val="nil"/>
              <w:bottom w:val="nil"/>
              <w:right w:val="nil"/>
            </w:tcBorders>
            <w:shd w:val="clear" w:color="auto" w:fill="auto"/>
            <w:noWrap/>
            <w:vAlign w:val="bottom"/>
          </w:tcPr>
          <w:p>
            <w:pPr>
              <w:pStyle w:val="3"/>
              <w:bidi w:val="0"/>
              <w:jc w:val="center"/>
              <w:rPr>
                <w:rFonts w:hint="eastAsia" w:ascii="宋体" w:hAnsi="宋体" w:eastAsia="宋体" w:cs="宋体"/>
                <w:i w:val="0"/>
                <w:iCs w:val="0"/>
                <w:color w:val="000000"/>
                <w:szCs w:val="30"/>
                <w:u w:val="none"/>
              </w:rPr>
            </w:pPr>
            <w:bookmarkStart w:id="12" w:name="_Toc6429"/>
            <w:r>
              <w:rPr>
                <w:rFonts w:hint="eastAsia"/>
                <w:b w:val="0"/>
                <w:bCs/>
                <w:lang w:val="en-US" w:eastAsia="zh-CN"/>
              </w:rPr>
              <w:t>国有资本经营预算财政拨款支出决算表</w:t>
            </w:r>
            <w:bookmarkEnd w:id="1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560"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4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2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560"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部门：大同市行政拘留所</w:t>
            </w:r>
          </w:p>
        </w:tc>
        <w:tc>
          <w:tcPr>
            <w:tcW w:w="14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2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554"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445"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46"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707"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0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0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02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46"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7"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0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2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46"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7"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0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2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54"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2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54"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0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4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4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4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4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4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4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rPr>
          <w:sz w:val="13"/>
          <w:szCs w:val="13"/>
        </w:rPr>
      </w:pPr>
      <w:r>
        <w:rPr>
          <w:rFonts w:hint="eastAsia"/>
          <w:sz w:val="24"/>
          <w:szCs w:val="24"/>
          <w:lang w:val="en-US" w:eastAsia="zh-CN"/>
        </w:rPr>
        <w:t>说明：大同市行政拘留所没有使用国有资本经营预算安排的支出，故本表无数据。</w:t>
      </w:r>
    </w:p>
    <w:p>
      <w:pPr>
        <w:rPr>
          <w:sz w:val="13"/>
          <w:szCs w:val="13"/>
        </w:rPr>
      </w:pPr>
    </w:p>
    <w:p>
      <w:pPr>
        <w:rPr>
          <w:sz w:val="13"/>
          <w:szCs w:val="13"/>
        </w:rPr>
        <w:sectPr>
          <w:pgSz w:w="16838" w:h="11905" w:orient="landscape"/>
          <w:pgMar w:top="1083" w:right="850" w:bottom="1083" w:left="850" w:header="851" w:footer="992" w:gutter="0"/>
          <w:pgNumType w:fmt="decimal"/>
          <w:cols w:space="0" w:num="1"/>
          <w:rtlGutter w:val="0"/>
          <w:docGrid w:type="lines" w:linePitch="314" w:charSpace="0"/>
        </w:sectPr>
      </w:pP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296"/>
        <w:gridCol w:w="1726"/>
        <w:gridCol w:w="1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5000" w:type="pct"/>
            <w:gridSpan w:val="3"/>
            <w:tcBorders>
              <w:top w:val="nil"/>
              <w:left w:val="nil"/>
              <w:bottom w:val="nil"/>
              <w:right w:val="nil"/>
            </w:tcBorders>
            <w:shd w:val="clear" w:color="auto" w:fill="auto"/>
            <w:noWrap/>
            <w:vAlign w:val="bottom"/>
          </w:tcPr>
          <w:p>
            <w:pPr>
              <w:pStyle w:val="3"/>
              <w:bidi w:val="0"/>
              <w:jc w:val="center"/>
              <w:rPr>
                <w:rFonts w:hint="eastAsia" w:ascii="宋体" w:hAnsi="宋体" w:eastAsia="宋体" w:cs="宋体"/>
                <w:i w:val="0"/>
                <w:iCs w:val="0"/>
                <w:color w:val="000000"/>
                <w:szCs w:val="44"/>
                <w:u w:val="none"/>
              </w:rPr>
            </w:pPr>
            <w:bookmarkStart w:id="13" w:name="_Toc10296"/>
            <w:r>
              <w:rPr>
                <w:rFonts w:hint="eastAsia"/>
                <w:b w:val="0"/>
                <w:bCs/>
                <w:lang w:val="en-US" w:eastAsia="zh-CN"/>
              </w:rPr>
              <w:t>部门决算公开相关信息统计表</w:t>
            </w:r>
            <w:bookmarkEnd w:id="1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3162"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86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7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3162"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编制单位：大同市行政拘留所</w:t>
            </w:r>
          </w:p>
        </w:tc>
        <w:tc>
          <w:tcPr>
            <w:tcW w:w="867" w:type="pct"/>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2022年7月</w:t>
            </w:r>
          </w:p>
        </w:tc>
        <w:tc>
          <w:tcPr>
            <w:tcW w:w="97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一、政府采购情况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9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货物</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二、机关运行经费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67"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（一）行政单位</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（二）参照公务员法管理事业单位</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00" w:type="pct"/>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三、国有资产占用情况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（一）车辆数合计（辆）</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1.副部（省）级及以上领导用车</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2.主要领导干部用车</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3.机要通信用车</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4.应急保障用车</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5.执法执勤用车</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6.特种专业技术用车</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7.离退休干部用车</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8.其他用车</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（二）单价50万元以上通用设备（台、套）</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（三）单价100万元以上专用设备（台、套）</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0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注：本表反映部门本年度政府采购及机关运行经费和国有资产占用情况。</w:t>
            </w:r>
          </w:p>
        </w:tc>
      </w:tr>
    </w:tbl>
    <w:p>
      <w:pPr>
        <w:rPr>
          <w:sz w:val="13"/>
          <w:szCs w:val="13"/>
        </w:rPr>
      </w:pPr>
    </w:p>
    <w:p>
      <w:pPr>
        <w:rPr>
          <w:sz w:val="8"/>
          <w:szCs w:val="8"/>
        </w:rPr>
      </w:pPr>
    </w:p>
    <w:p>
      <w:pPr>
        <w:rPr>
          <w:sz w:val="8"/>
          <w:szCs w:val="8"/>
        </w:rPr>
      </w:pPr>
    </w:p>
    <w:p>
      <w:pPr>
        <w:rPr>
          <w:sz w:val="8"/>
          <w:szCs w:val="8"/>
        </w:rPr>
      </w:pPr>
    </w:p>
    <w:p>
      <w:pPr>
        <w:rPr>
          <w:sz w:val="8"/>
          <w:szCs w:val="8"/>
        </w:rPr>
      </w:pPr>
    </w:p>
    <w:p>
      <w:pPr>
        <w:rPr>
          <w:sz w:val="8"/>
          <w:szCs w:val="8"/>
        </w:rPr>
      </w:pPr>
    </w:p>
    <w:p>
      <w:pPr>
        <w:rPr>
          <w:sz w:val="8"/>
          <w:szCs w:val="8"/>
        </w:rPr>
      </w:pPr>
    </w:p>
    <w:p>
      <w:pPr>
        <w:rPr>
          <w:sz w:val="8"/>
          <w:szCs w:val="8"/>
        </w:rPr>
      </w:pPr>
    </w:p>
    <w:p>
      <w:pPr>
        <w:rPr>
          <w:sz w:val="8"/>
          <w:szCs w:val="8"/>
        </w:rPr>
      </w:pPr>
    </w:p>
    <w:p>
      <w:pPr>
        <w:rPr>
          <w:sz w:val="8"/>
          <w:szCs w:val="8"/>
        </w:rPr>
      </w:pPr>
    </w:p>
    <w:p>
      <w:pPr>
        <w:rPr>
          <w:sz w:val="8"/>
          <w:szCs w:val="8"/>
        </w:rPr>
      </w:pPr>
    </w:p>
    <w:p>
      <w:pPr>
        <w:rPr>
          <w:sz w:val="8"/>
          <w:szCs w:val="8"/>
        </w:rPr>
      </w:pPr>
    </w:p>
    <w:p>
      <w:pPr>
        <w:rPr>
          <w:sz w:val="8"/>
          <w:szCs w:val="8"/>
        </w:rPr>
      </w:pPr>
    </w:p>
    <w:p>
      <w:pPr>
        <w:rPr>
          <w:sz w:val="8"/>
          <w:szCs w:val="8"/>
        </w:rPr>
      </w:pPr>
    </w:p>
    <w:p>
      <w:pPr>
        <w:rPr>
          <w:sz w:val="10"/>
          <w:szCs w:val="10"/>
        </w:rPr>
      </w:pPr>
      <w:r>
        <w:rPr>
          <w:sz w:val="8"/>
          <w:szCs w:val="8"/>
        </w:rPr>
        <w:br w:type="page"/>
      </w:r>
    </w:p>
    <w:p>
      <w:pPr>
        <w:pStyle w:val="2"/>
        <w:bidi w:val="0"/>
        <w:jc w:val="center"/>
        <w:rPr>
          <w:rFonts w:asciiTheme="minorEastAsia" w:hAnsiTheme="minorEastAsia" w:eastAsiaTheme="minorEastAsia" w:cstheme="minorEastAsia"/>
          <w:b w:val="0"/>
          <w:bCs w:val="0"/>
          <w:sz w:val="36"/>
          <w:szCs w:val="36"/>
        </w:rPr>
      </w:pPr>
      <w:bookmarkStart w:id="14" w:name="_Toc12242"/>
      <w:r>
        <w:rPr>
          <w:rFonts w:hint="eastAsia"/>
          <w:b/>
          <w:sz w:val="36"/>
          <w:szCs w:val="36"/>
          <w:lang w:val="en-US" w:eastAsia="zh-CN"/>
        </w:rPr>
        <w:t>第三部分   2021年部门决算情况说明</w:t>
      </w:r>
      <w:bookmarkEnd w:id="14"/>
    </w:p>
    <w:p>
      <w:pPr>
        <w:pStyle w:val="3"/>
        <w:bidi w:val="0"/>
        <w:ind w:firstLine="640" w:firstLineChars="200"/>
        <w:rPr>
          <w:b w:val="0"/>
          <w:bCs/>
        </w:rPr>
      </w:pPr>
      <w:bookmarkStart w:id="15" w:name="_Toc21493"/>
      <w:r>
        <w:rPr>
          <w:rFonts w:hint="eastAsia"/>
          <w:b w:val="0"/>
          <w:bCs/>
          <w:lang w:val="en-US" w:eastAsia="zh-CN"/>
        </w:rPr>
        <w:t>一、</w:t>
      </w:r>
      <w:r>
        <w:rPr>
          <w:rFonts w:hint="eastAsia"/>
          <w:b w:val="0"/>
          <w:bCs/>
        </w:rPr>
        <w:t>收</w:t>
      </w:r>
      <w:r>
        <w:rPr>
          <w:rFonts w:hint="eastAsia"/>
          <w:b w:val="0"/>
          <w:bCs/>
          <w:lang w:val="en-US" w:eastAsia="zh-CN"/>
        </w:rPr>
        <w:t>入支出</w:t>
      </w:r>
      <w:r>
        <w:rPr>
          <w:rFonts w:hint="eastAsia"/>
          <w:b w:val="0"/>
          <w:bCs/>
        </w:rPr>
        <w:t>决算</w:t>
      </w:r>
      <w:r>
        <w:rPr>
          <w:rFonts w:hint="eastAsia"/>
          <w:b w:val="0"/>
          <w:bCs/>
          <w:lang w:val="en-US" w:eastAsia="zh-CN"/>
        </w:rPr>
        <w:t>总体情况说明</w:t>
      </w:r>
      <w:bookmarkEnd w:id="1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2021年度收入总计24.49万元，支出总计24.49万元，与上年比，收入总计减少6.92万元，下降22.03%，支出总计减少6.92万元，下降22.03%。主要原因是减少了人犯经费。</w:t>
      </w:r>
    </w:p>
    <w:p>
      <w:pPr>
        <w:pStyle w:val="3"/>
        <w:bidi w:val="0"/>
        <w:ind w:firstLine="640" w:firstLineChars="200"/>
        <w:rPr>
          <w:rFonts w:hint="eastAsia"/>
          <w:b w:val="0"/>
          <w:bCs/>
          <w:lang w:val="en-US" w:eastAsia="zh-CN"/>
        </w:rPr>
      </w:pPr>
      <w:bookmarkStart w:id="16" w:name="_Toc27052"/>
      <w:r>
        <w:rPr>
          <w:rFonts w:hint="eastAsia"/>
          <w:b w:val="0"/>
          <w:bCs/>
          <w:lang w:val="en-US" w:eastAsia="zh-CN"/>
        </w:rPr>
        <w:t>二、收入决算情况说明</w:t>
      </w:r>
      <w:bookmarkEnd w:id="16"/>
    </w:p>
    <w:p>
      <w:pPr>
        <w:spacing w:line="580" w:lineRule="exact"/>
        <w:ind w:firstLine="640" w:firstLineChars="200"/>
        <w:rPr>
          <w:rFonts w:hint="eastAsia" w:ascii="宋体" w:hAnsi="宋体" w:cs="宋体"/>
          <w:bCs/>
          <w:sz w:val="32"/>
          <w:szCs w:val="32"/>
        </w:rPr>
      </w:pPr>
      <w:r>
        <w:rPr>
          <w:rFonts w:hint="eastAsia" w:ascii="仿宋_GB2312" w:eastAsia="仿宋_GB2312"/>
          <w:sz w:val="32"/>
          <w:szCs w:val="32"/>
          <w:lang w:val="en-US" w:eastAsia="zh-CN"/>
        </w:rPr>
        <w:t>2021年度收入合计24.49万元，其中财政拨款收入24.49万元,占比100%。</w:t>
      </w:r>
    </w:p>
    <w:p>
      <w:pPr>
        <w:pStyle w:val="3"/>
        <w:bidi w:val="0"/>
        <w:ind w:firstLine="600" w:firstLineChars="200"/>
        <w:rPr>
          <w:rFonts w:hint="eastAsia"/>
          <w:b w:val="0"/>
          <w:bCs/>
          <w:sz w:val="30"/>
          <w:szCs w:val="30"/>
          <w:lang w:val="en-US" w:eastAsia="zh-CN"/>
        </w:rPr>
      </w:pPr>
      <w:bookmarkStart w:id="17" w:name="_Toc18775"/>
      <w:r>
        <w:rPr>
          <w:rFonts w:hint="eastAsia"/>
          <w:b w:val="0"/>
          <w:bCs/>
          <w:sz w:val="30"/>
          <w:szCs w:val="30"/>
          <w:lang w:val="en-US" w:eastAsia="zh-CN"/>
        </w:rPr>
        <w:t>三、支出决算情况说明</w:t>
      </w:r>
      <w:bookmarkEnd w:id="17"/>
    </w:p>
    <w:p>
      <w:pPr>
        <w:numPr>
          <w:ilvl w:val="0"/>
          <w:numId w:val="0"/>
        </w:numPr>
        <w:spacing w:line="580"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2021年度支出合计24.49万元，其中：基本支出0万元，占比0%；项目支出24.49万元，占比100%；</w:t>
      </w:r>
    </w:p>
    <w:p>
      <w:pPr>
        <w:pStyle w:val="3"/>
        <w:bidi w:val="0"/>
        <w:ind w:firstLine="600" w:firstLineChars="200"/>
        <w:rPr>
          <w:rFonts w:hint="eastAsia"/>
          <w:b w:val="0"/>
          <w:bCs/>
          <w:sz w:val="30"/>
          <w:szCs w:val="30"/>
          <w:lang w:val="en-US" w:eastAsia="zh-CN"/>
        </w:rPr>
      </w:pPr>
      <w:bookmarkStart w:id="18" w:name="_Toc4693"/>
      <w:r>
        <w:rPr>
          <w:rFonts w:hint="eastAsia"/>
          <w:b w:val="0"/>
          <w:bCs/>
          <w:sz w:val="30"/>
          <w:szCs w:val="30"/>
          <w:lang w:val="en-US" w:eastAsia="zh-CN"/>
        </w:rPr>
        <w:t>四、财政拨款收入支出决算总体情况说明</w:t>
      </w:r>
      <w:bookmarkEnd w:id="18"/>
    </w:p>
    <w:p>
      <w:pPr>
        <w:numPr>
          <w:ilvl w:val="0"/>
          <w:numId w:val="0"/>
        </w:numPr>
        <w:spacing w:line="580" w:lineRule="exact"/>
        <w:ind w:firstLine="640"/>
        <w:rPr>
          <w:rFonts w:hint="default" w:ascii="仿宋_GB2312" w:eastAsia="仿宋_GB2312"/>
          <w:sz w:val="32"/>
          <w:szCs w:val="32"/>
          <w:lang w:val="en-US" w:eastAsia="zh-CN"/>
        </w:rPr>
      </w:pPr>
      <w:r>
        <w:rPr>
          <w:rFonts w:hint="eastAsia" w:ascii="仿宋_GB2312" w:eastAsia="仿宋_GB2312"/>
          <w:sz w:val="32"/>
          <w:szCs w:val="32"/>
          <w:lang w:val="en-US" w:eastAsia="zh-CN"/>
        </w:rPr>
        <w:t>2021年度财政拨款收入总计24.49万元，支出总计24.49万元，与上年比，财政拨款收入总计减少6.92万元，下降22.03%，财政拨款支出总计减少6.92万元，下降22.03%。主要原因是减少了人犯经费。</w:t>
      </w:r>
    </w:p>
    <w:p>
      <w:pPr>
        <w:pStyle w:val="3"/>
        <w:bidi w:val="0"/>
        <w:ind w:firstLine="640" w:firstLineChars="200"/>
        <w:rPr>
          <w:rFonts w:hint="eastAsia"/>
          <w:b w:val="0"/>
          <w:bCs/>
          <w:lang w:val="en-US" w:eastAsia="zh-CN"/>
        </w:rPr>
      </w:pPr>
      <w:bookmarkStart w:id="19" w:name="_Toc24585"/>
      <w:r>
        <w:rPr>
          <w:rFonts w:hint="eastAsia"/>
          <w:b w:val="0"/>
          <w:bCs/>
          <w:lang w:val="en-US" w:eastAsia="zh-CN"/>
        </w:rPr>
        <w:t>五、一般公共预算财政拨款支出决算情况说明</w:t>
      </w:r>
      <w:bookmarkEnd w:id="19"/>
    </w:p>
    <w:p>
      <w:pPr>
        <w:pStyle w:val="9"/>
        <w:numPr>
          <w:ilvl w:val="0"/>
          <w:numId w:val="0"/>
        </w:numPr>
        <w:spacing w:line="580" w:lineRule="exact"/>
        <w:ind w:left="638" w:leftChars="304" w:firstLine="0" w:firstLineChars="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财政拨款支出决算总体情况</w:t>
      </w:r>
    </w:p>
    <w:p>
      <w:pPr>
        <w:spacing w:line="580" w:lineRule="exact"/>
        <w:ind w:firstLine="640" w:firstLineChars="200"/>
        <w:rPr>
          <w:rFonts w:hint="eastAsia" w:ascii="宋体" w:hAnsi="宋体" w:cs="宋体"/>
          <w:bCs/>
          <w:sz w:val="32"/>
          <w:szCs w:val="32"/>
          <w:lang w:val="en-US" w:eastAsia="zh-CN"/>
        </w:rPr>
      </w:pPr>
      <w:r>
        <w:rPr>
          <w:rFonts w:hint="eastAsia" w:ascii="仿宋_GB2312" w:eastAsia="仿宋_GB2312"/>
          <w:sz w:val="32"/>
          <w:szCs w:val="32"/>
          <w:lang w:val="en-US" w:eastAsia="zh-CN"/>
        </w:rPr>
        <w:t>2021年度财政拨款支出24.49万元，占本年支出合计的100%。与上年相比，财政拨款支出减少6.92万元，下降22.03%。主要原因是减少了人犯经费。</w:t>
      </w:r>
    </w:p>
    <w:p>
      <w:pPr>
        <w:numPr>
          <w:ilvl w:val="0"/>
          <w:numId w:val="2"/>
        </w:numPr>
        <w:spacing w:line="580" w:lineRule="exact"/>
        <w:ind w:firstLine="640" w:firstLineChars="200"/>
        <w:rPr>
          <w:rFonts w:hint="default" w:ascii="宋体" w:hAnsi="宋体" w:eastAsia="宋体" w:cs="宋体"/>
          <w:bCs/>
          <w:sz w:val="32"/>
          <w:szCs w:val="32"/>
          <w:lang w:val="en-US" w:eastAsia="zh-CN"/>
        </w:rPr>
      </w:pPr>
      <w:r>
        <w:rPr>
          <w:rFonts w:hint="eastAsia" w:ascii="黑体" w:hAnsi="黑体" w:eastAsia="黑体" w:cs="黑体"/>
          <w:b w:val="0"/>
          <w:bCs/>
          <w:sz w:val="32"/>
          <w:szCs w:val="32"/>
          <w:lang w:val="en-US" w:eastAsia="zh-CN"/>
        </w:rPr>
        <w:t>财政拨款支出决算结构情况</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2021年度财政拨款支出24.49万元，主要用于以下方面：公共安全支出24.49万元，占100%。</w:t>
      </w:r>
    </w:p>
    <w:p>
      <w:pPr>
        <w:numPr>
          <w:ilvl w:val="0"/>
          <w:numId w:val="0"/>
        </w:numPr>
        <w:spacing w:line="580" w:lineRule="exact"/>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（三）财政拨款支出决算具体情况</w:t>
      </w:r>
    </w:p>
    <w:p>
      <w:pPr>
        <w:numPr>
          <w:ilvl w:val="0"/>
          <w:numId w:val="0"/>
        </w:numPr>
        <w:spacing w:line="580" w:lineRule="exact"/>
        <w:ind w:firstLine="640" w:firstLineChars="200"/>
        <w:rPr>
          <w:rFonts w:hint="default" w:ascii="仿宋_GB2312" w:eastAsia="仿宋_GB2312"/>
          <w:sz w:val="32"/>
          <w:szCs w:val="32"/>
          <w:lang w:val="en-US" w:eastAsia="zh-CN"/>
        </w:rPr>
      </w:pPr>
      <w:r>
        <w:rPr>
          <w:rFonts w:hint="eastAsia" w:ascii="黑体" w:hAnsi="黑体" w:eastAsia="黑体" w:cs="黑体"/>
          <w:b w:val="0"/>
          <w:bCs/>
          <w:sz w:val="32"/>
          <w:szCs w:val="32"/>
          <w:lang w:val="en-US" w:eastAsia="zh-CN"/>
        </w:rPr>
        <w:t xml:space="preserve"> </w:t>
      </w:r>
      <w:r>
        <w:rPr>
          <w:rFonts w:hint="eastAsia" w:ascii="仿宋_GB2312" w:eastAsia="仿宋_GB2312"/>
          <w:sz w:val="32"/>
          <w:szCs w:val="32"/>
          <w:lang w:val="en-US" w:eastAsia="zh-CN"/>
        </w:rPr>
        <w:t>2021年度财政拨款支出年初预算134.85万元，支出决算24.49万元，完成年初预算的18.16%。公共安全支出年初预算134.85万元，支出决算24.49万元，完成年初预算的18.16%，用于人犯经费和专项业务费。较上年决算减少6.92万元，下降22.03%，主要原因是减少了人犯经费。</w:t>
      </w:r>
    </w:p>
    <w:p>
      <w:pPr>
        <w:pStyle w:val="3"/>
        <w:bidi w:val="0"/>
        <w:ind w:firstLine="640" w:firstLineChars="200"/>
        <w:rPr>
          <w:rFonts w:hint="eastAsia"/>
          <w:b w:val="0"/>
          <w:bCs/>
          <w:lang w:val="en-US" w:eastAsia="zh-CN"/>
        </w:rPr>
      </w:pPr>
      <w:bookmarkStart w:id="20" w:name="_Toc6867"/>
      <w:r>
        <w:rPr>
          <w:rFonts w:hint="eastAsia"/>
          <w:b w:val="0"/>
          <w:bCs/>
          <w:lang w:val="en-US" w:eastAsia="zh-CN"/>
        </w:rPr>
        <w:t>六、一般公共预算财政拨款基本支出决算情况说明</w:t>
      </w:r>
      <w:bookmarkEnd w:id="20"/>
    </w:p>
    <w:p>
      <w:pPr>
        <w:pStyle w:val="9"/>
        <w:numPr>
          <w:ilvl w:val="0"/>
          <w:numId w:val="0"/>
        </w:numPr>
        <w:spacing w:line="240" w:lineRule="auto"/>
        <w:ind w:firstLine="640" w:firstLineChars="200"/>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2021年度财政拨款基本支出0万元，本单位全部为项目支出。</w:t>
      </w:r>
    </w:p>
    <w:p>
      <w:pPr>
        <w:pStyle w:val="3"/>
        <w:bidi w:val="0"/>
        <w:ind w:firstLine="640" w:firstLineChars="200"/>
        <w:rPr>
          <w:rFonts w:hint="eastAsia"/>
          <w:b w:val="0"/>
          <w:bCs/>
          <w:lang w:val="en-US" w:eastAsia="zh-CN"/>
        </w:rPr>
      </w:pPr>
      <w:bookmarkStart w:id="21" w:name="_Toc25849"/>
      <w:r>
        <w:rPr>
          <w:rFonts w:hint="eastAsia"/>
          <w:b w:val="0"/>
          <w:bCs/>
          <w:lang w:val="en-US" w:eastAsia="zh-CN"/>
        </w:rPr>
        <w:t>七、一般公共预算财政拨款“三公”经费支出决算情况说明</w:t>
      </w:r>
      <w:bookmarkEnd w:id="21"/>
    </w:p>
    <w:p>
      <w:pPr>
        <w:pStyle w:val="9"/>
        <w:numPr>
          <w:ilvl w:val="0"/>
          <w:numId w:val="0"/>
        </w:numPr>
        <w:spacing w:line="240" w:lineRule="auto"/>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（一）“三公”经费财政拨款支出决算总体情况说明。</w:t>
      </w:r>
    </w:p>
    <w:p>
      <w:pPr>
        <w:pStyle w:val="9"/>
        <w:numPr>
          <w:ilvl w:val="0"/>
          <w:numId w:val="0"/>
        </w:numPr>
        <w:spacing w:line="240" w:lineRule="auto"/>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2021年大同市行政拘留所所向财政申请了专项经费，为人犯经费（伙食费）和人犯经费（公杂费），因公出国（境）费、公务接待费、公务用车购置费及公务用车运行维护费已包含在市公安局本级决算中。</w:t>
      </w:r>
    </w:p>
    <w:p>
      <w:pPr>
        <w:pStyle w:val="3"/>
        <w:bidi w:val="0"/>
        <w:ind w:firstLine="640" w:firstLineChars="200"/>
        <w:rPr>
          <w:rFonts w:hint="eastAsia"/>
          <w:b w:val="0"/>
          <w:bCs/>
          <w:lang w:val="en-US" w:eastAsia="zh-CN"/>
        </w:rPr>
      </w:pPr>
      <w:bookmarkStart w:id="22" w:name="_Toc9321"/>
      <w:r>
        <w:rPr>
          <w:rFonts w:hint="eastAsia"/>
          <w:b w:val="0"/>
          <w:bCs/>
          <w:lang w:val="en-US" w:eastAsia="zh-CN"/>
        </w:rPr>
        <w:t>八、其他重要事项情况说明</w:t>
      </w:r>
      <w:bookmarkEnd w:id="22"/>
    </w:p>
    <w:p>
      <w:pPr>
        <w:pStyle w:val="9"/>
        <w:numPr>
          <w:ilvl w:val="0"/>
          <w:numId w:val="0"/>
        </w:numPr>
        <w:spacing w:line="240" w:lineRule="auto"/>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（一）机关运行经费支出情况说明</w:t>
      </w:r>
    </w:p>
    <w:p>
      <w:pPr>
        <w:pStyle w:val="9"/>
        <w:numPr>
          <w:ilvl w:val="0"/>
          <w:numId w:val="0"/>
        </w:numPr>
        <w:spacing w:line="240" w:lineRule="auto"/>
        <w:rPr>
          <w:rFonts w:hint="eastAsia" w:ascii="仿宋_GB2312" w:hAnsi="Times New Roman" w:eastAsia="仿宋_GB2312" w:cs="Times New Roman"/>
          <w:kern w:val="2"/>
          <w:sz w:val="32"/>
          <w:szCs w:val="32"/>
          <w:lang w:val="en-US" w:eastAsia="zh-CN" w:bidi="ar-SA"/>
        </w:rPr>
      </w:pPr>
      <w:r>
        <w:rPr>
          <w:rFonts w:hint="eastAsia" w:ascii="宋体" w:hAnsi="宋体" w:cs="宋体"/>
          <w:b w:val="0"/>
          <w:bCs/>
          <w:sz w:val="32"/>
          <w:szCs w:val="32"/>
          <w:lang w:val="en-US" w:eastAsia="zh-CN"/>
        </w:rPr>
        <w:t xml:space="preserve">    </w:t>
      </w:r>
      <w:r>
        <w:rPr>
          <w:rFonts w:hint="eastAsia" w:ascii="仿宋_GB2312" w:hAnsi="Times New Roman" w:eastAsia="仿宋_GB2312" w:cs="Times New Roman"/>
          <w:kern w:val="2"/>
          <w:sz w:val="32"/>
          <w:szCs w:val="32"/>
          <w:lang w:val="en-US" w:eastAsia="zh-CN" w:bidi="ar-SA"/>
        </w:rPr>
        <w:t xml:space="preserve"> 本单位无机关运行经费，由市公安局保障。</w:t>
      </w:r>
    </w:p>
    <w:p>
      <w:pPr>
        <w:pStyle w:val="9"/>
        <w:numPr>
          <w:ilvl w:val="0"/>
          <w:numId w:val="0"/>
        </w:numPr>
        <w:spacing w:line="240" w:lineRule="auto"/>
        <w:ind w:leftChars="200" w:firstLine="320" w:firstLineChars="1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（二）政府采购情况说明</w:t>
      </w:r>
    </w:p>
    <w:p>
      <w:pPr>
        <w:pStyle w:val="9"/>
        <w:numPr>
          <w:ilvl w:val="0"/>
          <w:numId w:val="0"/>
        </w:numPr>
        <w:spacing w:line="240" w:lineRule="auto"/>
        <w:ind w:leftChars="200"/>
        <w:rPr>
          <w:rFonts w:hint="default" w:ascii="仿宋_GB2312" w:hAnsi="Times New Roman" w:eastAsia="仿宋_GB2312" w:cs="Times New Roman"/>
          <w:kern w:val="2"/>
          <w:sz w:val="32"/>
          <w:szCs w:val="32"/>
          <w:lang w:val="en-US" w:eastAsia="zh-CN" w:bidi="ar-SA"/>
        </w:rPr>
      </w:pPr>
      <w:r>
        <w:rPr>
          <w:rFonts w:hint="eastAsia" w:ascii="黑体" w:hAnsi="黑体" w:eastAsia="黑体" w:cs="黑体"/>
          <w:b w:val="0"/>
          <w:bCs/>
          <w:sz w:val="32"/>
          <w:szCs w:val="32"/>
          <w:lang w:val="en-US" w:eastAsia="zh-CN"/>
        </w:rPr>
        <w:t xml:space="preserve"> </w:t>
      </w:r>
      <w:r>
        <w:rPr>
          <w:rFonts w:hint="eastAsia" w:ascii="仿宋_GB2312" w:hAnsi="Times New Roman" w:eastAsia="仿宋_GB2312" w:cs="Times New Roman"/>
          <w:kern w:val="2"/>
          <w:sz w:val="32"/>
          <w:szCs w:val="32"/>
          <w:lang w:val="en-US" w:eastAsia="zh-CN" w:bidi="ar-SA"/>
        </w:rPr>
        <w:t xml:space="preserve">  2021年度政府采购支出总额无支出。</w:t>
      </w:r>
    </w:p>
    <w:p>
      <w:pPr>
        <w:pStyle w:val="9"/>
        <w:numPr>
          <w:ilvl w:val="0"/>
          <w:numId w:val="0"/>
        </w:numPr>
        <w:spacing w:line="240" w:lineRule="auto"/>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（三）国有资产占用情况说明</w:t>
      </w:r>
    </w:p>
    <w:p>
      <w:pPr>
        <w:pStyle w:val="9"/>
        <w:numPr>
          <w:ilvl w:val="0"/>
          <w:numId w:val="0"/>
        </w:numPr>
        <w:spacing w:line="240" w:lineRule="auto"/>
        <w:ind w:leftChars="200"/>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sz w:val="32"/>
          <w:szCs w:val="32"/>
          <w:lang w:val="en-US" w:eastAsia="zh-CN"/>
        </w:rPr>
        <w:t xml:space="preserve"> </w:t>
      </w:r>
      <w:r>
        <w:rPr>
          <w:rFonts w:hint="eastAsia" w:ascii="仿宋_GB2312" w:hAnsi="Times New Roman" w:eastAsia="仿宋_GB2312" w:cs="Times New Roman"/>
          <w:kern w:val="2"/>
          <w:sz w:val="32"/>
          <w:szCs w:val="32"/>
          <w:lang w:val="en-US" w:eastAsia="zh-CN" w:bidi="ar-SA"/>
        </w:rPr>
        <w:t xml:space="preserve">  本单位国有资产全部计入大同市公安局本级。</w:t>
      </w:r>
    </w:p>
    <w:p>
      <w:pPr>
        <w:pStyle w:val="9"/>
        <w:numPr>
          <w:ilvl w:val="0"/>
          <w:numId w:val="0"/>
        </w:numPr>
        <w:spacing w:line="240" w:lineRule="auto"/>
        <w:ind w:left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 xml:space="preserve"> （四）预算绩效情况说明</w:t>
      </w:r>
    </w:p>
    <w:p>
      <w:pPr>
        <w:numPr>
          <w:ilvl w:val="0"/>
          <w:numId w:val="0"/>
        </w:numPr>
        <w:spacing w:line="240" w:lineRule="auto"/>
        <w:ind w:firstLine="640" w:firstLineChars="200"/>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w:t>
      </w:r>
      <w:r>
        <w:rPr>
          <w:rFonts w:hint="eastAsia" w:ascii="黑体" w:hAnsi="黑体" w:eastAsia="黑体" w:cs="黑体"/>
          <w:bCs/>
          <w:sz w:val="32"/>
          <w:szCs w:val="32"/>
          <w:lang w:val="en-US" w:eastAsia="zh-CN"/>
        </w:rPr>
        <w:t>1</w:t>
      </w:r>
      <w:r>
        <w:rPr>
          <w:rFonts w:hint="eastAsia" w:ascii="黑体" w:hAnsi="黑体" w:eastAsia="黑体" w:cs="黑体"/>
          <w:bCs/>
          <w:sz w:val="32"/>
          <w:szCs w:val="32"/>
          <w:lang w:eastAsia="zh-CN"/>
        </w:rPr>
        <w:t>）</w:t>
      </w:r>
      <w:r>
        <w:rPr>
          <w:rFonts w:hint="eastAsia" w:ascii="黑体" w:hAnsi="黑体" w:eastAsia="黑体" w:cs="黑体"/>
          <w:bCs/>
          <w:sz w:val="32"/>
          <w:szCs w:val="32"/>
          <w:lang w:val="en-US" w:eastAsia="zh-CN"/>
        </w:rPr>
        <w:t>预算绩效管理工作开展情况。</w:t>
      </w:r>
    </w:p>
    <w:p>
      <w:pPr>
        <w:numPr>
          <w:ilvl w:val="0"/>
          <w:numId w:val="0"/>
        </w:numPr>
        <w:spacing w:line="240" w:lineRule="auto"/>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根据预算绩效管理要求，我部门组织对2021年度市级财政预算安排的专项资金类2个项目支出全面开展绩效自评，涉及预算资金24.49万元，占一般公共预算项目支出的总额的100%。</w:t>
      </w:r>
    </w:p>
    <w:p>
      <w:pPr>
        <w:numPr>
          <w:ilvl w:val="0"/>
          <w:numId w:val="0"/>
        </w:numPr>
        <w:spacing w:line="240" w:lineRule="auto"/>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组织对“人犯经费”和“专项业务费”开展了重点绩效评价。从评价情况来看，保障了羁押场所人员的安全，保障了羁押场所的正常运行，为维护社会稳定，打击犯罪提供了有力支撑。</w:t>
      </w:r>
    </w:p>
    <w:p>
      <w:pPr>
        <w:pStyle w:val="9"/>
        <w:numPr>
          <w:ilvl w:val="0"/>
          <w:numId w:val="0"/>
        </w:numPr>
        <w:spacing w:line="580" w:lineRule="exact"/>
        <w:ind w:left="840" w:leftChars="0"/>
        <w:rPr>
          <w:rFonts w:hint="eastAsia" w:ascii="仿宋_GB2312" w:hAnsi="Times New Roman" w:eastAsia="仿宋_GB2312" w:cs="Times New Roman"/>
          <w:kern w:val="2"/>
          <w:sz w:val="32"/>
          <w:szCs w:val="32"/>
          <w:lang w:val="en-US" w:eastAsia="zh-CN" w:bidi="ar-SA"/>
        </w:rPr>
      </w:pPr>
      <w:r>
        <w:rPr>
          <w:rFonts w:hint="eastAsia" w:ascii="宋体" w:hAnsi="宋体" w:cs="宋体"/>
          <w:b/>
          <w:bCs/>
          <w:sz w:val="32"/>
          <w:szCs w:val="32"/>
          <w:lang w:eastAsia="zh-CN"/>
        </w:rPr>
        <w:t>（</w:t>
      </w:r>
      <w:r>
        <w:rPr>
          <w:rFonts w:hint="eastAsia" w:ascii="宋体" w:hAnsi="宋体" w:cs="宋体"/>
          <w:b/>
          <w:bCs/>
          <w:sz w:val="32"/>
          <w:szCs w:val="32"/>
          <w:lang w:val="en-US" w:eastAsia="zh-CN"/>
        </w:rPr>
        <w:t>2</w:t>
      </w:r>
      <w:r>
        <w:rPr>
          <w:rFonts w:hint="eastAsia" w:ascii="宋体" w:hAnsi="宋体" w:cs="宋体"/>
          <w:b/>
          <w:bCs/>
          <w:sz w:val="32"/>
          <w:szCs w:val="32"/>
          <w:lang w:eastAsia="zh-CN"/>
        </w:rPr>
        <w:t>）</w:t>
      </w:r>
      <w:r>
        <w:rPr>
          <w:rFonts w:hint="eastAsia" w:ascii="宋体" w:hAnsi="宋体" w:cs="宋体"/>
          <w:b/>
          <w:bCs/>
          <w:sz w:val="32"/>
          <w:szCs w:val="32"/>
        </w:rPr>
        <w:t>部门决算中项目绩效自评结果。</w:t>
      </w:r>
    </w:p>
    <w:p>
      <w:pPr>
        <w:numPr>
          <w:ilvl w:val="0"/>
          <w:numId w:val="3"/>
        </w:numPr>
        <w:spacing w:line="240" w:lineRule="auto"/>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人犯经费自评综述：根据年初设定的绩效目标，项目自评得分为90分。全年预算数为2.81万元，执行数为2.81万元，完成预算的100%。项目绩效目标完成情况：看押人员的日常消耗品、药品等物资保障。</w:t>
      </w:r>
    </w:p>
    <w:tbl>
      <w:tblPr>
        <w:tblStyle w:val="7"/>
        <w:tblW w:w="9080" w:type="dxa"/>
        <w:jc w:val="center"/>
        <w:tblLayout w:type="fixed"/>
        <w:tblCellMar>
          <w:top w:w="0" w:type="dxa"/>
          <w:left w:w="108" w:type="dxa"/>
          <w:bottom w:w="0" w:type="dxa"/>
          <w:right w:w="108" w:type="dxa"/>
        </w:tblCellMar>
      </w:tblPr>
      <w:tblGrid>
        <w:gridCol w:w="588"/>
        <w:gridCol w:w="980"/>
        <w:gridCol w:w="66"/>
        <w:gridCol w:w="1046"/>
        <w:gridCol w:w="730"/>
        <w:gridCol w:w="1134"/>
        <w:gridCol w:w="521"/>
        <w:gridCol w:w="851"/>
        <w:gridCol w:w="850"/>
        <w:gridCol w:w="46"/>
        <w:gridCol w:w="521"/>
        <w:gridCol w:w="188"/>
        <w:gridCol w:w="237"/>
        <w:gridCol w:w="614"/>
        <w:gridCol w:w="708"/>
      </w:tblGrid>
      <w:tr>
        <w:tblPrEx>
          <w:tblCellMar>
            <w:top w:w="0" w:type="dxa"/>
            <w:left w:w="108" w:type="dxa"/>
            <w:bottom w:w="0" w:type="dxa"/>
            <w:right w:w="108" w:type="dxa"/>
          </w:tblCellMar>
        </w:tblPrEx>
        <w:trPr>
          <w:trHeight w:val="529" w:hRule="exact"/>
          <w:jc w:val="center"/>
        </w:trPr>
        <w:tc>
          <w:tcPr>
            <w:tcW w:w="9080" w:type="dxa"/>
            <w:gridSpan w:val="15"/>
            <w:tcBorders>
              <w:top w:val="nil"/>
              <w:left w:val="nil"/>
              <w:bottom w:val="nil"/>
              <w:right w:val="nil"/>
            </w:tcBorders>
            <w:vAlign w:val="center"/>
          </w:tcPr>
          <w:p>
            <w:pPr>
              <w:widowControl/>
              <w:spacing w:line="320" w:lineRule="exact"/>
              <w:jc w:val="center"/>
              <w:rPr>
                <w:rFonts w:ascii="宋体" w:hAnsi="宋体" w:cs="宋体"/>
                <w:b/>
                <w:bCs/>
                <w:kern w:val="0"/>
                <w:sz w:val="32"/>
                <w:szCs w:val="32"/>
              </w:rPr>
            </w:pPr>
            <w:r>
              <w:rPr>
                <w:rFonts w:hint="eastAsia" w:ascii="华文中宋" w:hAnsi="华文中宋" w:eastAsia="华文中宋" w:cs="华文中宋"/>
                <w:b/>
                <w:bCs/>
                <w:kern w:val="0"/>
                <w:sz w:val="28"/>
                <w:szCs w:val="28"/>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5"/>
            <w:tcBorders>
              <w:top w:val="nil"/>
              <w:left w:val="nil"/>
              <w:bottom w:val="nil"/>
              <w:right w:val="nil"/>
            </w:tcBorders>
          </w:tcPr>
          <w:p>
            <w:pPr>
              <w:widowControl/>
              <w:rPr>
                <w:rFonts w:ascii="宋体" w:hAnsi="宋体" w:cs="宋体"/>
                <w:kern w:val="0"/>
                <w:sz w:val="22"/>
                <w:szCs w:val="22"/>
              </w:rPr>
            </w:pPr>
            <w:r>
              <w:rPr>
                <w:rFonts w:hint="eastAsia" w:ascii="宋体" w:hAnsi="宋体" w:cs="宋体"/>
                <w:kern w:val="0"/>
                <w:sz w:val="22"/>
                <w:szCs w:val="22"/>
              </w:rPr>
              <w:t>填列单位（公章）：                （  2021 年度）</w:t>
            </w:r>
          </w:p>
        </w:tc>
      </w:tr>
      <w:tr>
        <w:tblPrEx>
          <w:tblCellMar>
            <w:top w:w="0" w:type="dxa"/>
            <w:left w:w="108" w:type="dxa"/>
            <w:bottom w:w="0" w:type="dxa"/>
            <w:right w:w="108" w:type="dxa"/>
          </w:tblCellMar>
        </w:tblPrEx>
        <w:trPr>
          <w:trHeight w:val="32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7512"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人犯经费</w:t>
            </w:r>
          </w:p>
        </w:tc>
      </w:tr>
      <w:tr>
        <w:tblPrEx>
          <w:tblCellMar>
            <w:top w:w="0" w:type="dxa"/>
            <w:left w:w="108" w:type="dxa"/>
            <w:bottom w:w="0" w:type="dxa"/>
            <w:right w:w="108" w:type="dxa"/>
          </w:tblCellMar>
        </w:tblPrEx>
        <w:trPr>
          <w:trHeight w:val="38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434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大同市公安局</w:t>
            </w: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6"/>
                <w:szCs w:val="16"/>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rPr>
              <w:t>大同市</w:t>
            </w:r>
            <w:r>
              <w:rPr>
                <w:rFonts w:hint="eastAsia" w:ascii="宋体" w:hAnsi="宋体" w:cs="宋体"/>
                <w:kern w:val="0"/>
                <w:sz w:val="18"/>
                <w:szCs w:val="18"/>
                <w:lang w:val="en-US" w:eastAsia="zh-CN"/>
              </w:rPr>
              <w:t>行政拘留所</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项目资金</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（万元）</w:t>
            </w:r>
          </w:p>
        </w:tc>
        <w:tc>
          <w:tcPr>
            <w:tcW w:w="184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t>
            </w: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CellMar>
            <w:top w:w="0" w:type="dxa"/>
            <w:left w:w="108" w:type="dxa"/>
            <w:bottom w:w="0" w:type="dxa"/>
            <w:right w:w="108" w:type="dxa"/>
          </w:tblCellMar>
        </w:tblPrEx>
        <w:trPr>
          <w:trHeight w:val="24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42"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2.81</w:t>
            </w: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2.81</w:t>
            </w: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2.81</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4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4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4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5328"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16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CellMar>
            <w:top w:w="0" w:type="dxa"/>
            <w:left w:w="108" w:type="dxa"/>
            <w:bottom w:w="0" w:type="dxa"/>
            <w:right w:w="108" w:type="dxa"/>
          </w:tblCellMar>
        </w:tblPrEx>
        <w:trPr>
          <w:trHeight w:val="597"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328"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保障在押人员合法权益</w:t>
            </w:r>
          </w:p>
        </w:tc>
        <w:tc>
          <w:tcPr>
            <w:tcW w:w="316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保障了在押人员的基本物资需求</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111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偏差原因分析及改进措施</w:t>
            </w:r>
          </w:p>
        </w:tc>
      </w:tr>
      <w:tr>
        <w:tblPrEx>
          <w:tblCellMar>
            <w:top w:w="0" w:type="dxa"/>
            <w:left w:w="108" w:type="dxa"/>
            <w:bottom w:w="0" w:type="dxa"/>
            <w:right w:w="108" w:type="dxa"/>
          </w:tblCellMar>
        </w:tblPrEx>
        <w:trPr>
          <w:trHeight w:val="54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在押人员数量</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不适用公开</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不适用公开</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保障</w:t>
            </w:r>
            <w:r>
              <w:rPr>
                <w:rFonts w:hint="eastAsia" w:ascii="宋体" w:hAnsi="宋体" w:cs="宋体"/>
                <w:color w:val="000000"/>
                <w:kern w:val="0"/>
                <w:sz w:val="18"/>
                <w:szCs w:val="18"/>
                <w:lang w:val="en-US" w:eastAsia="zh-CN"/>
              </w:rPr>
              <w:t>在押人员合法权益</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保障</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保障</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746"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按序时进度支付</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2021年1-12月</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2021年1-12月</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项目预算</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2.81</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2.81</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906"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维护</w:t>
            </w:r>
            <w:r>
              <w:rPr>
                <w:rFonts w:hint="eastAsia" w:ascii="宋体" w:hAnsi="宋体" w:cs="宋体"/>
                <w:color w:val="000000"/>
                <w:kern w:val="0"/>
                <w:sz w:val="18"/>
                <w:szCs w:val="18"/>
                <w:lang w:val="en-US" w:eastAsia="zh-CN"/>
              </w:rPr>
              <w:t>拘押场所</w:t>
            </w:r>
            <w:r>
              <w:rPr>
                <w:rFonts w:hint="eastAsia" w:ascii="宋体" w:hAnsi="宋体" w:cs="宋体"/>
                <w:color w:val="000000"/>
                <w:kern w:val="0"/>
                <w:sz w:val="18"/>
                <w:szCs w:val="18"/>
              </w:rPr>
              <w:t>稳定</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维护</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维护</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9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可持续影响指标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79"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lang w:val="en-US" w:eastAsia="zh-CN"/>
              </w:rPr>
              <w:t>在押人员</w:t>
            </w:r>
            <w:r>
              <w:rPr>
                <w:rFonts w:hint="eastAsia" w:ascii="宋体" w:hAnsi="宋体" w:cs="宋体"/>
                <w:color w:val="000000"/>
                <w:kern w:val="0"/>
                <w:sz w:val="18"/>
                <w:szCs w:val="18"/>
              </w:rPr>
              <w:t>满意度</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w:t>
            </w:r>
            <w:r>
              <w:rPr>
                <w:rFonts w:hint="eastAsia" w:ascii="宋体" w:hAnsi="宋体" w:cs="宋体"/>
                <w:kern w:val="0"/>
                <w:sz w:val="18"/>
                <w:szCs w:val="18"/>
                <w:lang w:val="en-US" w:eastAsia="zh-CN"/>
              </w:rPr>
              <w:t>0</w:t>
            </w:r>
            <w:r>
              <w:rPr>
                <w:rFonts w:hint="eastAsia" w:ascii="宋体" w:hAnsi="宋体" w:cs="宋体"/>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89</w:t>
            </w:r>
            <w:r>
              <w:rPr>
                <w:rFonts w:hint="eastAsia" w:ascii="宋体" w:hAnsi="宋体" w:cs="宋体"/>
                <w:kern w:val="0"/>
                <w:sz w:val="18"/>
                <w:szCs w:val="18"/>
              </w:rPr>
              <w:t>%</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6766"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9</w:t>
            </w:r>
            <w:r>
              <w:rPr>
                <w:rFonts w:hint="eastAsia" w:ascii="宋体" w:hAnsi="宋体" w:cs="宋体"/>
                <w:color w:val="000000"/>
                <w:kern w:val="0"/>
                <w:sz w:val="18"/>
                <w:szCs w:val="18"/>
                <w:lang w:val="en-US" w:eastAsia="zh-CN"/>
              </w:rPr>
              <w:t>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135" w:hRule="atLeast"/>
          <w:jc w:val="center"/>
        </w:trPr>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项目绩效分析</w:t>
            </w:r>
          </w:p>
        </w:tc>
        <w:tc>
          <w:tcPr>
            <w:tcW w:w="104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自评结果分析</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项目实施和预算执行情况及分析</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项目用于</w:t>
            </w:r>
            <w:r>
              <w:rPr>
                <w:rFonts w:hint="eastAsia" w:ascii="宋体" w:hAnsi="宋体" w:cs="宋体"/>
                <w:kern w:val="0"/>
                <w:sz w:val="18"/>
                <w:szCs w:val="18"/>
                <w:lang w:val="en-US" w:eastAsia="zh-CN"/>
              </w:rPr>
              <w:t>保障在押人员合法权益</w:t>
            </w:r>
            <w:r>
              <w:rPr>
                <w:rFonts w:hint="eastAsia" w:ascii="宋体" w:hAnsi="宋体" w:cs="宋体"/>
                <w:kern w:val="0"/>
                <w:sz w:val="18"/>
                <w:szCs w:val="18"/>
              </w:rPr>
              <w:t>，全年预算</w:t>
            </w:r>
            <w:r>
              <w:rPr>
                <w:rFonts w:hint="eastAsia" w:ascii="宋体" w:hAnsi="宋体" w:cs="宋体"/>
                <w:kern w:val="0"/>
                <w:sz w:val="18"/>
                <w:szCs w:val="18"/>
                <w:lang w:val="en-US" w:eastAsia="zh-CN"/>
              </w:rPr>
              <w:t>2.81</w:t>
            </w:r>
            <w:r>
              <w:rPr>
                <w:rFonts w:hint="eastAsia" w:ascii="宋体" w:hAnsi="宋体" w:cs="宋体"/>
                <w:kern w:val="0"/>
                <w:sz w:val="18"/>
                <w:szCs w:val="18"/>
              </w:rPr>
              <w:t>万元。全年执行数</w:t>
            </w:r>
            <w:r>
              <w:rPr>
                <w:rFonts w:hint="eastAsia" w:ascii="宋体" w:hAnsi="宋体" w:cs="宋体"/>
                <w:kern w:val="0"/>
                <w:sz w:val="18"/>
                <w:szCs w:val="18"/>
                <w:lang w:val="en-US" w:eastAsia="zh-CN"/>
              </w:rPr>
              <w:t>2.81</w:t>
            </w:r>
            <w:r>
              <w:rPr>
                <w:rFonts w:hint="eastAsia" w:ascii="宋体" w:hAnsi="宋体" w:cs="宋体"/>
                <w:kern w:val="0"/>
                <w:sz w:val="18"/>
                <w:szCs w:val="18"/>
              </w:rPr>
              <w:t>万元,执行率为100%</w:t>
            </w:r>
          </w:p>
        </w:tc>
      </w:tr>
      <w:tr>
        <w:tblPrEx>
          <w:tblCellMar>
            <w:top w:w="0" w:type="dxa"/>
            <w:left w:w="108" w:type="dxa"/>
            <w:bottom w:w="0" w:type="dxa"/>
            <w:right w:w="108" w:type="dxa"/>
          </w:tblCellMar>
        </w:tblPrEx>
        <w:trPr>
          <w:trHeight w:val="855" w:hRule="atLeas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产出情况及分析</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不适用公开</w:t>
            </w:r>
          </w:p>
        </w:tc>
      </w:tr>
      <w:tr>
        <w:tblPrEx>
          <w:tblCellMar>
            <w:top w:w="0" w:type="dxa"/>
            <w:left w:w="108" w:type="dxa"/>
            <w:bottom w:w="0" w:type="dxa"/>
            <w:right w:w="108" w:type="dxa"/>
          </w:tblCellMar>
        </w:tblPrEx>
        <w:trPr>
          <w:trHeight w:val="850" w:hRule="atLeas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效益情况及分析</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进一步维护了</w:t>
            </w:r>
            <w:r>
              <w:rPr>
                <w:rFonts w:hint="eastAsia" w:ascii="宋体" w:hAnsi="宋体" w:cs="宋体"/>
                <w:color w:val="000000"/>
                <w:kern w:val="0"/>
                <w:sz w:val="18"/>
                <w:szCs w:val="18"/>
                <w:lang w:val="en-US" w:eastAsia="zh-CN"/>
              </w:rPr>
              <w:t>拘押场所的</w:t>
            </w:r>
            <w:r>
              <w:rPr>
                <w:rFonts w:hint="eastAsia" w:ascii="宋体" w:hAnsi="宋体" w:cs="宋体"/>
                <w:color w:val="000000"/>
                <w:kern w:val="0"/>
                <w:sz w:val="18"/>
                <w:szCs w:val="18"/>
              </w:rPr>
              <w:t>稳定。</w:t>
            </w:r>
          </w:p>
        </w:tc>
      </w:tr>
      <w:tr>
        <w:tblPrEx>
          <w:tblCellMar>
            <w:top w:w="0" w:type="dxa"/>
            <w:left w:w="108" w:type="dxa"/>
            <w:bottom w:w="0" w:type="dxa"/>
            <w:right w:w="108" w:type="dxa"/>
          </w:tblCellMar>
        </w:tblPrEx>
        <w:trPr>
          <w:trHeight w:val="775" w:hRule="atLeas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满意度情况及分析</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相关人员的满意度达到了</w:t>
            </w:r>
            <w:r>
              <w:rPr>
                <w:rFonts w:hint="eastAsia" w:ascii="宋体" w:hAnsi="宋体" w:cs="宋体"/>
                <w:color w:val="000000"/>
                <w:kern w:val="0"/>
                <w:sz w:val="18"/>
                <w:szCs w:val="18"/>
                <w:lang w:val="en-US" w:eastAsia="zh-CN"/>
              </w:rPr>
              <w:t>90</w:t>
            </w: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704"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主要经验做法</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按照项目资金管理办法执行，专款专用。</w:t>
            </w:r>
          </w:p>
        </w:tc>
      </w:tr>
      <w:tr>
        <w:tblPrEx>
          <w:tblCellMar>
            <w:top w:w="0" w:type="dxa"/>
            <w:left w:w="108" w:type="dxa"/>
            <w:bottom w:w="0" w:type="dxa"/>
            <w:right w:w="108" w:type="dxa"/>
          </w:tblCellMar>
        </w:tblPrEx>
        <w:trPr>
          <w:trHeight w:val="569"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项目管理中存在的</w:t>
            </w:r>
          </w:p>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主要问题及原因分析</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2340" w:firstLineChars="1300"/>
              <w:jc w:val="both"/>
              <w:rPr>
                <w:rFonts w:ascii="宋体" w:hAnsi="宋体" w:cs="宋体"/>
                <w:kern w:val="0"/>
                <w:sz w:val="18"/>
                <w:szCs w:val="18"/>
              </w:rPr>
            </w:pPr>
            <w:r>
              <w:rPr>
                <w:rFonts w:hint="eastAsia" w:ascii="宋体" w:hAnsi="宋体" w:cs="宋体"/>
                <w:kern w:val="0"/>
                <w:sz w:val="18"/>
                <w:szCs w:val="18"/>
              </w:rPr>
              <w:t>加强管理</w:t>
            </w:r>
            <w:r>
              <w:rPr>
                <w:rFonts w:hint="eastAsia" w:ascii="宋体" w:hAnsi="宋体" w:cs="宋体"/>
                <w:kern w:val="0"/>
                <w:sz w:val="18"/>
                <w:szCs w:val="18"/>
                <w:lang w:eastAsia="zh-CN"/>
              </w:rPr>
              <w:t>，</w:t>
            </w:r>
            <w:r>
              <w:rPr>
                <w:rFonts w:hint="eastAsia" w:ascii="宋体" w:hAnsi="宋体" w:cs="宋体"/>
                <w:kern w:val="0"/>
                <w:sz w:val="18"/>
                <w:szCs w:val="18"/>
              </w:rPr>
              <w:t>完善流程。</w:t>
            </w:r>
          </w:p>
        </w:tc>
      </w:tr>
      <w:tr>
        <w:tblPrEx>
          <w:tblCellMar>
            <w:top w:w="0" w:type="dxa"/>
            <w:left w:w="108" w:type="dxa"/>
            <w:bottom w:w="0" w:type="dxa"/>
            <w:right w:w="108" w:type="dxa"/>
          </w:tblCellMar>
        </w:tblPrEx>
        <w:trPr>
          <w:trHeight w:val="783"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下一步改进措施及</w:t>
            </w:r>
          </w:p>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管理建议</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加强管理，提高协调合作。</w:t>
            </w:r>
          </w:p>
        </w:tc>
      </w:tr>
    </w:tbl>
    <w:p>
      <w:pPr>
        <w:numPr>
          <w:ilvl w:val="0"/>
          <w:numId w:val="0"/>
        </w:numPr>
        <w:spacing w:line="240" w:lineRule="auto"/>
        <w:ind w:firstLine="640" w:firstLineChars="200"/>
        <w:rPr>
          <w:rFonts w:hint="eastAsia" w:ascii="仿宋_GB2312" w:hAnsi="Times New Roman" w:eastAsia="仿宋_GB2312" w:cs="Times New Roman"/>
          <w:kern w:val="2"/>
          <w:sz w:val="32"/>
          <w:szCs w:val="32"/>
          <w:lang w:val="en-US" w:eastAsia="zh-CN" w:bidi="ar-SA"/>
        </w:rPr>
      </w:pPr>
    </w:p>
    <w:p>
      <w:pPr>
        <w:numPr>
          <w:ilvl w:val="0"/>
          <w:numId w:val="4"/>
        </w:numPr>
        <w:spacing w:line="240" w:lineRule="auto"/>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专项业务费自评综述：根据年初设定的绩效目标，项目自评得分为95分。全年预算数为21.68万元，执行数为21.68万元，完成预算的100%。项目绩效目标完成情况：保障拘押场所正常运转。</w:t>
      </w:r>
    </w:p>
    <w:p>
      <w:pPr>
        <w:numPr>
          <w:ilvl w:val="0"/>
          <w:numId w:val="0"/>
        </w:numPr>
        <w:spacing w:line="240" w:lineRule="auto"/>
        <w:rPr>
          <w:rFonts w:hint="default" w:ascii="仿宋_GB2312" w:hAnsi="Times New Roman" w:eastAsia="仿宋_GB2312" w:cs="Times New Roman"/>
          <w:kern w:val="2"/>
          <w:sz w:val="32"/>
          <w:szCs w:val="32"/>
          <w:lang w:val="en-US" w:eastAsia="zh-CN" w:bidi="ar-SA"/>
        </w:rPr>
      </w:pPr>
    </w:p>
    <w:tbl>
      <w:tblPr>
        <w:tblStyle w:val="7"/>
        <w:tblW w:w="9080" w:type="dxa"/>
        <w:jc w:val="center"/>
        <w:tblLayout w:type="fixed"/>
        <w:tblCellMar>
          <w:top w:w="0" w:type="dxa"/>
          <w:left w:w="108" w:type="dxa"/>
          <w:bottom w:w="0" w:type="dxa"/>
          <w:right w:w="108" w:type="dxa"/>
        </w:tblCellMar>
      </w:tblPr>
      <w:tblGrid>
        <w:gridCol w:w="588"/>
        <w:gridCol w:w="650"/>
        <w:gridCol w:w="567"/>
        <w:gridCol w:w="65"/>
        <w:gridCol w:w="1540"/>
        <w:gridCol w:w="1134"/>
        <w:gridCol w:w="521"/>
        <w:gridCol w:w="851"/>
        <w:gridCol w:w="850"/>
        <w:gridCol w:w="46"/>
        <w:gridCol w:w="521"/>
        <w:gridCol w:w="188"/>
        <w:gridCol w:w="237"/>
        <w:gridCol w:w="614"/>
        <w:gridCol w:w="708"/>
      </w:tblGrid>
      <w:tr>
        <w:tblPrEx>
          <w:tblCellMar>
            <w:top w:w="0" w:type="dxa"/>
            <w:left w:w="108" w:type="dxa"/>
            <w:bottom w:w="0" w:type="dxa"/>
            <w:right w:w="108" w:type="dxa"/>
          </w:tblCellMar>
        </w:tblPrEx>
        <w:trPr>
          <w:trHeight w:val="529" w:hRule="exact"/>
          <w:jc w:val="center"/>
        </w:trPr>
        <w:tc>
          <w:tcPr>
            <w:tcW w:w="9080" w:type="dxa"/>
            <w:gridSpan w:val="15"/>
            <w:tcBorders>
              <w:top w:val="nil"/>
              <w:left w:val="nil"/>
              <w:bottom w:val="nil"/>
              <w:right w:val="nil"/>
            </w:tcBorders>
            <w:vAlign w:val="center"/>
          </w:tcPr>
          <w:p>
            <w:pPr>
              <w:widowControl/>
              <w:spacing w:line="320" w:lineRule="exact"/>
              <w:jc w:val="center"/>
              <w:rPr>
                <w:rFonts w:ascii="宋体" w:hAnsi="宋体" w:cs="宋体"/>
                <w:b/>
                <w:bCs/>
                <w:kern w:val="0"/>
                <w:sz w:val="32"/>
                <w:szCs w:val="32"/>
              </w:rPr>
            </w:pPr>
            <w:r>
              <w:rPr>
                <w:rFonts w:hint="eastAsia" w:ascii="华文中宋" w:hAnsi="华文中宋" w:eastAsia="华文中宋" w:cs="华文中宋"/>
                <w:b/>
                <w:bCs/>
                <w:kern w:val="0"/>
                <w:sz w:val="28"/>
                <w:szCs w:val="28"/>
              </w:rPr>
              <w:t>项目支出绩效自评</w:t>
            </w:r>
            <w:r>
              <w:rPr>
                <w:rFonts w:hint="eastAsia" w:ascii="华文中宋" w:hAnsi="华文中宋" w:eastAsia="华文中宋" w:cs="华文中宋"/>
                <w:b/>
                <w:bCs/>
                <w:kern w:val="0"/>
                <w:sz w:val="36"/>
                <w:szCs w:val="36"/>
              </w:rPr>
              <w:t>表</w:t>
            </w:r>
          </w:p>
        </w:tc>
      </w:tr>
      <w:tr>
        <w:tblPrEx>
          <w:tblCellMar>
            <w:top w:w="0" w:type="dxa"/>
            <w:left w:w="108" w:type="dxa"/>
            <w:bottom w:w="0" w:type="dxa"/>
            <w:right w:w="108" w:type="dxa"/>
          </w:tblCellMar>
        </w:tblPrEx>
        <w:trPr>
          <w:trHeight w:val="201" w:hRule="atLeast"/>
          <w:jc w:val="center"/>
        </w:trPr>
        <w:tc>
          <w:tcPr>
            <w:tcW w:w="9080" w:type="dxa"/>
            <w:gridSpan w:val="15"/>
            <w:tcBorders>
              <w:top w:val="nil"/>
              <w:left w:val="nil"/>
              <w:bottom w:val="nil"/>
              <w:right w:val="nil"/>
            </w:tcBorders>
          </w:tcPr>
          <w:p>
            <w:pPr>
              <w:widowControl/>
              <w:rPr>
                <w:rFonts w:ascii="宋体" w:hAnsi="宋体" w:cs="宋体"/>
                <w:kern w:val="0"/>
                <w:sz w:val="22"/>
                <w:szCs w:val="22"/>
              </w:rPr>
            </w:pPr>
            <w:r>
              <w:rPr>
                <w:rFonts w:hint="eastAsia" w:ascii="宋体" w:hAnsi="宋体" w:cs="宋体"/>
                <w:kern w:val="0"/>
                <w:sz w:val="22"/>
                <w:szCs w:val="22"/>
              </w:rPr>
              <w:t>填列单位（公章）：                （   2021 年度）</w:t>
            </w:r>
          </w:p>
        </w:tc>
      </w:tr>
      <w:tr>
        <w:tblPrEx>
          <w:tblCellMar>
            <w:top w:w="0" w:type="dxa"/>
            <w:left w:w="108" w:type="dxa"/>
            <w:bottom w:w="0" w:type="dxa"/>
            <w:right w:w="108" w:type="dxa"/>
          </w:tblCellMar>
        </w:tblPrEx>
        <w:trPr>
          <w:trHeight w:val="320" w:hRule="exact"/>
          <w:jc w:val="center"/>
        </w:trPr>
        <w:tc>
          <w:tcPr>
            <w:tcW w:w="123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7842"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专项业务费</w:t>
            </w:r>
          </w:p>
        </w:tc>
      </w:tr>
      <w:tr>
        <w:tblPrEx>
          <w:tblCellMar>
            <w:top w:w="0" w:type="dxa"/>
            <w:left w:w="108" w:type="dxa"/>
            <w:bottom w:w="0" w:type="dxa"/>
            <w:right w:w="108" w:type="dxa"/>
          </w:tblCellMar>
        </w:tblPrEx>
        <w:trPr>
          <w:trHeight w:val="380" w:hRule="exact"/>
          <w:jc w:val="center"/>
        </w:trPr>
        <w:tc>
          <w:tcPr>
            <w:tcW w:w="123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467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大同市公安局</w:t>
            </w: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大同市行政拘留所</w:t>
            </w:r>
          </w:p>
        </w:tc>
      </w:tr>
      <w:tr>
        <w:tblPrEx>
          <w:tblCellMar>
            <w:top w:w="0" w:type="dxa"/>
            <w:left w:w="108" w:type="dxa"/>
            <w:bottom w:w="0" w:type="dxa"/>
            <w:right w:w="108" w:type="dxa"/>
          </w:tblCellMar>
        </w:tblPrEx>
        <w:trPr>
          <w:trHeight w:val="300" w:hRule="exact"/>
          <w:jc w:val="center"/>
        </w:trPr>
        <w:tc>
          <w:tcPr>
            <w:tcW w:w="123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项目资金</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（万元）</w:t>
            </w:r>
          </w:p>
        </w:tc>
        <w:tc>
          <w:tcPr>
            <w:tcW w:w="217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t>
            </w: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2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72"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21.68</w:t>
            </w: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21.68</w:t>
            </w: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21.68</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ind w:firstLine="180" w:firstLineChars="100"/>
              <w:jc w:val="both"/>
              <w:rPr>
                <w:rFonts w:ascii="宋体" w:hAnsi="宋体" w:cs="宋体"/>
                <w:kern w:val="0"/>
                <w:sz w:val="18"/>
                <w:szCs w:val="18"/>
              </w:rPr>
            </w:pPr>
            <w:r>
              <w:rPr>
                <w:rFonts w:hint="eastAsia" w:ascii="宋体" w:hAnsi="宋体" w:cs="宋体"/>
                <w:kern w:val="0"/>
                <w:sz w:val="18"/>
                <w:szCs w:val="18"/>
                <w:lang w:val="en-US" w:eastAsia="zh-CN"/>
              </w:rPr>
              <w:t>100</w:t>
            </w:r>
            <w:r>
              <w:rPr>
                <w:rFonts w:hint="eastAsia" w:ascii="宋体" w:hAnsi="宋体" w:cs="宋体"/>
                <w:kern w:val="0"/>
                <w:sz w:val="18"/>
                <w:szCs w:val="18"/>
              </w:rPr>
              <w:t>%</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2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7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2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7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2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7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5328"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16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CellMar>
            <w:top w:w="0" w:type="dxa"/>
            <w:left w:w="108" w:type="dxa"/>
            <w:bottom w:w="0" w:type="dxa"/>
            <w:right w:w="108" w:type="dxa"/>
          </w:tblCellMar>
        </w:tblPrEx>
        <w:trPr>
          <w:trHeight w:val="597"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328" w:type="dxa"/>
            <w:gridSpan w:val="7"/>
            <w:tcBorders>
              <w:top w:val="single" w:color="auto" w:sz="4" w:space="0"/>
              <w:left w:val="nil"/>
              <w:bottom w:val="single" w:color="auto" w:sz="4" w:space="0"/>
              <w:right w:val="single" w:color="auto" w:sz="4" w:space="0"/>
            </w:tcBorders>
            <w:vAlign w:val="center"/>
          </w:tcPr>
          <w:p>
            <w:pPr>
              <w:widowControl/>
              <w:spacing w:line="240" w:lineRule="exact"/>
              <w:ind w:firstLine="720" w:firstLineChars="400"/>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保障拘押场所正常运行</w:t>
            </w:r>
          </w:p>
        </w:tc>
        <w:tc>
          <w:tcPr>
            <w:tcW w:w="316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保障了拘押场所正常运行</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标</w:t>
            </w:r>
          </w:p>
        </w:tc>
        <w:tc>
          <w:tcPr>
            <w:tcW w:w="6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拘押场所数量</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1</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保障</w:t>
            </w:r>
            <w:r>
              <w:rPr>
                <w:rFonts w:hint="eastAsia" w:ascii="宋体" w:hAnsi="宋体" w:cs="宋体"/>
                <w:color w:val="000000"/>
                <w:kern w:val="0"/>
                <w:sz w:val="18"/>
                <w:szCs w:val="18"/>
                <w:lang w:val="en-US" w:eastAsia="zh-CN"/>
              </w:rPr>
              <w:t>拘押场所的</w:t>
            </w:r>
            <w:r>
              <w:rPr>
                <w:rFonts w:hint="eastAsia" w:ascii="宋体" w:hAnsi="宋体" w:cs="宋体"/>
                <w:color w:val="000000"/>
                <w:kern w:val="0"/>
                <w:sz w:val="18"/>
                <w:szCs w:val="18"/>
              </w:rPr>
              <w:t>正常运行</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保障</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保障</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462"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按实际支出支付</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2021年1-12月</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2021年1-12月</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专项业务费</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21.68</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21.68</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维护</w:t>
            </w:r>
            <w:r>
              <w:rPr>
                <w:rFonts w:hint="eastAsia" w:ascii="宋体" w:hAnsi="宋体" w:cs="宋体"/>
                <w:color w:val="000000"/>
                <w:kern w:val="0"/>
                <w:sz w:val="18"/>
                <w:szCs w:val="18"/>
                <w:lang w:val="en-US" w:eastAsia="zh-CN"/>
              </w:rPr>
              <w:t>拘押场所</w:t>
            </w:r>
            <w:r>
              <w:rPr>
                <w:rFonts w:hint="eastAsia" w:ascii="宋体" w:hAnsi="宋体" w:cs="宋体"/>
                <w:color w:val="000000"/>
                <w:kern w:val="0"/>
                <w:sz w:val="18"/>
                <w:szCs w:val="18"/>
              </w:rPr>
              <w:t>秩序</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维护</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维护</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可持续影响指标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lang w:val="en-US" w:eastAsia="zh-CN"/>
              </w:rPr>
              <w:t>全体人员</w:t>
            </w:r>
            <w:r>
              <w:rPr>
                <w:rFonts w:hint="eastAsia" w:ascii="宋体" w:hAnsi="宋体" w:cs="宋体"/>
                <w:color w:val="000000"/>
                <w:kern w:val="0"/>
                <w:sz w:val="18"/>
                <w:szCs w:val="18"/>
              </w:rPr>
              <w:t>满意度</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6766"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190" w:hRule="atLeast"/>
          <w:jc w:val="center"/>
        </w:trPr>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项目绩效分析</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自评结果分析</w:t>
            </w:r>
          </w:p>
        </w:tc>
        <w:tc>
          <w:tcPr>
            <w:tcW w:w="6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项目实施和预算执行情况及分析</w:t>
            </w:r>
          </w:p>
        </w:tc>
        <w:tc>
          <w:tcPr>
            <w:tcW w:w="721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项目用于</w:t>
            </w:r>
            <w:r>
              <w:rPr>
                <w:rFonts w:hint="eastAsia" w:ascii="宋体" w:hAnsi="宋体" w:cs="宋体"/>
                <w:kern w:val="0"/>
                <w:sz w:val="18"/>
                <w:szCs w:val="18"/>
                <w:lang w:val="en-US" w:eastAsia="zh-CN"/>
              </w:rPr>
              <w:t>专项业务费</w:t>
            </w:r>
            <w:r>
              <w:rPr>
                <w:rFonts w:hint="eastAsia" w:ascii="宋体" w:hAnsi="宋体" w:cs="宋体"/>
                <w:kern w:val="0"/>
                <w:sz w:val="18"/>
                <w:szCs w:val="18"/>
              </w:rPr>
              <w:t>，全年预算</w:t>
            </w:r>
            <w:r>
              <w:rPr>
                <w:rFonts w:hint="eastAsia" w:ascii="宋体" w:hAnsi="宋体" w:cs="宋体"/>
                <w:kern w:val="0"/>
                <w:sz w:val="18"/>
                <w:szCs w:val="18"/>
                <w:lang w:val="en-US" w:eastAsia="zh-CN"/>
              </w:rPr>
              <w:t>21.68</w:t>
            </w:r>
            <w:r>
              <w:rPr>
                <w:rFonts w:hint="eastAsia" w:ascii="宋体" w:hAnsi="宋体" w:cs="宋体"/>
                <w:kern w:val="0"/>
                <w:sz w:val="18"/>
                <w:szCs w:val="18"/>
              </w:rPr>
              <w:t>万元，全年执行支出</w:t>
            </w:r>
            <w:r>
              <w:rPr>
                <w:rFonts w:hint="eastAsia" w:ascii="宋体" w:hAnsi="宋体" w:cs="宋体"/>
                <w:kern w:val="0"/>
                <w:sz w:val="18"/>
                <w:szCs w:val="18"/>
                <w:lang w:val="en-US" w:eastAsia="zh-CN"/>
              </w:rPr>
              <w:t>21.68</w:t>
            </w:r>
            <w:r>
              <w:rPr>
                <w:rFonts w:hint="eastAsia" w:ascii="宋体" w:hAnsi="宋体" w:cs="宋体"/>
                <w:kern w:val="0"/>
                <w:sz w:val="18"/>
                <w:szCs w:val="18"/>
              </w:rPr>
              <w:t>万元，执行率</w:t>
            </w:r>
            <w:r>
              <w:rPr>
                <w:rFonts w:hint="eastAsia" w:ascii="宋体" w:hAnsi="宋体" w:cs="宋体"/>
                <w:kern w:val="0"/>
                <w:sz w:val="18"/>
                <w:szCs w:val="18"/>
                <w:lang w:val="en-US" w:eastAsia="zh-CN"/>
              </w:rPr>
              <w:t>100</w:t>
            </w:r>
            <w:r>
              <w:rPr>
                <w:rFonts w:hint="eastAsia" w:ascii="宋体" w:hAnsi="宋体" w:cs="宋体"/>
                <w:kern w:val="0"/>
                <w:sz w:val="18"/>
                <w:szCs w:val="18"/>
              </w:rPr>
              <w:t>%</w:t>
            </w:r>
          </w:p>
        </w:tc>
      </w:tr>
      <w:tr>
        <w:tblPrEx>
          <w:tblCellMar>
            <w:top w:w="0" w:type="dxa"/>
            <w:left w:w="108" w:type="dxa"/>
            <w:bottom w:w="0" w:type="dxa"/>
            <w:right w:w="108" w:type="dxa"/>
          </w:tblCellMar>
        </w:tblPrEx>
        <w:trPr>
          <w:trHeight w:val="1045" w:hRule="atLeas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6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产出情况及分析</w:t>
            </w:r>
          </w:p>
        </w:tc>
        <w:tc>
          <w:tcPr>
            <w:tcW w:w="721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按实际支出执行</w:t>
            </w:r>
          </w:p>
        </w:tc>
      </w:tr>
      <w:tr>
        <w:tblPrEx>
          <w:tblCellMar>
            <w:top w:w="0" w:type="dxa"/>
            <w:left w:w="108" w:type="dxa"/>
            <w:bottom w:w="0" w:type="dxa"/>
            <w:right w:w="108" w:type="dxa"/>
          </w:tblCellMar>
        </w:tblPrEx>
        <w:trPr>
          <w:trHeight w:val="985" w:hRule="atLeas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6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效益情况及分析</w:t>
            </w:r>
          </w:p>
        </w:tc>
        <w:tc>
          <w:tcPr>
            <w:tcW w:w="721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确保</w:t>
            </w:r>
            <w:r>
              <w:rPr>
                <w:rFonts w:hint="eastAsia" w:ascii="宋体" w:hAnsi="宋体" w:cs="宋体"/>
                <w:color w:val="000000"/>
                <w:kern w:val="0"/>
                <w:sz w:val="18"/>
                <w:szCs w:val="18"/>
                <w:lang w:val="en-US" w:eastAsia="zh-CN"/>
              </w:rPr>
              <w:t>了拘押场所</w:t>
            </w:r>
            <w:r>
              <w:rPr>
                <w:rFonts w:hint="eastAsia" w:ascii="宋体" w:hAnsi="宋体" w:cs="宋体"/>
                <w:color w:val="000000"/>
                <w:kern w:val="0"/>
                <w:sz w:val="18"/>
                <w:szCs w:val="18"/>
              </w:rPr>
              <w:t>的秩序。</w:t>
            </w:r>
          </w:p>
        </w:tc>
      </w:tr>
      <w:tr>
        <w:tblPrEx>
          <w:tblCellMar>
            <w:top w:w="0" w:type="dxa"/>
            <w:left w:w="108" w:type="dxa"/>
            <w:bottom w:w="0" w:type="dxa"/>
            <w:right w:w="108" w:type="dxa"/>
          </w:tblCellMar>
        </w:tblPrEx>
        <w:trPr>
          <w:trHeight w:val="1003" w:hRule="atLeas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6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满意度情况及分析</w:t>
            </w:r>
          </w:p>
        </w:tc>
        <w:tc>
          <w:tcPr>
            <w:tcW w:w="721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全体人员</w:t>
            </w:r>
            <w:r>
              <w:rPr>
                <w:rFonts w:hint="eastAsia" w:ascii="宋体" w:hAnsi="宋体" w:cs="宋体"/>
                <w:color w:val="000000"/>
                <w:kern w:val="0"/>
                <w:sz w:val="18"/>
                <w:szCs w:val="18"/>
              </w:rPr>
              <w:t>满意度度为95%</w:t>
            </w:r>
          </w:p>
        </w:tc>
      </w:tr>
      <w:tr>
        <w:tblPrEx>
          <w:tblCellMar>
            <w:top w:w="0" w:type="dxa"/>
            <w:left w:w="108" w:type="dxa"/>
            <w:bottom w:w="0" w:type="dxa"/>
            <w:right w:w="108" w:type="dxa"/>
          </w:tblCellMar>
        </w:tblPrEx>
        <w:trPr>
          <w:trHeight w:val="1011"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主要经验做法</w:t>
            </w:r>
          </w:p>
        </w:tc>
        <w:tc>
          <w:tcPr>
            <w:tcW w:w="7275" w:type="dxa"/>
            <w:gridSpan w:val="1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专款专用，按</w:t>
            </w:r>
            <w:r>
              <w:rPr>
                <w:rFonts w:hint="eastAsia" w:ascii="宋体" w:hAnsi="宋体" w:cs="宋体"/>
                <w:kern w:val="0"/>
                <w:sz w:val="18"/>
                <w:szCs w:val="18"/>
                <w:lang w:val="en-US" w:eastAsia="zh-CN"/>
              </w:rPr>
              <w:t>实际支出</w:t>
            </w:r>
            <w:r>
              <w:rPr>
                <w:rFonts w:hint="eastAsia" w:ascii="宋体" w:hAnsi="宋体" w:cs="宋体"/>
                <w:kern w:val="0"/>
                <w:sz w:val="18"/>
                <w:szCs w:val="18"/>
              </w:rPr>
              <w:t>支付</w:t>
            </w:r>
          </w:p>
        </w:tc>
      </w:tr>
      <w:tr>
        <w:tblPrEx>
          <w:tblCellMar>
            <w:top w:w="0" w:type="dxa"/>
            <w:left w:w="108" w:type="dxa"/>
            <w:bottom w:w="0" w:type="dxa"/>
            <w:right w:w="108" w:type="dxa"/>
          </w:tblCellMar>
        </w:tblPrEx>
        <w:trPr>
          <w:trHeight w:val="988"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项目管理中存在的</w:t>
            </w:r>
          </w:p>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主要问题及原因分析</w:t>
            </w:r>
          </w:p>
        </w:tc>
        <w:tc>
          <w:tcPr>
            <w:tcW w:w="7275" w:type="dxa"/>
            <w:gridSpan w:val="1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无</w:t>
            </w:r>
          </w:p>
        </w:tc>
      </w:tr>
      <w:tr>
        <w:tblPrEx>
          <w:tblCellMar>
            <w:top w:w="0" w:type="dxa"/>
            <w:left w:w="108" w:type="dxa"/>
            <w:bottom w:w="0" w:type="dxa"/>
            <w:right w:w="108" w:type="dxa"/>
          </w:tblCellMar>
        </w:tblPrEx>
        <w:trPr>
          <w:trHeight w:val="1034"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下一步改进措施及</w:t>
            </w:r>
          </w:p>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管理建议</w:t>
            </w:r>
          </w:p>
        </w:tc>
        <w:tc>
          <w:tcPr>
            <w:tcW w:w="7275" w:type="dxa"/>
            <w:gridSpan w:val="1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无</w:t>
            </w:r>
          </w:p>
        </w:tc>
      </w:tr>
    </w:tbl>
    <w:p>
      <w:pPr>
        <w:pStyle w:val="6"/>
        <w:shd w:val="clear" w:color="auto" w:fill="FFFFFF"/>
        <w:spacing w:before="0" w:beforeAutospacing="0" w:after="0" w:afterAutospacing="0" w:line="580" w:lineRule="exact"/>
        <w:jc w:val="both"/>
        <w:rPr>
          <w:rFonts w:hint="eastAsia" w:cs="Arial" w:asciiTheme="minorEastAsia" w:hAnsiTheme="minorEastAsia" w:eastAsiaTheme="minorEastAsia"/>
          <w:b/>
          <w:color w:val="000000"/>
          <w:sz w:val="36"/>
          <w:szCs w:val="36"/>
        </w:rPr>
      </w:pPr>
    </w:p>
    <w:p>
      <w:pPr>
        <w:pStyle w:val="2"/>
        <w:bidi w:val="0"/>
        <w:jc w:val="center"/>
        <w:rPr>
          <w:rFonts w:hint="eastAsia" w:ascii="宋体" w:hAnsi="宋体" w:cs="宋体"/>
          <w:b/>
          <w:bCs/>
          <w:sz w:val="32"/>
          <w:szCs w:val="32"/>
          <w:lang w:val="en-US" w:eastAsia="zh-CN"/>
        </w:rPr>
      </w:pPr>
      <w:bookmarkStart w:id="23" w:name="_Toc9249"/>
      <w:r>
        <w:rPr>
          <w:rFonts w:hint="eastAsia"/>
          <w:b/>
          <w:sz w:val="36"/>
          <w:szCs w:val="36"/>
          <w:lang w:val="en-US" w:eastAsia="zh-CN"/>
        </w:rPr>
        <w:t>第四部分  名词解释</w:t>
      </w:r>
      <w:bookmarkEnd w:id="23"/>
      <w:r>
        <w:rPr>
          <w:rFonts w:hint="eastAsia"/>
          <w:b/>
          <w:sz w:val="36"/>
          <w:szCs w:val="36"/>
          <w:lang w:val="en-US" w:eastAsia="zh-CN"/>
        </w:rPr>
        <w:t xml:space="preserve">  </w:t>
      </w:r>
    </w:p>
    <w:p>
      <w:pPr>
        <w:bidi w:val="0"/>
        <w:ind w:firstLine="643" w:firstLineChars="200"/>
        <w:rPr>
          <w:rFonts w:hint="eastAsia"/>
          <w:lang w:val="en-US" w:eastAsia="zh-CN"/>
        </w:rPr>
      </w:pPr>
      <w:bookmarkStart w:id="24" w:name="_Toc25550"/>
      <w:r>
        <w:rPr>
          <w:rFonts w:hint="eastAsia" w:ascii="宋体" w:hAnsi="宋体" w:eastAsia="宋体" w:cs="宋体"/>
          <w:b/>
          <w:bCs/>
          <w:sz w:val="32"/>
          <w:szCs w:val="32"/>
          <w:lang w:val="en-US" w:eastAsia="zh-CN"/>
        </w:rPr>
        <w:t>一、</w:t>
      </w:r>
      <w:r>
        <w:rPr>
          <w:rFonts w:hint="eastAsia" w:ascii="宋体" w:hAnsi="宋体" w:eastAsia="宋体" w:cs="宋体"/>
          <w:b/>
          <w:bCs/>
          <w:sz w:val="32"/>
          <w:szCs w:val="32"/>
        </w:rPr>
        <w:t>财政拨款收入：</w:t>
      </w:r>
      <w:r>
        <w:rPr>
          <w:rFonts w:hint="eastAsia" w:ascii="仿宋_GB2312" w:hAnsi="Times New Roman" w:eastAsia="仿宋_GB2312" w:cs="Times New Roman"/>
          <w:kern w:val="2"/>
          <w:sz w:val="32"/>
          <w:szCs w:val="32"/>
          <w:lang w:val="en-US" w:eastAsia="zh-CN" w:bidi="ar-SA"/>
        </w:rPr>
        <w:t>指单位从同级财政部门取得的财政预算资金。</w:t>
      </w:r>
      <w:bookmarkEnd w:id="24"/>
    </w:p>
    <w:p>
      <w:pPr>
        <w:bidi w:val="0"/>
        <w:ind w:firstLine="643" w:firstLineChars="200"/>
        <w:rPr>
          <w:rFonts w:hint="eastAsia"/>
          <w:lang w:val="en-US" w:eastAsia="zh-CN"/>
        </w:rPr>
      </w:pPr>
      <w:r>
        <w:rPr>
          <w:rFonts w:hint="eastAsia" w:ascii="宋体" w:hAnsi="宋体" w:eastAsia="宋体" w:cs="宋体"/>
          <w:b/>
          <w:bCs/>
          <w:sz w:val="32"/>
          <w:szCs w:val="32"/>
          <w:lang w:val="en-US" w:eastAsia="zh-CN"/>
        </w:rPr>
        <w:t>二、事业收入：</w:t>
      </w:r>
      <w:r>
        <w:rPr>
          <w:rFonts w:hint="eastAsia" w:ascii="仿宋_GB2312" w:hAnsi="Times New Roman" w:eastAsia="仿宋_GB2312" w:cs="Times New Roman"/>
          <w:kern w:val="2"/>
          <w:sz w:val="32"/>
          <w:szCs w:val="32"/>
          <w:lang w:val="en-US" w:eastAsia="zh-CN" w:bidi="ar-SA"/>
        </w:rPr>
        <w:t>指事业单位开展专业业务活动及辅助活动取得的收入。</w:t>
      </w:r>
    </w:p>
    <w:p>
      <w:pPr>
        <w:ind w:firstLine="643" w:firstLineChars="200"/>
        <w:rPr>
          <w:rFonts w:hint="eastAsia" w:ascii="仿宋_GB2312" w:hAnsi="Times New Roman" w:eastAsia="仿宋_GB2312" w:cs="Times New Roman"/>
          <w:kern w:val="2"/>
          <w:sz w:val="32"/>
          <w:szCs w:val="32"/>
          <w:lang w:val="en-US" w:eastAsia="zh-CN" w:bidi="ar-SA"/>
        </w:rPr>
      </w:pPr>
      <w:r>
        <w:rPr>
          <w:rFonts w:hint="eastAsia" w:ascii="宋体" w:hAnsi="宋体" w:eastAsia="宋体" w:cs="宋体"/>
          <w:b/>
          <w:bCs/>
          <w:sz w:val="32"/>
          <w:szCs w:val="32"/>
        </w:rPr>
        <w:t>三、经营收入：</w:t>
      </w:r>
      <w:r>
        <w:rPr>
          <w:rFonts w:hint="eastAsia" w:ascii="仿宋_GB2312" w:hAnsi="Times New Roman" w:eastAsia="仿宋_GB2312" w:cs="Times New Roman"/>
          <w:kern w:val="2"/>
          <w:sz w:val="32"/>
          <w:szCs w:val="32"/>
          <w:lang w:val="en-US" w:eastAsia="zh-CN" w:bidi="ar-SA"/>
        </w:rPr>
        <w:t>指事业单位在专业业务活动及其辅助活动之外开展非独立核算经营活动取得的收入。</w:t>
      </w:r>
    </w:p>
    <w:p>
      <w:pPr>
        <w:ind w:firstLine="643" w:firstLineChars="200"/>
        <w:rPr>
          <w:rFonts w:hint="eastAsia" w:ascii="仿宋_GB2312" w:hAnsi="Times New Roman" w:eastAsia="仿宋_GB2312" w:cs="Times New Roman"/>
          <w:kern w:val="2"/>
          <w:sz w:val="32"/>
          <w:szCs w:val="32"/>
          <w:lang w:val="en-US" w:eastAsia="zh-CN" w:bidi="ar-SA"/>
        </w:rPr>
      </w:pPr>
      <w:r>
        <w:rPr>
          <w:rFonts w:hint="eastAsia" w:ascii="宋体" w:hAnsi="宋体" w:eastAsia="宋体" w:cs="宋体"/>
          <w:b/>
          <w:bCs/>
          <w:sz w:val="32"/>
          <w:szCs w:val="32"/>
        </w:rPr>
        <w:t>四、其他收入：</w:t>
      </w:r>
      <w:r>
        <w:rPr>
          <w:rFonts w:hint="eastAsia" w:ascii="仿宋_GB2312" w:hAnsi="Times New Roman" w:eastAsia="仿宋_GB2312" w:cs="Times New Roman"/>
          <w:kern w:val="2"/>
          <w:sz w:val="32"/>
          <w:szCs w:val="32"/>
          <w:lang w:val="en-US" w:eastAsia="zh-CN" w:bidi="ar-SA"/>
        </w:rPr>
        <w:t>指单位取得的除上述收入以外的各项收入。主要是事业单位固定资产出租收入、存款利息收入等。</w:t>
      </w:r>
    </w:p>
    <w:p>
      <w:pPr>
        <w:ind w:firstLine="643" w:firstLineChars="200"/>
        <w:rPr>
          <w:rFonts w:hint="eastAsia" w:ascii="仿宋_GB2312" w:hAnsi="Times New Roman" w:eastAsia="仿宋_GB2312" w:cs="Times New Roman"/>
          <w:kern w:val="2"/>
          <w:sz w:val="32"/>
          <w:szCs w:val="32"/>
          <w:lang w:val="en-US" w:eastAsia="zh-CN" w:bidi="ar-SA"/>
        </w:rPr>
      </w:pPr>
      <w:r>
        <w:rPr>
          <w:rFonts w:hint="eastAsia" w:ascii="宋体" w:hAnsi="宋体" w:eastAsia="宋体" w:cs="宋体"/>
          <w:b/>
          <w:bCs/>
          <w:sz w:val="32"/>
          <w:szCs w:val="32"/>
        </w:rPr>
        <w:t>五、使用非财政拨款结余：</w:t>
      </w:r>
      <w:r>
        <w:rPr>
          <w:rFonts w:hint="eastAsia" w:ascii="仿宋_GB2312" w:hAnsi="Times New Roman" w:eastAsia="仿宋_GB2312" w:cs="Times New Roman"/>
          <w:kern w:val="2"/>
          <w:sz w:val="32"/>
          <w:szCs w:val="32"/>
          <w:lang w:val="en-US" w:eastAsia="zh-CN" w:bidi="ar-SA"/>
        </w:rPr>
        <w:t>指事业单位使用以前年度积累的非财政拨款结余弥补当年收支差额的金额。</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六、年初结转和结余：</w:t>
      </w:r>
      <w:r>
        <w:rPr>
          <w:rFonts w:hint="eastAsia" w:ascii="仿宋_GB2312" w:hAnsi="Times New Roman" w:eastAsia="仿宋_GB2312" w:cs="Times New Roman"/>
          <w:kern w:val="2"/>
          <w:sz w:val="32"/>
          <w:szCs w:val="32"/>
          <w:lang w:val="en-US" w:eastAsia="zh-CN" w:bidi="ar-SA"/>
        </w:rPr>
        <w:t>指单位以前年度尚未完成、结转到本年仍按原规定用途继续使用的资金，或项目已完成等产生的结余资金。</w:t>
      </w:r>
    </w:p>
    <w:p>
      <w:pPr>
        <w:ind w:firstLine="643" w:firstLineChars="200"/>
        <w:rPr>
          <w:rFonts w:hint="eastAsia" w:ascii="仿宋_GB2312" w:hAnsi="Times New Roman" w:eastAsia="仿宋_GB2312" w:cs="Times New Roman"/>
          <w:kern w:val="2"/>
          <w:sz w:val="32"/>
          <w:szCs w:val="32"/>
          <w:lang w:val="en-US" w:eastAsia="zh-CN" w:bidi="ar-SA"/>
        </w:rPr>
      </w:pPr>
      <w:r>
        <w:rPr>
          <w:rFonts w:hint="eastAsia" w:ascii="宋体" w:hAnsi="宋体" w:eastAsia="宋体" w:cs="宋体"/>
          <w:b/>
          <w:bCs/>
          <w:sz w:val="32"/>
          <w:szCs w:val="32"/>
        </w:rPr>
        <w:t>七、结余分配：</w:t>
      </w:r>
      <w:r>
        <w:rPr>
          <w:rFonts w:hint="eastAsia" w:ascii="仿宋_GB2312" w:hAnsi="Times New Roman" w:eastAsia="仿宋_GB2312" w:cs="Times New Roman"/>
          <w:kern w:val="2"/>
          <w:sz w:val="32"/>
          <w:szCs w:val="32"/>
          <w:lang w:val="en-US" w:eastAsia="zh-CN" w:bidi="ar-SA"/>
        </w:rPr>
        <w:t>指事业单位按照会计制度规定缴纳的所得税、提取的专用结余以及转入非财政拨款结余的金额等。</w:t>
      </w:r>
    </w:p>
    <w:p>
      <w:pPr>
        <w:ind w:firstLine="643" w:firstLineChars="200"/>
        <w:rPr>
          <w:rFonts w:hint="eastAsia" w:ascii="仿宋_GB2312" w:hAnsi="Times New Roman" w:eastAsia="仿宋_GB2312" w:cs="Times New Roman"/>
          <w:kern w:val="2"/>
          <w:sz w:val="32"/>
          <w:szCs w:val="32"/>
          <w:lang w:val="en-US" w:eastAsia="zh-CN" w:bidi="ar-SA"/>
        </w:rPr>
      </w:pPr>
      <w:r>
        <w:rPr>
          <w:rFonts w:hint="eastAsia" w:ascii="宋体" w:hAnsi="宋体" w:eastAsia="宋体" w:cs="宋体"/>
          <w:b/>
          <w:bCs/>
          <w:sz w:val="32"/>
          <w:szCs w:val="32"/>
        </w:rPr>
        <w:t>八、年末结转和结余：</w:t>
      </w:r>
      <w:r>
        <w:rPr>
          <w:rFonts w:hint="eastAsia" w:ascii="仿宋_GB2312" w:hAnsi="Times New Roman" w:eastAsia="仿宋_GB2312" w:cs="Times New Roman"/>
          <w:kern w:val="2"/>
          <w:sz w:val="32"/>
          <w:szCs w:val="32"/>
          <w:lang w:val="en-US" w:eastAsia="zh-CN" w:bidi="ar-SA"/>
        </w:rPr>
        <w:t>指单位按有关规定结转到下年或以后年度继续使用的资金，或项目已完成等产生的结余资金。</w:t>
      </w:r>
    </w:p>
    <w:p>
      <w:pPr>
        <w:ind w:firstLine="643" w:firstLineChars="200"/>
        <w:rPr>
          <w:rFonts w:hint="eastAsia" w:ascii="仿宋_GB2312" w:hAnsi="Times New Roman" w:eastAsia="仿宋_GB2312" w:cs="Times New Roman"/>
          <w:kern w:val="2"/>
          <w:sz w:val="32"/>
          <w:szCs w:val="32"/>
          <w:lang w:val="en-US" w:eastAsia="zh-CN" w:bidi="ar-SA"/>
        </w:rPr>
      </w:pPr>
      <w:r>
        <w:rPr>
          <w:rFonts w:hint="eastAsia" w:ascii="宋体" w:hAnsi="宋体" w:eastAsia="宋体" w:cs="宋体"/>
          <w:b/>
          <w:bCs/>
          <w:sz w:val="32"/>
          <w:szCs w:val="32"/>
        </w:rPr>
        <w:t>九、基本支出：</w:t>
      </w:r>
      <w:r>
        <w:rPr>
          <w:rFonts w:hint="eastAsia" w:ascii="仿宋_GB2312" w:hAnsi="Times New Roman" w:eastAsia="仿宋_GB2312" w:cs="Times New Roman"/>
          <w:kern w:val="2"/>
          <w:sz w:val="32"/>
          <w:szCs w:val="32"/>
          <w:lang w:val="en-US" w:eastAsia="zh-CN" w:bidi="ar-SA"/>
        </w:rPr>
        <w:t>指为保障机构正常运转、完成日常工作任务而发生的人员支出和公用支出。</w:t>
      </w:r>
    </w:p>
    <w:p>
      <w:pPr>
        <w:ind w:firstLine="643" w:firstLineChars="200"/>
        <w:rPr>
          <w:rFonts w:hint="eastAsia" w:ascii="仿宋_GB2312" w:hAnsi="Times New Roman" w:eastAsia="仿宋_GB2312" w:cs="Times New Roman"/>
          <w:kern w:val="2"/>
          <w:sz w:val="32"/>
          <w:szCs w:val="32"/>
          <w:lang w:val="en-US" w:eastAsia="zh-CN" w:bidi="ar-SA"/>
        </w:rPr>
      </w:pPr>
      <w:r>
        <w:rPr>
          <w:rFonts w:hint="eastAsia" w:ascii="宋体" w:hAnsi="宋体" w:eastAsia="宋体" w:cs="宋体"/>
          <w:b/>
          <w:bCs/>
          <w:sz w:val="32"/>
          <w:szCs w:val="32"/>
        </w:rPr>
        <w:t>十、项目支出：</w:t>
      </w:r>
      <w:r>
        <w:rPr>
          <w:rFonts w:hint="eastAsia" w:ascii="仿宋_GB2312" w:hAnsi="Times New Roman" w:eastAsia="仿宋_GB2312" w:cs="Times New Roman"/>
          <w:kern w:val="2"/>
          <w:sz w:val="32"/>
          <w:szCs w:val="32"/>
          <w:lang w:val="en-US" w:eastAsia="zh-CN" w:bidi="ar-SA"/>
        </w:rPr>
        <w:t>指在基本支出之外为完成特定行政任务和事业发展目标所发生的支出。</w:t>
      </w:r>
    </w:p>
    <w:p>
      <w:pPr>
        <w:ind w:firstLine="643" w:firstLineChars="200"/>
        <w:rPr>
          <w:rFonts w:hint="eastAsia" w:ascii="仿宋_GB2312" w:hAnsi="Times New Roman" w:eastAsia="仿宋_GB2312" w:cs="Times New Roman"/>
          <w:kern w:val="2"/>
          <w:sz w:val="32"/>
          <w:szCs w:val="32"/>
          <w:lang w:val="en-US" w:eastAsia="zh-CN" w:bidi="ar-SA"/>
        </w:rPr>
      </w:pPr>
      <w:r>
        <w:rPr>
          <w:rFonts w:hint="eastAsia" w:ascii="宋体" w:hAnsi="宋体" w:eastAsia="宋体" w:cs="宋体"/>
          <w:b/>
          <w:bCs/>
          <w:sz w:val="32"/>
          <w:szCs w:val="32"/>
        </w:rPr>
        <w:t>十一、“三公”经费：</w:t>
      </w:r>
      <w:r>
        <w:rPr>
          <w:rFonts w:hint="eastAsia" w:ascii="仿宋_GB2312" w:hAnsi="Times New Roman" w:eastAsia="仿宋_GB2312" w:cs="Times New Roman"/>
          <w:kern w:val="2"/>
          <w:sz w:val="32"/>
          <w:szCs w:val="32"/>
          <w:lang w:val="en-US" w:eastAsia="zh-CN" w:bidi="ar-SA"/>
        </w:rPr>
        <w:t>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十二、机关运行经费：</w:t>
      </w:r>
      <w:r>
        <w:rPr>
          <w:rFonts w:hint="eastAsia" w:ascii="仿宋_GB2312" w:hAnsi="Times New Roman" w:eastAsia="仿宋_GB2312" w:cs="Times New Roman"/>
          <w:kern w:val="2"/>
          <w:sz w:val="32"/>
          <w:szCs w:val="32"/>
          <w:lang w:val="en-US" w:eastAsia="zh-CN" w:bidi="ar-SA"/>
        </w:rPr>
        <w:t>指行政单位和参照公务员法管理的事业单位使用一般公共预算安排的基本支出中的日常公用经费支出。</w:t>
      </w:r>
    </w:p>
    <w:p>
      <w:pPr>
        <w:pStyle w:val="6"/>
        <w:shd w:val="clear" w:color="auto" w:fill="FFFFFF"/>
        <w:spacing w:line="580" w:lineRule="exact"/>
        <w:ind w:firstLine="800"/>
        <w:rPr>
          <w:rFonts w:hint="eastAsia" w:cs="Arial" w:asciiTheme="minorEastAsia" w:hAnsiTheme="minorEastAsia" w:eastAsiaTheme="minorEastAsia"/>
          <w:b/>
          <w:color w:val="000000"/>
          <w:sz w:val="36"/>
          <w:szCs w:val="36"/>
          <w:lang w:val="en-US" w:eastAsia="zh-CN"/>
        </w:rPr>
      </w:pPr>
      <w:r>
        <w:rPr>
          <w:rFonts w:hint="eastAsia" w:ascii="黑体" w:eastAsia="黑体" w:cs="Arial"/>
          <w:b/>
          <w:color w:val="000000"/>
          <w:sz w:val="32"/>
          <w:szCs w:val="20"/>
        </w:rPr>
        <w:t xml:space="preserve">  </w:t>
      </w:r>
      <w:r>
        <w:rPr>
          <w:rFonts w:hint="eastAsia" w:cs="Arial" w:asciiTheme="minorEastAsia" w:hAnsiTheme="minorEastAsia" w:eastAsiaTheme="minorEastAsia"/>
          <w:b/>
          <w:color w:val="000000"/>
          <w:sz w:val="36"/>
          <w:szCs w:val="36"/>
        </w:rPr>
        <w:t xml:space="preserve">  </w:t>
      </w:r>
      <w:r>
        <w:rPr>
          <w:rFonts w:hint="eastAsia" w:cs="Arial" w:asciiTheme="minorEastAsia" w:hAnsiTheme="minorEastAsia" w:eastAsiaTheme="minorEastAsia"/>
          <w:b/>
          <w:color w:val="000000"/>
          <w:sz w:val="36"/>
          <w:szCs w:val="36"/>
          <w:lang w:val="en-US" w:eastAsia="zh-CN"/>
        </w:rPr>
        <w:t xml:space="preserve">        </w:t>
      </w:r>
    </w:p>
    <w:p>
      <w:pPr>
        <w:pStyle w:val="2"/>
        <w:bidi w:val="0"/>
        <w:jc w:val="center"/>
        <w:rPr>
          <w:rFonts w:hint="eastAsia"/>
          <w:b/>
          <w:sz w:val="36"/>
          <w:szCs w:val="36"/>
          <w:lang w:val="en-US" w:eastAsia="zh-CN"/>
        </w:rPr>
      </w:pPr>
      <w:bookmarkStart w:id="25" w:name="_Toc15741"/>
      <w:r>
        <w:rPr>
          <w:rFonts w:hint="eastAsia"/>
          <w:b/>
          <w:sz w:val="36"/>
          <w:szCs w:val="36"/>
          <w:lang w:val="en-US" w:eastAsia="zh-CN"/>
        </w:rPr>
        <w:t>第五部分  附件</w:t>
      </w:r>
      <w:bookmarkEnd w:id="25"/>
    </w:p>
    <w:p>
      <w:pPr>
        <w:pStyle w:val="6"/>
        <w:shd w:val="clear" w:color="auto" w:fill="FFFFFF"/>
        <w:spacing w:before="0" w:beforeAutospacing="0" w:after="0" w:afterAutospacing="0" w:line="580" w:lineRule="exact"/>
        <w:ind w:firstLine="640" w:firstLineChars="20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我单位无需要其他说明的事项。</w:t>
      </w:r>
    </w:p>
    <w:p>
      <w:pPr>
        <w:wordWrap w:val="0"/>
        <w:spacing w:line="580" w:lineRule="exact"/>
        <w:jc w:val="center"/>
        <w:rPr>
          <w:rFonts w:ascii="仿宋_GB2312" w:eastAsia="仿宋_GB2312"/>
          <w:sz w:val="32"/>
          <w:szCs w:val="32"/>
        </w:rPr>
      </w:pPr>
      <w:r>
        <w:rPr>
          <w:rFonts w:hint="eastAsia" w:ascii="仿宋_GB2312" w:eastAsia="仿宋_GB2312"/>
          <w:sz w:val="32"/>
          <w:szCs w:val="32"/>
        </w:rPr>
        <w:t xml:space="preserve">                          </w:t>
      </w:r>
    </w:p>
    <w:p>
      <w:pPr>
        <w:wordWrap w:val="0"/>
        <w:spacing w:line="580" w:lineRule="exact"/>
        <w:jc w:val="center"/>
        <w:rPr>
          <w:rFonts w:ascii="仿宋_GB2312" w:eastAsia="仿宋_GB2312"/>
          <w:sz w:val="32"/>
          <w:szCs w:val="32"/>
        </w:rPr>
      </w:pPr>
    </w:p>
    <w:p>
      <w:pPr>
        <w:wordWrap w:val="0"/>
        <w:spacing w:line="580" w:lineRule="exact"/>
        <w:jc w:val="center"/>
        <w:rPr>
          <w:rFonts w:hint="eastAsia" w:asciiTheme="minorEastAsia" w:hAnsiTheme="minorEastAsia" w:eastAsiaTheme="minorEastAsia"/>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Theme="minorEastAsia" w:hAnsiTheme="minorEastAsia" w:eastAsiaTheme="minorEastAsia"/>
          <w:sz w:val="32"/>
          <w:szCs w:val="32"/>
        </w:rPr>
        <w:t xml:space="preserve"> </w:t>
      </w:r>
    </w:p>
    <w:p>
      <w:pPr>
        <w:wordWrap w:val="0"/>
        <w:spacing w:line="580" w:lineRule="exact"/>
        <w:jc w:val="center"/>
        <w:rPr>
          <w:rFonts w:hint="eastAsia" w:asciiTheme="minorEastAsia" w:hAnsiTheme="minorEastAsia" w:eastAsiaTheme="minorEastAsia"/>
          <w:sz w:val="32"/>
          <w:szCs w:val="32"/>
        </w:rPr>
      </w:pPr>
    </w:p>
    <w:p>
      <w:pPr>
        <w:wordWrap w:val="0"/>
        <w:spacing w:line="580" w:lineRule="exact"/>
        <w:jc w:val="center"/>
        <w:rPr>
          <w:sz w:val="10"/>
          <w:szCs w:val="10"/>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大同市</w:t>
      </w:r>
      <w:r>
        <w:rPr>
          <w:rFonts w:hint="eastAsia" w:asciiTheme="minorEastAsia" w:hAnsiTheme="minorEastAsia" w:eastAsiaTheme="minorEastAsia"/>
          <w:sz w:val="32"/>
          <w:szCs w:val="32"/>
          <w:lang w:val="en-US" w:eastAsia="zh-CN"/>
        </w:rPr>
        <w:t>行政拘留所</w:t>
      </w: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2022年7月2</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日</w:t>
      </w:r>
    </w:p>
    <w:p>
      <w:pPr>
        <w:rPr>
          <w:sz w:val="10"/>
          <w:szCs w:val="10"/>
        </w:rPr>
      </w:pPr>
    </w:p>
    <w:p>
      <w:pPr>
        <w:rPr>
          <w:sz w:val="10"/>
          <w:szCs w:val="10"/>
        </w:rPr>
      </w:pPr>
    </w:p>
    <w:p>
      <w:pPr>
        <w:rPr>
          <w:sz w:val="10"/>
          <w:szCs w:val="10"/>
        </w:rPr>
      </w:pPr>
    </w:p>
    <w:p>
      <w:pPr>
        <w:rPr>
          <w:sz w:val="10"/>
          <w:szCs w:val="10"/>
        </w:rPr>
      </w:pPr>
    </w:p>
    <w:sectPr>
      <w:pgSz w:w="11905" w:h="16838"/>
      <w:pgMar w:top="1440" w:right="1083" w:bottom="1440" w:left="1083" w:header="851" w:footer="992" w:gutter="0"/>
      <w:pgNumType w:fmt="decimal"/>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876"/>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979B40"/>
    <w:multiLevelType w:val="singleLevel"/>
    <w:tmpl w:val="C6979B40"/>
    <w:lvl w:ilvl="0" w:tentative="0">
      <w:start w:val="2"/>
      <w:numFmt w:val="decimal"/>
      <w:suff w:val="nothing"/>
      <w:lvlText w:val="%1、"/>
      <w:lvlJc w:val="left"/>
    </w:lvl>
  </w:abstractNum>
  <w:abstractNum w:abstractNumId="1">
    <w:nsid w:val="EB7DB396"/>
    <w:multiLevelType w:val="singleLevel"/>
    <w:tmpl w:val="EB7DB396"/>
    <w:lvl w:ilvl="0" w:tentative="0">
      <w:start w:val="2"/>
      <w:numFmt w:val="chineseCounting"/>
      <w:suff w:val="nothing"/>
      <w:lvlText w:val="（%1）"/>
      <w:lvlJc w:val="left"/>
      <w:rPr>
        <w:rFonts w:hint="eastAsia"/>
        <w:b/>
        <w:bCs/>
        <w:i w:val="0"/>
        <w:iCs w:val="0"/>
      </w:rPr>
    </w:lvl>
  </w:abstractNum>
  <w:abstractNum w:abstractNumId="2">
    <w:nsid w:val="5F4EDF6B"/>
    <w:multiLevelType w:val="singleLevel"/>
    <w:tmpl w:val="5F4EDF6B"/>
    <w:lvl w:ilvl="0" w:tentative="0">
      <w:start w:val="1"/>
      <w:numFmt w:val="chineseCounting"/>
      <w:suff w:val="nothing"/>
      <w:lvlText w:val="%1、"/>
      <w:lvlJc w:val="left"/>
      <w:rPr>
        <w:rFonts w:hint="eastAsia"/>
      </w:rPr>
    </w:lvl>
  </w:abstractNum>
  <w:abstractNum w:abstractNumId="3">
    <w:nsid w:val="6B613499"/>
    <w:multiLevelType w:val="singleLevel"/>
    <w:tmpl w:val="6B613499"/>
    <w:lvl w:ilvl="0" w:tentative="0">
      <w:start w:val="1"/>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wN2VhMDk4Y2NlYzM2ODJmMjI3M2ZmMDVjOWRiMDUifQ=="/>
  </w:docVars>
  <w:rsids>
    <w:rsidRoot w:val="13D671AC"/>
    <w:rsid w:val="004B2B21"/>
    <w:rsid w:val="00523EB0"/>
    <w:rsid w:val="00B46918"/>
    <w:rsid w:val="00ED1E2A"/>
    <w:rsid w:val="012C10A7"/>
    <w:rsid w:val="012D0479"/>
    <w:rsid w:val="017B2F92"/>
    <w:rsid w:val="01853E11"/>
    <w:rsid w:val="01B446F6"/>
    <w:rsid w:val="01CE57B8"/>
    <w:rsid w:val="01E52B01"/>
    <w:rsid w:val="022C0730"/>
    <w:rsid w:val="02421D02"/>
    <w:rsid w:val="02900CBF"/>
    <w:rsid w:val="029A6894"/>
    <w:rsid w:val="02B04EBD"/>
    <w:rsid w:val="02BC1AB4"/>
    <w:rsid w:val="02BF7490"/>
    <w:rsid w:val="03253AFD"/>
    <w:rsid w:val="03D71DDD"/>
    <w:rsid w:val="03E27758"/>
    <w:rsid w:val="03E35864"/>
    <w:rsid w:val="03F679DF"/>
    <w:rsid w:val="04620439"/>
    <w:rsid w:val="047B14FB"/>
    <w:rsid w:val="04C51E6F"/>
    <w:rsid w:val="04CC1D57"/>
    <w:rsid w:val="053F4EE0"/>
    <w:rsid w:val="056F2E0E"/>
    <w:rsid w:val="058B7AE2"/>
    <w:rsid w:val="05C018BB"/>
    <w:rsid w:val="05C57216"/>
    <w:rsid w:val="064E5119"/>
    <w:rsid w:val="066427B9"/>
    <w:rsid w:val="06BB68B9"/>
    <w:rsid w:val="06F55595"/>
    <w:rsid w:val="071813BB"/>
    <w:rsid w:val="071874D5"/>
    <w:rsid w:val="07544B75"/>
    <w:rsid w:val="077B68AA"/>
    <w:rsid w:val="077C5CB6"/>
    <w:rsid w:val="078B414B"/>
    <w:rsid w:val="07BE01EF"/>
    <w:rsid w:val="07CE69EE"/>
    <w:rsid w:val="07E35D35"/>
    <w:rsid w:val="080261BB"/>
    <w:rsid w:val="08AE1E9F"/>
    <w:rsid w:val="08DA2C94"/>
    <w:rsid w:val="08DD2784"/>
    <w:rsid w:val="08F46A11"/>
    <w:rsid w:val="09254672"/>
    <w:rsid w:val="09AF419E"/>
    <w:rsid w:val="09AF5ECF"/>
    <w:rsid w:val="09CF031F"/>
    <w:rsid w:val="09ED462C"/>
    <w:rsid w:val="0AFB1FDF"/>
    <w:rsid w:val="0B0E4E77"/>
    <w:rsid w:val="0B5E5DFE"/>
    <w:rsid w:val="0B663B02"/>
    <w:rsid w:val="0BC35C62"/>
    <w:rsid w:val="0BE67BA2"/>
    <w:rsid w:val="0C0D512F"/>
    <w:rsid w:val="0C4072B2"/>
    <w:rsid w:val="0C6D3E1F"/>
    <w:rsid w:val="0C765ED2"/>
    <w:rsid w:val="0CA35A93"/>
    <w:rsid w:val="0CBA3508"/>
    <w:rsid w:val="0CD8398F"/>
    <w:rsid w:val="0CE90E9D"/>
    <w:rsid w:val="0D3B3DBD"/>
    <w:rsid w:val="0D8D0483"/>
    <w:rsid w:val="0DF16AE2"/>
    <w:rsid w:val="0E081091"/>
    <w:rsid w:val="0E0D58AB"/>
    <w:rsid w:val="0E164EB8"/>
    <w:rsid w:val="0E214EC1"/>
    <w:rsid w:val="0E232490"/>
    <w:rsid w:val="0E686F94"/>
    <w:rsid w:val="0E811E04"/>
    <w:rsid w:val="0EA64E27"/>
    <w:rsid w:val="0F234C69"/>
    <w:rsid w:val="0F4C2412"/>
    <w:rsid w:val="0FA15E43"/>
    <w:rsid w:val="0FAF1FDD"/>
    <w:rsid w:val="0FD3043D"/>
    <w:rsid w:val="1012162C"/>
    <w:rsid w:val="10486B97"/>
    <w:rsid w:val="10863702"/>
    <w:rsid w:val="10C5422A"/>
    <w:rsid w:val="11401FA2"/>
    <w:rsid w:val="11D57A07"/>
    <w:rsid w:val="123A3193"/>
    <w:rsid w:val="12A3059B"/>
    <w:rsid w:val="12EC1F42"/>
    <w:rsid w:val="1319085D"/>
    <w:rsid w:val="134A6C68"/>
    <w:rsid w:val="137A57A0"/>
    <w:rsid w:val="13961EAE"/>
    <w:rsid w:val="13B53D5C"/>
    <w:rsid w:val="13D604FC"/>
    <w:rsid w:val="13D671AC"/>
    <w:rsid w:val="13EA620F"/>
    <w:rsid w:val="141A488D"/>
    <w:rsid w:val="14667AD2"/>
    <w:rsid w:val="146C7BAA"/>
    <w:rsid w:val="14773A8D"/>
    <w:rsid w:val="158226E9"/>
    <w:rsid w:val="158C265C"/>
    <w:rsid w:val="159146CC"/>
    <w:rsid w:val="15CF16A7"/>
    <w:rsid w:val="15DE18EA"/>
    <w:rsid w:val="15F31839"/>
    <w:rsid w:val="16007AB2"/>
    <w:rsid w:val="16207253"/>
    <w:rsid w:val="1664023F"/>
    <w:rsid w:val="16751C2D"/>
    <w:rsid w:val="16B9652D"/>
    <w:rsid w:val="16D21CF5"/>
    <w:rsid w:val="17343EB7"/>
    <w:rsid w:val="17575E4E"/>
    <w:rsid w:val="178C5548"/>
    <w:rsid w:val="179C219A"/>
    <w:rsid w:val="17C76A44"/>
    <w:rsid w:val="17CE6C2D"/>
    <w:rsid w:val="18381785"/>
    <w:rsid w:val="189D5A8C"/>
    <w:rsid w:val="18B623EC"/>
    <w:rsid w:val="18C13529"/>
    <w:rsid w:val="19B10030"/>
    <w:rsid w:val="1A1324AA"/>
    <w:rsid w:val="1A2B77F4"/>
    <w:rsid w:val="1B6533F5"/>
    <w:rsid w:val="1BAE482A"/>
    <w:rsid w:val="1BEC64A4"/>
    <w:rsid w:val="1C827625"/>
    <w:rsid w:val="1CA94A00"/>
    <w:rsid w:val="1CE35695"/>
    <w:rsid w:val="1CE974F2"/>
    <w:rsid w:val="1D0C4F8F"/>
    <w:rsid w:val="1D0D31E0"/>
    <w:rsid w:val="1D156486"/>
    <w:rsid w:val="1D55133D"/>
    <w:rsid w:val="1DED283F"/>
    <w:rsid w:val="1E35707C"/>
    <w:rsid w:val="1ED91338"/>
    <w:rsid w:val="1F2B2044"/>
    <w:rsid w:val="1F354C71"/>
    <w:rsid w:val="1F374545"/>
    <w:rsid w:val="1F80501E"/>
    <w:rsid w:val="1FAD0E97"/>
    <w:rsid w:val="1FAD4807"/>
    <w:rsid w:val="20BB11A5"/>
    <w:rsid w:val="21010F70"/>
    <w:rsid w:val="2127683B"/>
    <w:rsid w:val="214B42D7"/>
    <w:rsid w:val="219E6AFD"/>
    <w:rsid w:val="21BA4DBD"/>
    <w:rsid w:val="21DA1AFF"/>
    <w:rsid w:val="21F4671D"/>
    <w:rsid w:val="220D77DF"/>
    <w:rsid w:val="23033B66"/>
    <w:rsid w:val="232B535A"/>
    <w:rsid w:val="234B7675"/>
    <w:rsid w:val="23F30C56"/>
    <w:rsid w:val="240510B5"/>
    <w:rsid w:val="2503582D"/>
    <w:rsid w:val="25250DAB"/>
    <w:rsid w:val="257F09F3"/>
    <w:rsid w:val="258A1146"/>
    <w:rsid w:val="25C17B45"/>
    <w:rsid w:val="25C51D55"/>
    <w:rsid w:val="264B4D7A"/>
    <w:rsid w:val="26687A2C"/>
    <w:rsid w:val="267E514F"/>
    <w:rsid w:val="268900EE"/>
    <w:rsid w:val="26A86E67"/>
    <w:rsid w:val="26BC17D3"/>
    <w:rsid w:val="26CD2103"/>
    <w:rsid w:val="26DB7EAB"/>
    <w:rsid w:val="27013CC2"/>
    <w:rsid w:val="274F2647"/>
    <w:rsid w:val="27511C82"/>
    <w:rsid w:val="27651E6B"/>
    <w:rsid w:val="276966F1"/>
    <w:rsid w:val="27914A0E"/>
    <w:rsid w:val="27DE2181"/>
    <w:rsid w:val="27EB1568"/>
    <w:rsid w:val="281A3ED6"/>
    <w:rsid w:val="285F68BA"/>
    <w:rsid w:val="28AF5DED"/>
    <w:rsid w:val="295E47E8"/>
    <w:rsid w:val="29A46C7B"/>
    <w:rsid w:val="29D20BEC"/>
    <w:rsid w:val="29EC0ECA"/>
    <w:rsid w:val="2A5319FD"/>
    <w:rsid w:val="2A606C8D"/>
    <w:rsid w:val="2BA91C7A"/>
    <w:rsid w:val="2BF13CCD"/>
    <w:rsid w:val="2C356293"/>
    <w:rsid w:val="2CD51841"/>
    <w:rsid w:val="2CE41971"/>
    <w:rsid w:val="2D095047"/>
    <w:rsid w:val="2D1B525B"/>
    <w:rsid w:val="2D8A6187"/>
    <w:rsid w:val="2DB72CF5"/>
    <w:rsid w:val="2DB94CBF"/>
    <w:rsid w:val="2DF323B4"/>
    <w:rsid w:val="2E2959A0"/>
    <w:rsid w:val="2E3420E7"/>
    <w:rsid w:val="2E6B7298"/>
    <w:rsid w:val="2ED82CC1"/>
    <w:rsid w:val="2F436F36"/>
    <w:rsid w:val="2F61116A"/>
    <w:rsid w:val="2FB97DF5"/>
    <w:rsid w:val="2FE33058"/>
    <w:rsid w:val="2FE36023"/>
    <w:rsid w:val="302326E9"/>
    <w:rsid w:val="305445E4"/>
    <w:rsid w:val="30586A11"/>
    <w:rsid w:val="30670A02"/>
    <w:rsid w:val="30A34716"/>
    <w:rsid w:val="30F009F7"/>
    <w:rsid w:val="30F11E65"/>
    <w:rsid w:val="31104BF6"/>
    <w:rsid w:val="31785014"/>
    <w:rsid w:val="3199700F"/>
    <w:rsid w:val="32033C62"/>
    <w:rsid w:val="32146CCF"/>
    <w:rsid w:val="326628C7"/>
    <w:rsid w:val="32E95947"/>
    <w:rsid w:val="32F02A7F"/>
    <w:rsid w:val="330B1B18"/>
    <w:rsid w:val="331D46CC"/>
    <w:rsid w:val="336B25B7"/>
    <w:rsid w:val="33A84AD0"/>
    <w:rsid w:val="33E660E2"/>
    <w:rsid w:val="34030A42"/>
    <w:rsid w:val="34060532"/>
    <w:rsid w:val="3422300A"/>
    <w:rsid w:val="34425A0E"/>
    <w:rsid w:val="344A041F"/>
    <w:rsid w:val="34516F4E"/>
    <w:rsid w:val="34604683"/>
    <w:rsid w:val="34A639F3"/>
    <w:rsid w:val="34E46AC5"/>
    <w:rsid w:val="34F42AC0"/>
    <w:rsid w:val="356674DA"/>
    <w:rsid w:val="35977DB1"/>
    <w:rsid w:val="35AB313F"/>
    <w:rsid w:val="35C81F43"/>
    <w:rsid w:val="362D7FF8"/>
    <w:rsid w:val="37296912"/>
    <w:rsid w:val="375D66BB"/>
    <w:rsid w:val="37C16C4A"/>
    <w:rsid w:val="37E312B6"/>
    <w:rsid w:val="38066D52"/>
    <w:rsid w:val="389E6F8B"/>
    <w:rsid w:val="389F2AD3"/>
    <w:rsid w:val="38F5113F"/>
    <w:rsid w:val="390E2362"/>
    <w:rsid w:val="392A53D3"/>
    <w:rsid w:val="394D7723"/>
    <w:rsid w:val="39930ABA"/>
    <w:rsid w:val="39A40E25"/>
    <w:rsid w:val="39AB70C9"/>
    <w:rsid w:val="39BA5499"/>
    <w:rsid w:val="39CE38A0"/>
    <w:rsid w:val="39F578C4"/>
    <w:rsid w:val="39F73C7A"/>
    <w:rsid w:val="3A0F488C"/>
    <w:rsid w:val="3A287454"/>
    <w:rsid w:val="3A3F02FA"/>
    <w:rsid w:val="3A90095A"/>
    <w:rsid w:val="3A970136"/>
    <w:rsid w:val="3A9B19D4"/>
    <w:rsid w:val="3ADD1FEC"/>
    <w:rsid w:val="3B260345"/>
    <w:rsid w:val="3CC01B5E"/>
    <w:rsid w:val="3CCD6091"/>
    <w:rsid w:val="3CD768E2"/>
    <w:rsid w:val="3CE358B4"/>
    <w:rsid w:val="3D167A38"/>
    <w:rsid w:val="3D4F3E37"/>
    <w:rsid w:val="3DB74075"/>
    <w:rsid w:val="3DCD42DF"/>
    <w:rsid w:val="3E3F7FF3"/>
    <w:rsid w:val="3E5A1BA6"/>
    <w:rsid w:val="3E661C02"/>
    <w:rsid w:val="3E832EAB"/>
    <w:rsid w:val="3EA572C5"/>
    <w:rsid w:val="3EBD7E9E"/>
    <w:rsid w:val="3ED43706"/>
    <w:rsid w:val="3EF142B8"/>
    <w:rsid w:val="3F023B2A"/>
    <w:rsid w:val="3F051B12"/>
    <w:rsid w:val="3F1A2055"/>
    <w:rsid w:val="3F9335C1"/>
    <w:rsid w:val="3FE94F8F"/>
    <w:rsid w:val="40017A2B"/>
    <w:rsid w:val="401960CE"/>
    <w:rsid w:val="402266F3"/>
    <w:rsid w:val="40440A7D"/>
    <w:rsid w:val="40730CFD"/>
    <w:rsid w:val="40B12940"/>
    <w:rsid w:val="40B820CA"/>
    <w:rsid w:val="40F57964"/>
    <w:rsid w:val="4154649D"/>
    <w:rsid w:val="41962E1D"/>
    <w:rsid w:val="41B36FD9"/>
    <w:rsid w:val="422229DB"/>
    <w:rsid w:val="42530DE6"/>
    <w:rsid w:val="42B5384F"/>
    <w:rsid w:val="42DA5063"/>
    <w:rsid w:val="42F7157A"/>
    <w:rsid w:val="42FE6FA4"/>
    <w:rsid w:val="430B16C1"/>
    <w:rsid w:val="43240474"/>
    <w:rsid w:val="43433705"/>
    <w:rsid w:val="43754D8C"/>
    <w:rsid w:val="43944869"/>
    <w:rsid w:val="43B6787E"/>
    <w:rsid w:val="43BB4E95"/>
    <w:rsid w:val="43C401ED"/>
    <w:rsid w:val="43D756BF"/>
    <w:rsid w:val="43F959BD"/>
    <w:rsid w:val="44652B2E"/>
    <w:rsid w:val="447F5EC2"/>
    <w:rsid w:val="4496320C"/>
    <w:rsid w:val="449C6A74"/>
    <w:rsid w:val="44AB6CB7"/>
    <w:rsid w:val="44B34465"/>
    <w:rsid w:val="44F20D8A"/>
    <w:rsid w:val="456C67DF"/>
    <w:rsid w:val="45A155E6"/>
    <w:rsid w:val="45DD6443"/>
    <w:rsid w:val="460008B6"/>
    <w:rsid w:val="46537607"/>
    <w:rsid w:val="470D1225"/>
    <w:rsid w:val="473A4323"/>
    <w:rsid w:val="474927B8"/>
    <w:rsid w:val="476D46F8"/>
    <w:rsid w:val="479003E6"/>
    <w:rsid w:val="47E04ECA"/>
    <w:rsid w:val="47EB7667"/>
    <w:rsid w:val="48081D82"/>
    <w:rsid w:val="4816291B"/>
    <w:rsid w:val="483E7359"/>
    <w:rsid w:val="48693111"/>
    <w:rsid w:val="48711693"/>
    <w:rsid w:val="48C4422D"/>
    <w:rsid w:val="48D657E3"/>
    <w:rsid w:val="48FF5824"/>
    <w:rsid w:val="490746D8"/>
    <w:rsid w:val="492029CB"/>
    <w:rsid w:val="4984721C"/>
    <w:rsid w:val="499248EA"/>
    <w:rsid w:val="49995C78"/>
    <w:rsid w:val="49DB1DED"/>
    <w:rsid w:val="49E60792"/>
    <w:rsid w:val="49EA60A3"/>
    <w:rsid w:val="4A2C2648"/>
    <w:rsid w:val="4A2D4613"/>
    <w:rsid w:val="4A5120AF"/>
    <w:rsid w:val="4A655B5A"/>
    <w:rsid w:val="4A9B157C"/>
    <w:rsid w:val="4AE86D83"/>
    <w:rsid w:val="4B4340EE"/>
    <w:rsid w:val="4BB02E05"/>
    <w:rsid w:val="4BE672D8"/>
    <w:rsid w:val="4BEE392E"/>
    <w:rsid w:val="4C493E45"/>
    <w:rsid w:val="4C510125"/>
    <w:rsid w:val="4C6B4F7E"/>
    <w:rsid w:val="4C714C8A"/>
    <w:rsid w:val="4C9B3AA7"/>
    <w:rsid w:val="4CB02BD8"/>
    <w:rsid w:val="4D115B26"/>
    <w:rsid w:val="4D333CEE"/>
    <w:rsid w:val="4DF13B7E"/>
    <w:rsid w:val="4E93713A"/>
    <w:rsid w:val="4ED30E28"/>
    <w:rsid w:val="4F1D2EA8"/>
    <w:rsid w:val="4F422F15"/>
    <w:rsid w:val="4F5F2D3D"/>
    <w:rsid w:val="4FB7080A"/>
    <w:rsid w:val="507C3BFE"/>
    <w:rsid w:val="5080549C"/>
    <w:rsid w:val="509B2FAA"/>
    <w:rsid w:val="50D17AA6"/>
    <w:rsid w:val="510A1BF3"/>
    <w:rsid w:val="51281690"/>
    <w:rsid w:val="512F694D"/>
    <w:rsid w:val="51556929"/>
    <w:rsid w:val="51564591"/>
    <w:rsid w:val="518014CC"/>
    <w:rsid w:val="51D35A9F"/>
    <w:rsid w:val="51F30C2F"/>
    <w:rsid w:val="524E1D5E"/>
    <w:rsid w:val="528C4B1C"/>
    <w:rsid w:val="528F038A"/>
    <w:rsid w:val="529B60BF"/>
    <w:rsid w:val="52C91F62"/>
    <w:rsid w:val="53204D14"/>
    <w:rsid w:val="53E63D46"/>
    <w:rsid w:val="53F00B8B"/>
    <w:rsid w:val="541B478E"/>
    <w:rsid w:val="545C1D7C"/>
    <w:rsid w:val="55191A1B"/>
    <w:rsid w:val="55684751"/>
    <w:rsid w:val="556A04C9"/>
    <w:rsid w:val="557475AB"/>
    <w:rsid w:val="55930949"/>
    <w:rsid w:val="55A311A0"/>
    <w:rsid w:val="55C962C6"/>
    <w:rsid w:val="55EA689C"/>
    <w:rsid w:val="55FD758F"/>
    <w:rsid w:val="56CD51B3"/>
    <w:rsid w:val="57256D9D"/>
    <w:rsid w:val="57460AC2"/>
    <w:rsid w:val="574D1E50"/>
    <w:rsid w:val="57831D16"/>
    <w:rsid w:val="57AD014D"/>
    <w:rsid w:val="57B95737"/>
    <w:rsid w:val="57FB25EA"/>
    <w:rsid w:val="58716EA9"/>
    <w:rsid w:val="58B32187"/>
    <w:rsid w:val="58B4053E"/>
    <w:rsid w:val="58B71C77"/>
    <w:rsid w:val="58BA1767"/>
    <w:rsid w:val="58C768BC"/>
    <w:rsid w:val="58CA7BFC"/>
    <w:rsid w:val="59091A10"/>
    <w:rsid w:val="59350DEE"/>
    <w:rsid w:val="594A4899"/>
    <w:rsid w:val="596E29A7"/>
    <w:rsid w:val="59701658"/>
    <w:rsid w:val="597A4A53"/>
    <w:rsid w:val="597C0174"/>
    <w:rsid w:val="599C1C89"/>
    <w:rsid w:val="59A541C5"/>
    <w:rsid w:val="59AD6BD6"/>
    <w:rsid w:val="59FB6D28"/>
    <w:rsid w:val="5A0E58C7"/>
    <w:rsid w:val="5A70032F"/>
    <w:rsid w:val="5A8867AF"/>
    <w:rsid w:val="5A8F3351"/>
    <w:rsid w:val="5AC97A40"/>
    <w:rsid w:val="5ACB7C80"/>
    <w:rsid w:val="5B3C6463"/>
    <w:rsid w:val="5B44356A"/>
    <w:rsid w:val="5BA56442"/>
    <w:rsid w:val="5BE663CF"/>
    <w:rsid w:val="5C8005D2"/>
    <w:rsid w:val="5CB424C4"/>
    <w:rsid w:val="5D30024A"/>
    <w:rsid w:val="5D3513BC"/>
    <w:rsid w:val="5D395350"/>
    <w:rsid w:val="5D50269A"/>
    <w:rsid w:val="5D583DD1"/>
    <w:rsid w:val="5D5C70B6"/>
    <w:rsid w:val="5D7A14C5"/>
    <w:rsid w:val="5D850596"/>
    <w:rsid w:val="5E190CDE"/>
    <w:rsid w:val="5E5F4D8B"/>
    <w:rsid w:val="5F772160"/>
    <w:rsid w:val="5FDE6237"/>
    <w:rsid w:val="5FF732A1"/>
    <w:rsid w:val="6051475F"/>
    <w:rsid w:val="605D3104"/>
    <w:rsid w:val="605F47B9"/>
    <w:rsid w:val="606049A2"/>
    <w:rsid w:val="60AA0A9B"/>
    <w:rsid w:val="60AE52C8"/>
    <w:rsid w:val="60E170B6"/>
    <w:rsid w:val="619A115C"/>
    <w:rsid w:val="62436CEE"/>
    <w:rsid w:val="629708E9"/>
    <w:rsid w:val="62C3746A"/>
    <w:rsid w:val="62E03E73"/>
    <w:rsid w:val="63A728E8"/>
    <w:rsid w:val="63F35B2D"/>
    <w:rsid w:val="64105BFF"/>
    <w:rsid w:val="645C2D7B"/>
    <w:rsid w:val="64660AC3"/>
    <w:rsid w:val="6477050C"/>
    <w:rsid w:val="64771F77"/>
    <w:rsid w:val="649151E4"/>
    <w:rsid w:val="64CC2606"/>
    <w:rsid w:val="64E61678"/>
    <w:rsid w:val="65072C96"/>
    <w:rsid w:val="651672CE"/>
    <w:rsid w:val="65476A4C"/>
    <w:rsid w:val="65E550C0"/>
    <w:rsid w:val="65EA5C9E"/>
    <w:rsid w:val="660D6878"/>
    <w:rsid w:val="668A1EB7"/>
    <w:rsid w:val="66EA3218"/>
    <w:rsid w:val="672A3F5C"/>
    <w:rsid w:val="679D250C"/>
    <w:rsid w:val="67BF28F6"/>
    <w:rsid w:val="68060525"/>
    <w:rsid w:val="683F683A"/>
    <w:rsid w:val="68543872"/>
    <w:rsid w:val="688C4794"/>
    <w:rsid w:val="6898445B"/>
    <w:rsid w:val="6905258B"/>
    <w:rsid w:val="691D39E3"/>
    <w:rsid w:val="693243EA"/>
    <w:rsid w:val="69690D6B"/>
    <w:rsid w:val="698F00A6"/>
    <w:rsid w:val="6999141B"/>
    <w:rsid w:val="69A022B3"/>
    <w:rsid w:val="6A1F3163"/>
    <w:rsid w:val="6A2B6021"/>
    <w:rsid w:val="6A507835"/>
    <w:rsid w:val="6A8B6AC0"/>
    <w:rsid w:val="6AF747FE"/>
    <w:rsid w:val="6AFA59F3"/>
    <w:rsid w:val="6B4B0570"/>
    <w:rsid w:val="6BB87D88"/>
    <w:rsid w:val="6BBC6CDC"/>
    <w:rsid w:val="6BFA3323"/>
    <w:rsid w:val="6C2A2765"/>
    <w:rsid w:val="6C7C7008"/>
    <w:rsid w:val="6D4F69FE"/>
    <w:rsid w:val="6D57537F"/>
    <w:rsid w:val="6DF8446C"/>
    <w:rsid w:val="6E587601"/>
    <w:rsid w:val="6E957F0D"/>
    <w:rsid w:val="6ED07197"/>
    <w:rsid w:val="6ED22F0F"/>
    <w:rsid w:val="6FC34EEE"/>
    <w:rsid w:val="6FC82564"/>
    <w:rsid w:val="6FF87CDB"/>
    <w:rsid w:val="6FF9404A"/>
    <w:rsid w:val="702C664F"/>
    <w:rsid w:val="704A4D27"/>
    <w:rsid w:val="706758D9"/>
    <w:rsid w:val="707873B4"/>
    <w:rsid w:val="707D3B18"/>
    <w:rsid w:val="708B5A6B"/>
    <w:rsid w:val="7091550C"/>
    <w:rsid w:val="70DC5EF3"/>
    <w:rsid w:val="710E5989"/>
    <w:rsid w:val="71481634"/>
    <w:rsid w:val="714E71ED"/>
    <w:rsid w:val="715B7B25"/>
    <w:rsid w:val="71F413EE"/>
    <w:rsid w:val="72031631"/>
    <w:rsid w:val="72192C03"/>
    <w:rsid w:val="72693B8A"/>
    <w:rsid w:val="72DF66EF"/>
    <w:rsid w:val="731004AA"/>
    <w:rsid w:val="73216213"/>
    <w:rsid w:val="732B0E40"/>
    <w:rsid w:val="73335F46"/>
    <w:rsid w:val="736600CA"/>
    <w:rsid w:val="73FA3514"/>
    <w:rsid w:val="743D44A4"/>
    <w:rsid w:val="74566390"/>
    <w:rsid w:val="74B9247B"/>
    <w:rsid w:val="74DF0134"/>
    <w:rsid w:val="74FD6094"/>
    <w:rsid w:val="75154854"/>
    <w:rsid w:val="75371D1E"/>
    <w:rsid w:val="75526B58"/>
    <w:rsid w:val="76164029"/>
    <w:rsid w:val="766A6F07"/>
    <w:rsid w:val="76DA52BB"/>
    <w:rsid w:val="77476062"/>
    <w:rsid w:val="778D649E"/>
    <w:rsid w:val="77935205"/>
    <w:rsid w:val="77A94A29"/>
    <w:rsid w:val="77BF5846"/>
    <w:rsid w:val="781B1759"/>
    <w:rsid w:val="7840713B"/>
    <w:rsid w:val="79975481"/>
    <w:rsid w:val="7A030765"/>
    <w:rsid w:val="7A1E6E1F"/>
    <w:rsid w:val="7A322A8B"/>
    <w:rsid w:val="7A3F3423"/>
    <w:rsid w:val="7AE30252"/>
    <w:rsid w:val="7B0D2B47"/>
    <w:rsid w:val="7B2C39A7"/>
    <w:rsid w:val="7B35445B"/>
    <w:rsid w:val="7B6770D5"/>
    <w:rsid w:val="7B806E47"/>
    <w:rsid w:val="7BC277BE"/>
    <w:rsid w:val="7BE040CE"/>
    <w:rsid w:val="7BED3344"/>
    <w:rsid w:val="7BF34B3B"/>
    <w:rsid w:val="7D553689"/>
    <w:rsid w:val="7D5F5DF8"/>
    <w:rsid w:val="7DA17844"/>
    <w:rsid w:val="7DD520D4"/>
    <w:rsid w:val="7EE051D4"/>
    <w:rsid w:val="7EF23AA2"/>
    <w:rsid w:val="7EF26CB5"/>
    <w:rsid w:val="7EFC7B34"/>
    <w:rsid w:val="7F362D52"/>
    <w:rsid w:val="7F4D61DF"/>
    <w:rsid w:val="7F5D6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9">
    <w:name w:val="List Paragraph"/>
    <w:basedOn w:val="1"/>
    <w:unhideWhenUsed/>
    <w:qFormat/>
    <w:uiPriority w:val="99"/>
    <w:pPr>
      <w:ind w:firstLine="420" w:firstLineChars="200"/>
    </w:pPr>
  </w:style>
  <w:style w:type="paragraph" w:customStyle="1" w:styleId="10">
    <w:name w:val="WPSOffice手动目录 1"/>
    <w:uiPriority w:val="0"/>
    <w:pPr>
      <w:ind w:leftChars="0"/>
    </w:pPr>
    <w:rPr>
      <w:rFonts w:ascii="Times New Roman" w:hAnsi="Times New Roman" w:eastAsia="宋体" w:cs="Times New Roman"/>
      <w:sz w:val="20"/>
      <w:szCs w:val="20"/>
    </w:rPr>
  </w:style>
  <w:style w:type="paragraph" w:customStyle="1" w:styleId="11">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6506</Words>
  <Characters>7849</Characters>
  <Lines>0</Lines>
  <Paragraphs>0</Paragraphs>
  <TotalTime>1</TotalTime>
  <ScaleCrop>false</ScaleCrop>
  <LinksUpToDate>false</LinksUpToDate>
  <CharactersWithSpaces>8313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2022-07-27T04:24:00Z</dcterms:created>
  <dc:creator>大眼睛</dc:creator>
  <cp:lastModifiedBy>FallingUpstream</cp:lastModifiedBy>
  <cp:lastPrinted>2022-07-28T02:16:00Z</cp:lastPrinted>
  <dcterms:modified xsi:type="dcterms:W3CDTF">2023-09-29T08:41:15Z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1992E9B07EF944FEBE2A8E5D0FE1EB5C</vt:lpwstr>
  </property>
</Properties>
</file>