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64826"/>
        <w15:color w:val="DBDBDB"/>
        <w:docPartObj>
          <w:docPartGallery w:val="Table of Contents"/>
          <w:docPartUnique/>
        </w:docPartObj>
      </w:sdtPr>
      <w:sdtEndPr>
        <w:rPr>
          <w:rFonts w:hint="eastAsia" w:ascii="宋体" w:hAnsi="宋体" w:eastAsia="宋体" w:cs="Times New Roman"/>
          <w:b/>
          <w:color w:val="000000"/>
          <w:kern w:val="2"/>
          <w:sz w:val="21"/>
          <w:szCs w:val="4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r>
            <w:rPr>
              <w:rFonts w:hint="eastAsia"/>
              <w:lang w:val="en-US" w:eastAsia="zh-CN"/>
            </w:rPr>
            <w:tab/>
          </w:r>
          <w:r>
            <w:rPr>
              <w:rFonts w:ascii="华文中宋" w:hAnsi="华文中宋" w:eastAsia="华文中宋" w:cs="华文中宋"/>
              <w:color w:val="000000"/>
              <w:kern w:val="0"/>
              <w:sz w:val="40"/>
              <w:szCs w:val="40"/>
              <w:lang w:val="en-US" w:eastAsia="zh-CN" w:bidi="ar"/>
            </w:rPr>
            <w:t>大 同 市 第 二 看 守 所</w:t>
          </w:r>
        </w:p>
        <w:p>
          <w:pPr>
            <w:keepNext w:val="0"/>
            <w:keepLines w:val="0"/>
            <w:widowControl/>
            <w:suppressLineNumbers w:val="0"/>
            <w:jc w:val="center"/>
            <w:rPr>
              <w:rFonts w:ascii="华文中宋" w:hAnsi="华文中宋" w:eastAsia="华文中宋" w:cs="华文中宋"/>
              <w:color w:val="000000"/>
              <w:kern w:val="0"/>
              <w:sz w:val="40"/>
              <w:szCs w:val="40"/>
              <w:lang w:val="en-US" w:eastAsia="zh-CN" w:bidi="ar"/>
            </w:rPr>
          </w:pPr>
        </w:p>
        <w:p>
          <w:pPr>
            <w:spacing w:before="112"/>
            <w:ind w:left="110" w:firstLine="2000" w:firstLineChars="500"/>
            <w:rPr>
              <w:rFonts w:hint="default" w:ascii="仿宋" w:eastAsia="仿宋"/>
              <w:b w:val="0"/>
              <w:bCs w:val="0"/>
              <w:spacing w:val="-2"/>
              <w:sz w:val="28"/>
              <w:szCs w:val="24"/>
              <w:lang w:val="en-US" w:eastAsia="zh-CN"/>
            </w:rPr>
          </w:pPr>
          <w:r>
            <w:rPr>
              <w:rFonts w:hint="eastAsia" w:ascii="华文中宋" w:hAnsi="华文中宋" w:eastAsia="华文中宋" w:cs="华文中宋"/>
              <w:color w:val="000000"/>
              <w:kern w:val="0"/>
              <w:sz w:val="40"/>
              <w:szCs w:val="40"/>
              <w:lang w:val="en-US" w:eastAsia="zh-CN" w:bidi="ar"/>
            </w:rPr>
            <w:t>2 0 2 1年 度 单 位 决 算 公 开</w:t>
          </w:r>
        </w:p>
        <w:p>
          <w:pPr>
            <w:tabs>
              <w:tab w:val="left" w:pos="3111"/>
            </w:tabs>
            <w:bidi w:val="0"/>
            <w:jc w:val="left"/>
            <w:rPr>
              <w:lang w:val="en-US" w:eastAsia="zh-CN"/>
            </w:rPr>
            <w:sectPr>
              <w:pgSz w:w="11906" w:h="16838"/>
              <w:pgMar w:top="1134" w:right="1020" w:bottom="1440" w:left="1020"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目录</w:t>
          </w:r>
        </w:p>
        <w:p>
          <w:pPr>
            <w:pStyle w:val="11"/>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TOC \o "1-2" \h \u </w:instrText>
          </w:r>
          <w:r>
            <w:rPr>
              <w:rFonts w:hint="eastAsia" w:ascii="宋体" w:hAnsi="宋体" w:eastAsia="宋体" w:cs="宋体"/>
              <w:b/>
              <w:color w:val="000000"/>
              <w:sz w:val="28"/>
              <w:szCs w:val="28"/>
            </w:rPr>
            <w:fldChar w:fldCharType="separate"/>
          </w:r>
          <w:r>
            <w:rPr>
              <w:rFonts w:hint="eastAsia" w:ascii="黑体" w:hAnsi="黑体" w:eastAsia="黑体" w:cs="黑体"/>
              <w:b w:val="0"/>
              <w:bCs/>
              <w:color w:val="000000"/>
              <w:sz w:val="28"/>
              <w:szCs w:val="28"/>
            </w:rPr>
            <w:fldChar w:fldCharType="begin"/>
          </w:r>
          <w:r>
            <w:rPr>
              <w:rFonts w:hint="eastAsia" w:ascii="黑体" w:hAnsi="黑体" w:eastAsia="黑体" w:cs="黑体"/>
              <w:b w:val="0"/>
              <w:bCs/>
              <w:sz w:val="28"/>
              <w:szCs w:val="28"/>
            </w:rPr>
            <w:instrText xml:space="preserve"> HYPERLINK \l _Toc3936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lang w:val="en-US" w:eastAsia="zh-CN"/>
            </w:rPr>
            <w:t>第一部分 概况</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_Toc3936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1</w:t>
          </w:r>
          <w:r>
            <w:rPr>
              <w:rFonts w:hint="eastAsia" w:ascii="黑体" w:hAnsi="黑体" w:eastAsia="黑体" w:cs="黑体"/>
              <w:b w:val="0"/>
              <w:bCs/>
              <w:sz w:val="28"/>
              <w:szCs w:val="28"/>
            </w:rPr>
            <w:fldChar w:fldCharType="end"/>
          </w:r>
          <w:r>
            <w:rPr>
              <w:rFonts w:hint="eastAsia" w:ascii="黑体" w:hAnsi="黑体" w:eastAsia="黑体" w:cs="黑体"/>
              <w:b w:val="0"/>
              <w:bCs/>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_Toc19314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一、本部门（单位）职责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_Toc19314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_Toc8059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_Toc8059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1"/>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sz w:val="28"/>
              <w:szCs w:val="28"/>
            </w:rPr>
            <w:instrText xml:space="preserve"> HYPERLINK \l _Toc14040 </w:instrText>
          </w:r>
          <w:r>
            <w:rPr>
              <w:rFonts w:hint="eastAsia" w:ascii="宋体" w:hAnsi="宋体" w:eastAsia="宋体" w:cs="宋体"/>
              <w:b/>
              <w:sz w:val="28"/>
              <w:szCs w:val="28"/>
            </w:rPr>
            <w:fldChar w:fldCharType="separate"/>
          </w:r>
          <w:r>
            <w:rPr>
              <w:rFonts w:hint="eastAsia" w:ascii="黑体" w:hAnsi="黑体" w:eastAsia="黑体" w:cs="黑体"/>
              <w:b w:val="0"/>
              <w:bCs/>
              <w:sz w:val="28"/>
              <w:szCs w:val="28"/>
              <w:lang w:val="en-US" w:eastAsia="zh-CN"/>
            </w:rPr>
            <w:t>第二部分  2022年度部门决算报表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_Toc14040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w:t>
          </w:r>
          <w:r>
            <w:rPr>
              <w:rFonts w:hint="eastAsia" w:ascii="宋体" w:hAnsi="宋体" w:eastAsia="宋体" w:cs="宋体"/>
              <w:b/>
              <w:sz w:val="28"/>
              <w:szCs w:val="28"/>
            </w:rPr>
            <w:fldChar w:fldCharType="end"/>
          </w:r>
          <w:r>
            <w:rPr>
              <w:rFonts w:hint="eastAsia" w:ascii="宋体" w:hAnsi="宋体" w:eastAsia="宋体" w:cs="宋体"/>
              <w:b/>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_Toc29128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_Toc29128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_Toc19346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_Toc19346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_Toc13655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_Toc13655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_Toc3528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_Toc3528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_Toc4515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_Toc4515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_Toc13113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_Toc13113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_Toc2289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_Toc2289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_Toc21136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_Toc21136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_Toc26321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_Toc26321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_Toc8801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部门决算公开相关信息统计表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_Toc8801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1"/>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sz w:val="28"/>
              <w:szCs w:val="28"/>
            </w:rPr>
            <w:instrText xml:space="preserve"> HYPERLINK \l _Toc25512 </w:instrText>
          </w:r>
          <w:r>
            <w:rPr>
              <w:rFonts w:hint="eastAsia" w:ascii="宋体" w:hAnsi="宋体" w:eastAsia="宋体" w:cs="宋体"/>
              <w:b/>
              <w:sz w:val="28"/>
              <w:szCs w:val="28"/>
            </w:rPr>
            <w:fldChar w:fldCharType="separate"/>
          </w:r>
          <w:r>
            <w:rPr>
              <w:rFonts w:hint="eastAsia" w:ascii="黑体" w:hAnsi="黑体" w:eastAsia="黑体" w:cs="黑体"/>
              <w:b w:val="0"/>
              <w:bCs/>
              <w:sz w:val="28"/>
              <w:szCs w:val="28"/>
              <w:lang w:val="en-US" w:eastAsia="zh-CN"/>
            </w:rPr>
            <w:t>第三部分   2021年部门决算情况说明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_Toc25512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16</w:t>
          </w:r>
          <w:r>
            <w:rPr>
              <w:rFonts w:hint="eastAsia" w:ascii="宋体" w:hAnsi="宋体" w:eastAsia="宋体" w:cs="宋体"/>
              <w:b/>
              <w:sz w:val="28"/>
              <w:szCs w:val="28"/>
            </w:rPr>
            <w:fldChar w:fldCharType="end"/>
          </w:r>
          <w:r>
            <w:rPr>
              <w:rFonts w:hint="eastAsia" w:ascii="宋体" w:hAnsi="宋体" w:eastAsia="宋体" w:cs="宋体"/>
              <w:b/>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_Toc27931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w:t>
          </w:r>
          <w:r>
            <w:rPr>
              <w:rFonts w:hint="eastAsia" w:ascii="仿宋" w:hAnsi="仿宋" w:eastAsia="仿宋" w:cs="仿宋"/>
              <w:bCs/>
              <w:sz w:val="28"/>
              <w:szCs w:val="28"/>
            </w:rPr>
            <w:t>收</w:t>
          </w:r>
          <w:r>
            <w:rPr>
              <w:rFonts w:hint="eastAsia" w:ascii="仿宋" w:hAnsi="仿宋" w:eastAsia="仿宋" w:cs="仿宋"/>
              <w:bCs/>
              <w:sz w:val="28"/>
              <w:szCs w:val="28"/>
              <w:lang w:val="en-US" w:eastAsia="zh-CN"/>
            </w:rPr>
            <w:t>入支出</w:t>
          </w:r>
          <w:r>
            <w:rPr>
              <w:rFonts w:hint="eastAsia" w:ascii="仿宋" w:hAnsi="仿宋" w:eastAsia="仿宋" w:cs="仿宋"/>
              <w:bCs/>
              <w:sz w:val="28"/>
              <w:szCs w:val="28"/>
            </w:rPr>
            <w:t>决算</w:t>
          </w:r>
          <w:r>
            <w:rPr>
              <w:rFonts w:hint="eastAsia" w:ascii="仿宋" w:hAnsi="仿宋" w:eastAsia="仿宋" w:cs="仿宋"/>
              <w:bCs/>
              <w:sz w:val="28"/>
              <w:szCs w:val="28"/>
              <w:lang w:val="en-US" w:eastAsia="zh-CN"/>
            </w:rPr>
            <w:t>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_Toc27931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_Toc11615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_Toc11615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_Toc18795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_Toc18795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_Toc18092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_Toc18092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_Toc25323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五、一般公共预算财政拨款支出决算情况说明</w:t>
          </w:r>
          <w:r>
            <w:rPr>
              <w:rFonts w:hint="eastAsia" w:ascii="仿宋" w:hAnsi="仿宋" w:eastAsia="仿宋" w:cs="仿宋"/>
              <w:bCs/>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_Toc25323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_Toc31126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_Toc31126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_Toc15632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七、一般公共预算财政拨款“三公”经费支出决算情况说明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_Toc15632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2"/>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_Toc16158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八、其他重要事项情况说明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_Toc16158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1"/>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sz w:val="28"/>
              <w:szCs w:val="28"/>
            </w:rPr>
            <w:instrText xml:space="preserve"> HYPERLINK \l _Toc27312 </w:instrText>
          </w:r>
          <w:r>
            <w:rPr>
              <w:rFonts w:hint="eastAsia" w:ascii="宋体" w:hAnsi="宋体" w:eastAsia="宋体" w:cs="宋体"/>
              <w:b/>
              <w:sz w:val="28"/>
              <w:szCs w:val="28"/>
            </w:rPr>
            <w:fldChar w:fldCharType="separate"/>
          </w:r>
          <w:r>
            <w:rPr>
              <w:rFonts w:hint="eastAsia" w:ascii="黑体" w:hAnsi="黑体" w:eastAsia="黑体" w:cs="黑体"/>
              <w:b w:val="0"/>
              <w:bCs/>
              <w:sz w:val="28"/>
              <w:szCs w:val="28"/>
              <w:lang w:val="en-US" w:eastAsia="zh-CN"/>
            </w:rPr>
            <w:t>第四部分  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_Toc27312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23</w:t>
          </w:r>
          <w:r>
            <w:rPr>
              <w:rFonts w:hint="eastAsia" w:ascii="宋体" w:hAnsi="宋体" w:eastAsia="宋体" w:cs="宋体"/>
              <w:b/>
              <w:sz w:val="28"/>
              <w:szCs w:val="28"/>
            </w:rPr>
            <w:fldChar w:fldCharType="end"/>
          </w:r>
          <w:r>
            <w:rPr>
              <w:rFonts w:hint="eastAsia" w:ascii="宋体" w:hAnsi="宋体" w:eastAsia="宋体" w:cs="宋体"/>
              <w:b/>
              <w:color w:val="000000"/>
              <w:sz w:val="28"/>
              <w:szCs w:val="28"/>
            </w:rPr>
            <w:fldChar w:fldCharType="end"/>
          </w:r>
        </w:p>
        <w:p>
          <w:pPr>
            <w:pStyle w:val="11"/>
            <w:keepNext w:val="0"/>
            <w:keepLines w:val="0"/>
            <w:pageBreakBefore w:val="0"/>
            <w:tabs>
              <w:tab w:val="right" w:leader="dot" w:pos="9866"/>
            </w:tabs>
            <w:kinsoku/>
            <w:wordWrap/>
            <w:overflowPunct/>
            <w:topLinePunct w:val="0"/>
            <w:autoSpaceDE/>
            <w:autoSpaceDN/>
            <w:bidi w:val="0"/>
            <w:adjustRightInd/>
            <w:snapToGrid/>
            <w:spacing w:line="480" w:lineRule="exact"/>
            <w:textAlignment w:val="auto"/>
            <w:rPr>
              <w:rFonts w:hint="eastAsia" w:ascii="宋体" w:hAnsi="宋体" w:eastAsia="宋体" w:cs="宋体"/>
              <w:b/>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sz w:val="28"/>
              <w:szCs w:val="28"/>
            </w:rPr>
            <w:instrText xml:space="preserve"> HYPERLINK \l _Toc18074 </w:instrText>
          </w:r>
          <w:r>
            <w:rPr>
              <w:rFonts w:hint="eastAsia" w:ascii="宋体" w:hAnsi="宋体" w:eastAsia="宋体" w:cs="宋体"/>
              <w:b/>
              <w:sz w:val="28"/>
              <w:szCs w:val="28"/>
            </w:rPr>
            <w:fldChar w:fldCharType="separate"/>
          </w:r>
          <w:r>
            <w:rPr>
              <w:rFonts w:hint="eastAsia" w:ascii="黑体" w:hAnsi="黑体" w:eastAsia="黑体" w:cs="黑体"/>
              <w:b w:val="0"/>
              <w:bCs/>
              <w:sz w:val="28"/>
              <w:szCs w:val="28"/>
              <w:lang w:val="en-US" w:eastAsia="zh-CN"/>
            </w:rPr>
            <w:t>第五部分  附件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_Toc18074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24</w:t>
          </w:r>
          <w:r>
            <w:rPr>
              <w:rFonts w:hint="eastAsia" w:ascii="宋体" w:hAnsi="宋体" w:eastAsia="宋体" w:cs="宋体"/>
              <w:b/>
              <w:sz w:val="28"/>
              <w:szCs w:val="28"/>
            </w:rPr>
            <w:fldChar w:fldCharType="end"/>
          </w:r>
          <w:r>
            <w:rPr>
              <w:rFonts w:hint="eastAsia" w:ascii="宋体" w:hAnsi="宋体" w:eastAsia="宋体" w:cs="宋体"/>
              <w:b/>
              <w:color w:val="00000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b/>
              <w:color w:val="000000"/>
              <w:sz w:val="44"/>
              <w:szCs w:val="44"/>
            </w:rPr>
            <w:sectPr>
              <w:footerReference r:id="rId3" w:type="default"/>
              <w:pgSz w:w="11906" w:h="16838"/>
              <w:pgMar w:top="1134" w:right="1020" w:bottom="1440" w:left="1020" w:header="851" w:footer="992" w:gutter="0"/>
              <w:pgNumType w:start="1"/>
              <w:cols w:space="0" w:num="1"/>
              <w:rtlGutter w:val="0"/>
              <w:docGrid w:type="lines" w:linePitch="312" w:charSpace="0"/>
            </w:sectPr>
          </w:pPr>
          <w:r>
            <w:rPr>
              <w:rFonts w:hint="eastAsia" w:ascii="宋体" w:hAnsi="宋体" w:eastAsia="宋体" w:cs="宋体"/>
              <w:b/>
              <w:color w:val="000000"/>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b/>
          <w:color w:val="000000"/>
          <w:sz w:val="44"/>
          <w:szCs w:val="44"/>
        </w:rPr>
      </w:pPr>
    </w:p>
    <w:p>
      <w:pPr>
        <w:pStyle w:val="2"/>
        <w:numPr>
          <w:ilvl w:val="0"/>
          <w:numId w:val="1"/>
        </w:numPr>
        <w:bidi w:val="0"/>
        <w:jc w:val="center"/>
        <w:rPr>
          <w:rFonts w:hint="eastAsia" w:ascii="黑体" w:hAnsi="黑体" w:eastAsia="黑体" w:cs="黑体"/>
          <w:b w:val="0"/>
          <w:bCs/>
          <w:color w:val="000000"/>
          <w:sz w:val="36"/>
          <w:szCs w:val="36"/>
          <w:lang w:val="en-US" w:eastAsia="zh-CN"/>
        </w:rPr>
      </w:pPr>
      <w:bookmarkStart w:id="0" w:name="_Toc3936"/>
      <w:r>
        <w:rPr>
          <w:rFonts w:hint="eastAsia" w:ascii="宋体" w:hAnsi="宋体" w:eastAsia="宋体" w:cs="宋体"/>
          <w:sz w:val="36"/>
          <w:szCs w:val="36"/>
          <w:lang w:val="en-US" w:eastAsia="zh-CN"/>
        </w:rPr>
        <w:t>概况</w:t>
      </w:r>
      <w:bookmarkEnd w:id="0"/>
    </w:p>
    <w:p>
      <w:pPr>
        <w:pStyle w:val="3"/>
        <w:bidi w:val="0"/>
        <w:ind w:firstLine="640" w:firstLineChars="200"/>
        <w:rPr>
          <w:rFonts w:hint="eastAsia"/>
          <w:b w:val="0"/>
          <w:bCs/>
          <w:lang w:val="en-US" w:eastAsia="zh-CN"/>
        </w:rPr>
      </w:pPr>
      <w:bookmarkStart w:id="1" w:name="_Toc19314"/>
      <w:r>
        <w:rPr>
          <w:rFonts w:hint="eastAsia"/>
          <w:b w:val="0"/>
          <w:bCs/>
          <w:lang w:val="en-US" w:eastAsia="zh-CN"/>
        </w:rPr>
        <w:t>一、本部门（单位）职责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大同市第二看守所</w:t>
      </w:r>
      <w:r>
        <w:rPr>
          <w:rFonts w:hint="eastAsia" w:ascii="仿宋_GB2312" w:eastAsia="仿宋_GB2312"/>
          <w:sz w:val="32"/>
          <w:szCs w:val="32"/>
        </w:rPr>
        <w:t xml:space="preserve">主要承担以下工作职责：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羁押依法被逮捕、刑事拘留的人犯，监管余刑在三个月以下的罪犯；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对被羁押的人犯实行武装警戒看守，保障安全，对人犯进行教育；</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管理人犯的生活和卫生，保障侦查、起诉和审判工作的顺利进行；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对新入所的人犯办理各种入所手续，建立人犯档案并严格保管所有人犯档案；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对出所受审转送外地或者出所就医的人犯实行武装押解；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6" w:firstLineChars="200"/>
        <w:textAlignment w:val="auto"/>
        <w:rPr>
          <w:rFonts w:hint="eastAsia" w:ascii="仿宋_GB2312" w:eastAsia="仿宋_GB2312"/>
          <w:spacing w:val="-11"/>
          <w:sz w:val="32"/>
          <w:szCs w:val="32"/>
        </w:rPr>
      </w:pPr>
      <w:r>
        <w:rPr>
          <w:rFonts w:hint="eastAsia" w:ascii="仿宋_GB2312" w:eastAsia="仿宋_GB2312"/>
          <w:spacing w:val="-11"/>
          <w:sz w:val="32"/>
          <w:szCs w:val="32"/>
        </w:rPr>
        <w:t>对羁押在所内在押人员进行教育，体现政策，以理服人，保障安全。</w:t>
      </w:r>
    </w:p>
    <w:p/>
    <w:p>
      <w:pPr>
        <w:pStyle w:val="3"/>
        <w:bidi w:val="0"/>
        <w:ind w:firstLine="640" w:firstLineChars="200"/>
        <w:rPr>
          <w:rFonts w:hint="eastAsia"/>
          <w:b w:val="0"/>
          <w:bCs/>
          <w:lang w:val="en-US" w:eastAsia="zh-CN"/>
        </w:rPr>
      </w:pPr>
      <w:bookmarkStart w:id="2" w:name="_Toc8059"/>
      <w:r>
        <w:rPr>
          <w:rFonts w:hint="eastAsia"/>
          <w:b w:val="0"/>
          <w:bCs/>
          <w:lang w:val="en-US" w:eastAsia="zh-CN"/>
        </w:rPr>
        <w:t>二、机构设置情况</w:t>
      </w:r>
      <w:bookmarkEnd w:id="2"/>
    </w:p>
    <w:p>
      <w:pPr>
        <w:spacing w:line="58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大同市第二看守所为副处（县）级建制单位，是羁押依法被逮捕、刑事拘留的犯罪嫌疑人的机关，羁押依法被刑事拘留、逮捕的犯罪嫌疑人、被告人。看守所的任务是依法对被羁押的犯罪嫌疑人、被告人实行武装警戒看守，保证安全，对犯罪嫌疑人、被告人进行管理教育，保障侦查、起诉、审批工作的顺利进行；将罪犯送交刑罚执行机关执行刑罚。为进一步加强监所执法规范化建设，提升监所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r>
        <w:rPr>
          <w:rFonts w:hint="eastAsia" w:ascii="宋体" w:hAnsi="宋体"/>
          <w:b/>
          <w:bCs w:val="0"/>
          <w:color w:val="000000"/>
          <w:sz w:val="36"/>
          <w:szCs w:val="36"/>
          <w:lang w:val="en-US" w:eastAsia="zh-CN"/>
        </w:rPr>
        <w:t xml:space="preserve">              </w:t>
      </w:r>
    </w:p>
    <w:p>
      <w:pPr>
        <w:pStyle w:val="2"/>
        <w:bidi w:val="0"/>
        <w:jc w:val="center"/>
        <w:rPr>
          <w:rFonts w:hint="eastAsia" w:ascii="宋体" w:hAnsi="宋体" w:eastAsia="宋体" w:cs="宋体"/>
          <w:b/>
          <w:bCs w:val="0"/>
          <w:sz w:val="36"/>
          <w:szCs w:val="36"/>
          <w:lang w:val="en-US" w:eastAsia="zh-CN"/>
        </w:rPr>
      </w:pPr>
      <w:bookmarkStart w:id="3" w:name="_Toc14040"/>
      <w:r>
        <w:rPr>
          <w:rFonts w:hint="eastAsia" w:ascii="宋体" w:hAnsi="宋体" w:eastAsia="宋体" w:cs="宋体"/>
          <w:b/>
          <w:bCs w:val="0"/>
          <w:sz w:val="36"/>
          <w:szCs w:val="36"/>
          <w:lang w:val="en-US" w:eastAsia="zh-CN"/>
        </w:rPr>
        <w:t>第二部分  2022年度部门决算报表</w:t>
      </w:r>
      <w:bookmarkEnd w:id="3"/>
    </w:p>
    <w:tbl>
      <w:tblPr>
        <w:tblStyle w:val="7"/>
        <w:tblpPr w:leftFromText="180" w:rightFromText="180" w:vertAnchor="text" w:horzAnchor="page" w:tblpX="1165" w:tblpY="30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5"/>
        <w:gridCol w:w="411"/>
        <w:gridCol w:w="1508"/>
        <w:gridCol w:w="3027"/>
        <w:gridCol w:w="429"/>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6"/>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24"/>
                <w:u w:val="none"/>
              </w:rPr>
            </w:pPr>
            <w:bookmarkStart w:id="4" w:name="_Toc29128"/>
            <w:r>
              <w:rPr>
                <w:rFonts w:hint="eastAsia"/>
                <w:b w:val="0"/>
                <w:bCs/>
                <w:lang w:val="en-US" w:eastAsia="zh-CN"/>
              </w:rPr>
              <w:t>收入支出决算总表</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94" w:type="pct"/>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203"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47"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501"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12"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4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9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203"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47"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501"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212"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74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545"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454"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7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7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03"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7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12"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74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2,116,003.78</w:t>
            </w: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2,116,003.78</w:t>
            </w: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20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94"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203"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2,116,003.78</w:t>
            </w:r>
          </w:p>
        </w:tc>
        <w:tc>
          <w:tcPr>
            <w:tcW w:w="15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21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注：本表反映部门本年度的总收支和年末结转结余情况。本套报表金额单位转换时可能存在尾数误差。</w:t>
            </w:r>
          </w:p>
        </w:tc>
      </w:tr>
    </w:tbl>
    <w:p>
      <w:pPr>
        <w:rPr>
          <w:sz w:val="18"/>
          <w:szCs w:val="18"/>
        </w:rPr>
        <w:sectPr>
          <w:footerReference r:id="rId4" w:type="default"/>
          <w:pgSz w:w="11906" w:h="16838"/>
          <w:pgMar w:top="1134" w:right="1020" w:bottom="1440" w:left="1020" w:header="851" w:footer="992" w:gutter="0"/>
          <w:pgNumType w:fmt="decimal" w:start="1"/>
          <w:cols w:space="0" w:num="1"/>
          <w:rtlGutter w:val="0"/>
          <w:docGrid w:type="lines" w:linePitch="312" w:charSpace="0"/>
        </w:sectPr>
      </w:pPr>
    </w:p>
    <w:p>
      <w:pPr>
        <w:rPr>
          <w:sz w:val="18"/>
          <w:szCs w:val="1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6"/>
        <w:gridCol w:w="222"/>
        <w:gridCol w:w="222"/>
        <w:gridCol w:w="2196"/>
        <w:gridCol w:w="1565"/>
        <w:gridCol w:w="1602"/>
        <w:gridCol w:w="1072"/>
        <w:gridCol w:w="1072"/>
        <w:gridCol w:w="1072"/>
        <w:gridCol w:w="1073"/>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1"/>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5" w:name="_Toc19346"/>
            <w:r>
              <w:rPr>
                <w:rFonts w:hint="eastAsia"/>
                <w:b w:val="0"/>
                <w:bCs/>
                <w:lang w:val="en-US" w:eastAsia="zh-CN"/>
              </w:rPr>
              <w:t>收入决算表</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815"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4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7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7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81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4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7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7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9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7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9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9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9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9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5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4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4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4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7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5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2,116,003.78</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2,116,003.78</w:t>
            </w: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7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7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7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5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7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eastAsia="宋体"/>
          <w:sz w:val="18"/>
          <w:szCs w:val="18"/>
          <w:lang w:eastAsia="zh-CN"/>
        </w:rPr>
        <w:sectPr>
          <w:pgSz w:w="16838" w:h="11905" w:orient="landscape"/>
          <w:pgMar w:top="1083" w:right="1440" w:bottom="1083" w:left="1440" w:header="851" w:footer="992" w:gutter="0"/>
          <w:pgNumType w:fmt="decimal"/>
          <w:cols w:space="0" w:num="1"/>
          <w:rtlGutter w:val="0"/>
          <w:docGrid w:type="lines" w:linePitch="314"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6"/>
        <w:gridCol w:w="228"/>
        <w:gridCol w:w="230"/>
        <w:gridCol w:w="2283"/>
        <w:gridCol w:w="1781"/>
        <w:gridCol w:w="1206"/>
        <w:gridCol w:w="1781"/>
        <w:gridCol w:w="1207"/>
        <w:gridCol w:w="1207"/>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6" w:name="_Toc13655"/>
            <w:r>
              <w:rPr>
                <w:rFonts w:hint="eastAsia"/>
                <w:b w:val="0"/>
                <w:bCs/>
                <w:lang w:val="en-US" w:eastAsia="zh-CN"/>
              </w:rPr>
              <w:t>支出决算表</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6"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8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0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5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2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2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2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2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0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80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2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2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0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62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5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5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8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8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2,116,003.78</w:t>
            </w: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4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0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eastAsia="宋体"/>
          <w:sz w:val="18"/>
          <w:szCs w:val="18"/>
          <w:lang w:eastAsia="zh-CN"/>
        </w:rPr>
        <w:sectPr>
          <w:pgSz w:w="16838" w:h="11905" w:orient="landscape"/>
          <w:pgMar w:top="1083" w:right="1440" w:bottom="1083" w:left="1440" w:header="851" w:footer="992" w:gutter="0"/>
          <w:pgNumType w:fmt="decimal"/>
          <w:cols w:space="0" w:num="1"/>
          <w:rtlGutter w:val="0"/>
          <w:docGrid w:type="lines" w:linePitch="314"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2"/>
        <w:gridCol w:w="500"/>
        <w:gridCol w:w="1590"/>
        <w:gridCol w:w="3530"/>
        <w:gridCol w:w="500"/>
        <w:gridCol w:w="1531"/>
        <w:gridCol w:w="1587"/>
        <w:gridCol w:w="1063"/>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9"/>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22"/>
                <w:u w:val="none"/>
              </w:rPr>
            </w:pPr>
            <w:bookmarkStart w:id="7" w:name="_Toc3528"/>
            <w:r>
              <w:rPr>
                <w:rFonts w:hint="eastAsia"/>
                <w:b w:val="0"/>
                <w:bCs/>
                <w:lang w:val="en-US" w:eastAsia="zh-CN"/>
              </w:rPr>
              <w:t>财政拨款收入支出决算总表</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050" w:type="pct"/>
            <w:tcBorders>
              <w:top w:val="nil"/>
              <w:left w:val="nil"/>
              <w:bottom w:val="nil"/>
              <w:right w:val="nil"/>
            </w:tcBorders>
            <w:shd w:val="clear" w:color="auto" w:fill="auto"/>
            <w:noWrap/>
            <w:vAlign w:val="bottom"/>
          </w:tcPr>
          <w:p>
            <w:pPr>
              <w:rPr>
                <w:rFonts w:hint="eastAsia" w:ascii="Arial" w:hAnsi="Arial" w:cs="Arial"/>
                <w:i w:val="0"/>
                <w:iCs w:val="0"/>
                <w:color w:val="000000"/>
                <w:sz w:val="16"/>
                <w:szCs w:val="16"/>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187"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47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5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187"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70"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16"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35"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47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5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     入</w:t>
            </w:r>
          </w:p>
        </w:tc>
        <w:tc>
          <w:tcPr>
            <w:tcW w:w="3243"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5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7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5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18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7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51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3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35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47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5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7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18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7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51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53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35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7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7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70"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51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一、一般公共预算财政拨款</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二、政府性基金预算财政拨款</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三、国有资本经营财政拨款</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九、卫生健康支出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十、节能环保支出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十一、城乡社区支出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十二、农林水支出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十三、交通运输支出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十四、资源勘探工业信息等支出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十五、商业服务业等支出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十六、金融支出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十七、援助其他地区支出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十八、自然资源海洋气象等支出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十九、住房保障支出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二十、粮油物资储备支出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二十一、国有资本经营预算支出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二十二、灾害防治及应急管理支出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二十三、其他支出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二十四、债务还本支出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二十五、债务付息支出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二十六、抗疫特别国债安排的支出</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本年收入合计</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本年支出合计</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5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一般公共预算财政拨款</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政府性基金预算财政拨款</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国有资本经营预算财政拨款</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18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1"/>
                <w:szCs w:val="21"/>
                <w:u w:val="none"/>
              </w:rPr>
            </w:pP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5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5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170"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118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1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5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35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23"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注：本表反映部门本年度一般公共预算财政拨款、政府性基金预算财政拨款和国有资本经营预算财政拨款的总收支和年末结转结余情况。</w:t>
            </w:r>
          </w:p>
        </w:tc>
        <w:tc>
          <w:tcPr>
            <w:tcW w:w="47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1"/>
                <w:szCs w:val="21"/>
                <w:u w:val="none"/>
              </w:rPr>
            </w:pP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74"/>
        <w:gridCol w:w="316"/>
        <w:gridCol w:w="319"/>
        <w:gridCol w:w="3162"/>
        <w:gridCol w:w="2807"/>
        <w:gridCol w:w="2009"/>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8" w:name="_Toc4515"/>
            <w:r>
              <w:rPr>
                <w:rFonts w:hint="eastAsia"/>
                <w:b w:val="0"/>
                <w:bCs/>
                <w:lang w:val="en-US" w:eastAsia="zh-CN"/>
              </w:rPr>
              <w:t>一般公共预算财政拨款支出决算表</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66" w:type="pct"/>
            <w:tcBorders>
              <w:top w:val="nil"/>
              <w:left w:val="nil"/>
              <w:bottom w:val="nil"/>
              <w:right w:val="nil"/>
            </w:tcBorders>
            <w:shd w:val="clear" w:color="auto" w:fill="auto"/>
            <w:noWrap/>
            <w:vAlign w:val="bottom"/>
          </w:tcPr>
          <w:p>
            <w:pPr>
              <w:rPr>
                <w:rFonts w:hint="eastAsia" w:ascii="Arial" w:hAnsi="Arial" w:cs="Arial"/>
                <w:i w:val="0"/>
                <w:iCs w:val="0"/>
                <w:color w:val="000000"/>
                <w:sz w:val="21"/>
                <w:szCs w:val="21"/>
                <w:u w:val="none"/>
              </w:rPr>
            </w:pPr>
          </w:p>
        </w:tc>
        <w:tc>
          <w:tcPr>
            <w:tcW w:w="106"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6"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60"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942"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674"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94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6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106"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6"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60"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942"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674"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94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4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559"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功能分类科目编码</w:t>
            </w:r>
          </w:p>
        </w:tc>
        <w:tc>
          <w:tcPr>
            <w:tcW w:w="1060"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9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67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9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37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06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9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9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060"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9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67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9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40"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40"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2,116,003.78</w:t>
            </w: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0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公共安全支出</w:t>
            </w: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20402</w:t>
            </w:r>
          </w:p>
        </w:tc>
        <w:tc>
          <w:tcPr>
            <w:tcW w:w="10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w:t>
            </w: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2040202</w:t>
            </w:r>
          </w:p>
        </w:tc>
        <w:tc>
          <w:tcPr>
            <w:tcW w:w="10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一般行政管理事务</w:t>
            </w: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2,116,003.78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106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6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94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注：本表反映部门本年度一般公共预算财政拨款支出情况。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7"/>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
        <w:gridCol w:w="2007"/>
        <w:gridCol w:w="933"/>
        <w:gridCol w:w="455"/>
        <w:gridCol w:w="515"/>
        <w:gridCol w:w="1410"/>
        <w:gridCol w:w="813"/>
        <w:gridCol w:w="455"/>
        <w:gridCol w:w="515"/>
        <w:gridCol w:w="1649"/>
        <w:gridCol w:w="335"/>
        <w:gridCol w:w="694"/>
        <w:gridCol w:w="515"/>
        <w:gridCol w:w="2485"/>
        <w:gridCol w:w="813"/>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4076" w:type="dxa"/>
            <w:gridSpan w:val="16"/>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22"/>
                <w:u w:val="none"/>
              </w:rPr>
            </w:pPr>
            <w:bookmarkStart w:id="9" w:name="_Toc13113"/>
            <w:r>
              <w:rPr>
                <w:rFonts w:hint="eastAsia"/>
                <w:b w:val="0"/>
                <w:bCs/>
                <w:lang w:val="en-US" w:eastAsia="zh-CN"/>
              </w:rPr>
              <w:t>一般公共预算财政拨款基本支出决算表</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85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3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5"/>
                <w:szCs w:val="15"/>
                <w:u w:val="none"/>
              </w:rPr>
            </w:pPr>
          </w:p>
        </w:tc>
        <w:tc>
          <w:tcPr>
            <w:tcW w:w="3850"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0" w:type="auto"/>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7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其中：基本支出</w:t>
            </w:r>
          </w:p>
        </w:tc>
        <w:tc>
          <w:tcPr>
            <w:tcW w:w="49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32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其中：基本支出</w:t>
            </w:r>
          </w:p>
        </w:tc>
        <w:tc>
          <w:tcPr>
            <w:tcW w:w="49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5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65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其中：基本支出</w:t>
            </w:r>
          </w:p>
        </w:tc>
        <w:tc>
          <w:tcPr>
            <w:tcW w:w="49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87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8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32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5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65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4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2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409,033.56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174,217.96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资本性支出（基本建设）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94,816.60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对企业补助（基本建设）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54,999.00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1,706,970.22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1,706,970.22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1,706,970.22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gridSpan w:val="10"/>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409,033.56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注：本表反映部门本年度一般公共预算财政拨款支出明细情况（其中包括基本支出明细情况）。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0"/>
          <w:szCs w:val="10"/>
          <w:lang w:eastAsia="zh-CN"/>
        </w:rPr>
      </w:pPr>
    </w:p>
    <w:p>
      <w:pPr>
        <w:rPr>
          <w:sz w:val="10"/>
          <w:szCs w:val="10"/>
        </w:rPr>
      </w:pPr>
    </w:p>
    <w:p>
      <w:pPr>
        <w:rPr>
          <w:sz w:val="6"/>
          <w:szCs w:val="6"/>
        </w:rPr>
      </w:pPr>
    </w:p>
    <w:p>
      <w:pPr>
        <w:rPr>
          <w:sz w:val="6"/>
          <w:szCs w:val="6"/>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6"/>
        <w:gridCol w:w="1167"/>
        <w:gridCol w:w="1068"/>
        <w:gridCol w:w="1069"/>
        <w:gridCol w:w="1072"/>
        <w:gridCol w:w="1075"/>
        <w:gridCol w:w="1069"/>
        <w:gridCol w:w="1168"/>
        <w:gridCol w:w="1069"/>
        <w:gridCol w:w="1069"/>
        <w:gridCol w:w="1072"/>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0" w:hRule="atLeast"/>
        </w:trPr>
        <w:tc>
          <w:tcPr>
            <w:tcW w:w="5000" w:type="pct"/>
            <w:gridSpan w:val="12"/>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44"/>
                <w:u w:val="none"/>
              </w:rPr>
            </w:pPr>
            <w:bookmarkStart w:id="10" w:name="_Toc2289"/>
            <w:r>
              <w:rPr>
                <w:rFonts w:hint="eastAsia"/>
                <w:b w:val="0"/>
                <w:bCs/>
                <w:lang w:val="en-US" w:eastAsia="zh-CN"/>
              </w:rPr>
              <w:t>一般公共预算财政拨款“三公”经费支出决算表</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41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21"/>
                <w:szCs w:val="21"/>
                <w:u w:val="none"/>
                <w:lang w:val="en-US" w:eastAsia="zh-CN" w:bidi="ar"/>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31"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预算数</w:t>
            </w:r>
          </w:p>
        </w:tc>
        <w:tc>
          <w:tcPr>
            <w:tcW w:w="2368"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8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公务用车购置及运行费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公务用车购置及运行费</w:t>
            </w:r>
          </w:p>
        </w:tc>
        <w:tc>
          <w:tcPr>
            <w:tcW w:w="41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8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公务用车运行费</w:t>
            </w: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公务用车运行费</w:t>
            </w:r>
          </w:p>
        </w:tc>
        <w:tc>
          <w:tcPr>
            <w:tcW w:w="41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1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21"/>
          <w:szCs w:val="21"/>
        </w:rPr>
      </w:pPr>
    </w:p>
    <w:p>
      <w:pPr>
        <w:rPr>
          <w:sz w:val="21"/>
          <w:szCs w:val="21"/>
        </w:rPr>
      </w:pPr>
    </w:p>
    <w:p>
      <w:pPr>
        <w:rPr>
          <w:rFonts w:hint="default" w:eastAsia="宋体"/>
          <w:sz w:val="28"/>
          <w:szCs w:val="28"/>
          <w:lang w:val="en-US" w:eastAsia="zh-CN"/>
        </w:rPr>
      </w:pPr>
      <w:r>
        <w:rPr>
          <w:rFonts w:hint="eastAsia"/>
          <w:sz w:val="21"/>
          <w:szCs w:val="21"/>
          <w:lang w:val="en-US" w:eastAsia="zh-CN"/>
        </w:rPr>
        <w:t>说明：大同市第二看守所没有“三公”经费预算安排的支出，故本表无数据。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0"/>
        <w:gridCol w:w="298"/>
        <w:gridCol w:w="301"/>
        <w:gridCol w:w="1481"/>
        <w:gridCol w:w="1481"/>
        <w:gridCol w:w="1481"/>
        <w:gridCol w:w="1481"/>
        <w:gridCol w:w="1481"/>
        <w:gridCol w:w="1484"/>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11" w:name="_Toc21136"/>
            <w:r>
              <w:rPr>
                <w:rFonts w:hint="eastAsia"/>
                <w:b w:val="0"/>
                <w:bCs/>
                <w:lang w:val="en-US" w:eastAsia="zh-CN"/>
              </w:rPr>
              <w:t>政府性基金预算财政拨款收入支出决算表</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rPr>
                <w:rFonts w:hint="eastAsia" w:ascii="Arial" w:hAnsi="Arial" w:cs="Arial"/>
                <w:i w:val="0"/>
                <w:iCs w:val="0"/>
                <w:color w:val="000000"/>
                <w:sz w:val="21"/>
                <w:szCs w:val="21"/>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年初结转和结余</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w:t>
            </w:r>
          </w:p>
        </w:tc>
        <w:tc>
          <w:tcPr>
            <w:tcW w:w="149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w:t>
            </w:r>
          </w:p>
        </w:tc>
        <w:tc>
          <w:tcPr>
            <w:tcW w:w="72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功能分类科目编码</w:t>
            </w:r>
          </w:p>
        </w:tc>
        <w:tc>
          <w:tcPr>
            <w:tcW w:w="49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注：本表反映部门本年度政府性基金预算财政拨款收入、支出及结转和结余情况。</w:t>
            </w:r>
          </w:p>
        </w:tc>
      </w:tr>
    </w:tbl>
    <w:p>
      <w:pPr>
        <w:rPr>
          <w:sz w:val="21"/>
          <w:szCs w:val="21"/>
        </w:rPr>
      </w:pPr>
    </w:p>
    <w:p>
      <w:pPr>
        <w:rPr>
          <w:rFonts w:hint="default" w:eastAsia="宋体"/>
          <w:sz w:val="21"/>
          <w:szCs w:val="21"/>
          <w:lang w:val="en-US" w:eastAsia="zh-CN"/>
        </w:rPr>
      </w:pPr>
      <w:r>
        <w:rPr>
          <w:rFonts w:hint="eastAsia"/>
          <w:sz w:val="21"/>
          <w:szCs w:val="21"/>
          <w:lang w:val="en-US" w:eastAsia="zh-CN"/>
        </w:rPr>
        <w:t>说明：大同市第二看守所没有使用政府性基金预算安排的支出，故本表无数据。</w:t>
      </w:r>
    </w:p>
    <w:p>
      <w:pPr>
        <w:rPr>
          <w:sz w:val="21"/>
          <w:szCs w:val="21"/>
        </w:rPr>
      </w:pPr>
    </w:p>
    <w:p>
      <w:pPr>
        <w:rPr>
          <w:sz w:val="13"/>
          <w:szCs w:val="13"/>
        </w:rPr>
      </w:pPr>
    </w:p>
    <w:p>
      <w:pPr>
        <w:rPr>
          <w:sz w:val="13"/>
          <w:szCs w:val="13"/>
        </w:rPr>
      </w:pPr>
    </w:p>
    <w:p>
      <w:pPr>
        <w:rPr>
          <w:sz w:val="13"/>
          <w:szCs w:val="13"/>
        </w:rPr>
      </w:pPr>
    </w:p>
    <w:p>
      <w:pPr>
        <w:rPr>
          <w:sz w:val="13"/>
          <w:szCs w:val="1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9"/>
        <w:gridCol w:w="426"/>
        <w:gridCol w:w="426"/>
        <w:gridCol w:w="2110"/>
        <w:gridCol w:w="2113"/>
        <w:gridCol w:w="2113"/>
        <w:gridCol w:w="3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30"/>
                <w:u w:val="none"/>
              </w:rPr>
            </w:pPr>
            <w:bookmarkStart w:id="12" w:name="_Toc26321"/>
            <w:r>
              <w:rPr>
                <w:rFonts w:hint="eastAsia"/>
                <w:b w:val="0"/>
                <w:bCs/>
                <w:lang w:val="en-US" w:eastAsia="zh-CN"/>
              </w:rPr>
              <w:t>国有资本经营预算财政拨款支出决算表</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rPr>
                <w:rFonts w:hint="eastAsia" w:ascii="Arial" w:hAnsi="Arial" w:cs="Arial"/>
                <w:i w:val="0"/>
                <w:iCs w:val="0"/>
                <w:color w:val="000000"/>
                <w:sz w:val="21"/>
                <w:szCs w:val="21"/>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部门：大同市第二看守所</w:t>
            </w: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44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功能分类科目编码</w:t>
            </w:r>
          </w:p>
        </w:tc>
        <w:tc>
          <w:tcPr>
            <w:tcW w:w="70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0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注：本表反映部门本年度国有资本经营预算财政拨款支出情况。</w:t>
            </w:r>
          </w:p>
        </w:tc>
      </w:tr>
    </w:tbl>
    <w:p>
      <w:pPr>
        <w:rPr>
          <w:sz w:val="21"/>
          <w:szCs w:val="21"/>
        </w:rPr>
      </w:pPr>
    </w:p>
    <w:p>
      <w:pPr>
        <w:rPr>
          <w:rFonts w:hint="default" w:eastAsia="宋体"/>
          <w:sz w:val="21"/>
          <w:szCs w:val="21"/>
          <w:lang w:val="en-US" w:eastAsia="zh-CN"/>
        </w:rPr>
      </w:pPr>
      <w:r>
        <w:rPr>
          <w:rFonts w:hint="eastAsia"/>
          <w:sz w:val="21"/>
          <w:szCs w:val="21"/>
          <w:lang w:val="en-US" w:eastAsia="zh-CN"/>
        </w:rPr>
        <w:t>说明：大同市第二看守所没有使用国有资本经营预算安排的支出，故本表无数据。</w:t>
      </w:r>
    </w:p>
    <w:p>
      <w:pPr>
        <w:rPr>
          <w:sz w:val="21"/>
          <w:szCs w:val="21"/>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sectPr>
          <w:pgSz w:w="16838" w:h="11905" w:orient="landscape"/>
          <w:pgMar w:top="1083" w:right="1077" w:bottom="1083" w:left="1077" w:header="851" w:footer="992" w:gutter="0"/>
          <w:pgNumType w:fmt="decimal"/>
          <w:cols w:space="0" w:num="1"/>
          <w:rtlGutter w:val="0"/>
          <w:docGrid w:type="lines" w:linePitch="314"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6"/>
        <w:gridCol w:w="1726"/>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3"/>
            <w:tcBorders>
              <w:top w:val="nil"/>
              <w:left w:val="nil"/>
              <w:bottom w:val="nil"/>
              <w:right w:val="nil"/>
            </w:tcBorders>
            <w:shd w:val="clear" w:color="auto" w:fill="auto"/>
            <w:noWrap/>
            <w:vAlign w:val="bottom"/>
          </w:tcPr>
          <w:p>
            <w:pPr>
              <w:pStyle w:val="3"/>
              <w:bidi w:val="0"/>
              <w:jc w:val="center"/>
              <w:rPr>
                <w:rFonts w:hint="eastAsia" w:ascii="宋体" w:hAnsi="宋体" w:eastAsia="宋体" w:cs="宋体"/>
                <w:i w:val="0"/>
                <w:iCs w:val="0"/>
                <w:color w:val="000000"/>
                <w:szCs w:val="44"/>
                <w:u w:val="none"/>
              </w:rPr>
            </w:pPr>
            <w:bookmarkStart w:id="13" w:name="_Toc8801"/>
            <w:r>
              <w:rPr>
                <w:rFonts w:hint="eastAsia"/>
                <w:b w:val="0"/>
                <w:bCs/>
                <w:lang w:val="en-US" w:eastAsia="zh-CN"/>
              </w:rPr>
              <w:t>部门决算公开相关信息统计表</w:t>
            </w:r>
            <w:bookmarkEnd w:id="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162" w:type="pct"/>
            <w:tcBorders>
              <w:top w:val="nil"/>
              <w:left w:val="nil"/>
              <w:bottom w:val="nil"/>
              <w:right w:val="nil"/>
            </w:tcBorders>
            <w:shd w:val="clear" w:color="auto" w:fill="auto"/>
            <w:noWrap/>
            <w:vAlign w:val="bottom"/>
          </w:tcPr>
          <w:p>
            <w:pPr>
              <w:rPr>
                <w:rFonts w:hint="eastAsia" w:ascii="Arial" w:hAnsi="Arial" w:cs="Arial"/>
                <w:i w:val="0"/>
                <w:iCs w:val="0"/>
                <w:color w:val="000000"/>
                <w:sz w:val="21"/>
                <w:szCs w:val="21"/>
                <w:u w:val="none"/>
              </w:rPr>
            </w:pPr>
          </w:p>
        </w:tc>
        <w:tc>
          <w:tcPr>
            <w:tcW w:w="867" w:type="pct"/>
            <w:tcBorders>
              <w:top w:val="nil"/>
              <w:left w:val="nil"/>
              <w:bottom w:val="nil"/>
              <w:right w:val="nil"/>
            </w:tcBorders>
            <w:shd w:val="clear" w:color="auto" w:fill="auto"/>
            <w:noWrap/>
            <w:vAlign w:val="bottom"/>
          </w:tcPr>
          <w:p>
            <w:pPr>
              <w:rPr>
                <w:rFonts w:hint="default" w:ascii="Arial" w:hAnsi="Arial" w:cs="Arial"/>
                <w:i w:val="0"/>
                <w:iCs w:val="0"/>
                <w:color w:val="000000"/>
                <w:sz w:val="21"/>
                <w:szCs w:val="21"/>
                <w:u w:val="none"/>
              </w:rPr>
            </w:pP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编制单位：大同市第二看守所</w:t>
            </w:r>
          </w:p>
        </w:tc>
        <w:tc>
          <w:tcPr>
            <w:tcW w:w="867"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2022年7月</w:t>
            </w: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1"/>
                <w:szCs w:val="21"/>
                <w:u w:val="none"/>
              </w:rPr>
            </w:pP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（一）行政单位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（二）参照公务员法管理事业单位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（一）车辆数合计（辆）</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1.副部（省）级及以上领导用车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2.主要领导干部用车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3.机要通信用车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4.应急保障用车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5.执法执勤用车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6.特种专业技术用车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7.离退休干部用车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8.其他用车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（二）单价50万元以上通用设备（台、套）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（三）单价100万元以上专用设备（台、套）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50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注：本表反映部门本年度政府采购及机关运行经费和国有资产占用情况。</w:t>
            </w:r>
          </w:p>
        </w:tc>
      </w:tr>
    </w:tbl>
    <w:p>
      <w:pPr>
        <w:rPr>
          <w:sz w:val="13"/>
          <w:szCs w:val="13"/>
        </w:rPr>
      </w:pPr>
    </w:p>
    <w:p>
      <w:pPr>
        <w:rPr>
          <w:sz w:val="8"/>
          <w:szCs w:val="8"/>
        </w:rPr>
      </w:pPr>
    </w:p>
    <w:p>
      <w:pPr>
        <w:rPr>
          <w:sz w:val="8"/>
          <w:szCs w:val="8"/>
        </w:rPr>
      </w:pPr>
    </w:p>
    <w:p>
      <w:pPr>
        <w:rPr>
          <w:sz w:val="8"/>
          <w:szCs w:val="8"/>
        </w:rPr>
      </w:pPr>
    </w:p>
    <w:p>
      <w:pPr>
        <w:rPr>
          <w:sz w:val="8"/>
          <w:szCs w:val="8"/>
        </w:rPr>
      </w:pPr>
    </w:p>
    <w:p>
      <w:pPr>
        <w:pStyle w:val="2"/>
        <w:bidi w:val="0"/>
        <w:jc w:val="center"/>
        <w:rPr>
          <w:rFonts w:asciiTheme="minorEastAsia" w:hAnsiTheme="minorEastAsia" w:eastAsiaTheme="minorEastAsia" w:cstheme="minorEastAsia"/>
          <w:b/>
          <w:bCs/>
          <w:sz w:val="36"/>
          <w:szCs w:val="36"/>
        </w:rPr>
      </w:pPr>
      <w:bookmarkStart w:id="14" w:name="_Toc25512"/>
      <w:r>
        <w:rPr>
          <w:rFonts w:hint="eastAsia" w:ascii="宋体" w:hAnsi="宋体" w:eastAsia="宋体" w:cs="宋体"/>
          <w:b/>
          <w:bCs w:val="0"/>
          <w:sz w:val="36"/>
          <w:szCs w:val="36"/>
          <w:lang w:val="en-US" w:eastAsia="zh-CN"/>
        </w:rPr>
        <w:t>第三部分   2021年部门决算情况说明</w:t>
      </w:r>
      <w:bookmarkEnd w:id="14"/>
    </w:p>
    <w:p>
      <w:pPr>
        <w:pStyle w:val="3"/>
        <w:bidi w:val="0"/>
        <w:ind w:firstLine="640" w:firstLineChars="200"/>
        <w:rPr>
          <w:b w:val="0"/>
          <w:bCs/>
        </w:rPr>
      </w:pPr>
      <w:bookmarkStart w:id="15" w:name="_Toc27931"/>
      <w:r>
        <w:rPr>
          <w:rFonts w:hint="eastAsia"/>
          <w:b w:val="0"/>
          <w:bCs/>
          <w:lang w:val="en-US" w:eastAsia="zh-CN"/>
        </w:rPr>
        <w:t>一、</w:t>
      </w:r>
      <w:r>
        <w:rPr>
          <w:rFonts w:hint="eastAsia"/>
          <w:b w:val="0"/>
          <w:bCs/>
        </w:rPr>
        <w:t>收</w:t>
      </w:r>
      <w:r>
        <w:rPr>
          <w:rFonts w:hint="eastAsia"/>
          <w:b w:val="0"/>
          <w:bCs/>
          <w:lang w:val="en-US" w:eastAsia="zh-CN"/>
        </w:rPr>
        <w:t>入支出</w:t>
      </w:r>
      <w:r>
        <w:rPr>
          <w:rFonts w:hint="eastAsia"/>
          <w:b w:val="0"/>
          <w:bCs/>
        </w:rPr>
        <w:t>决算</w:t>
      </w:r>
      <w:r>
        <w:rPr>
          <w:rFonts w:hint="eastAsia"/>
          <w:b w:val="0"/>
          <w:bCs/>
          <w:lang w:val="en-US" w:eastAsia="zh-CN"/>
        </w:rPr>
        <w:t>总体情况说明</w:t>
      </w:r>
      <w:bookmarkEnd w:id="15"/>
    </w:p>
    <w:p>
      <w:p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2021年</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rPr>
        <w:t>收入</w:t>
      </w:r>
      <w:r>
        <w:rPr>
          <w:rFonts w:hint="eastAsia" w:ascii="仿宋_GB2312" w:hAnsi="仿宋_GB2312" w:eastAsia="仿宋_GB2312" w:cs="仿宋_GB2312"/>
          <w:bCs/>
          <w:sz w:val="32"/>
          <w:szCs w:val="32"/>
          <w:lang w:val="en-US" w:eastAsia="zh-CN"/>
        </w:rPr>
        <w:t>总计211.6</w:t>
      </w:r>
      <w:r>
        <w:rPr>
          <w:rFonts w:hint="eastAsia" w:ascii="仿宋_GB2312" w:hAnsi="仿宋_GB2312" w:eastAsia="仿宋_GB2312" w:cs="仿宋_GB2312"/>
          <w:bCs/>
          <w:sz w:val="32"/>
          <w:szCs w:val="32"/>
        </w:rPr>
        <w:t>万元，支出</w:t>
      </w:r>
      <w:r>
        <w:rPr>
          <w:rFonts w:hint="eastAsia" w:ascii="仿宋_GB2312" w:hAnsi="仿宋_GB2312" w:eastAsia="仿宋_GB2312" w:cs="仿宋_GB2312"/>
          <w:bCs/>
          <w:sz w:val="32"/>
          <w:szCs w:val="32"/>
          <w:lang w:val="en-US" w:eastAsia="zh-CN"/>
        </w:rPr>
        <w:t>总计211.6</w:t>
      </w:r>
      <w:r>
        <w:rPr>
          <w:rFonts w:hint="eastAsia" w:ascii="仿宋_GB2312" w:hAnsi="仿宋_GB2312" w:eastAsia="仿宋_GB2312" w:cs="仿宋_GB2312"/>
          <w:bCs/>
          <w:sz w:val="32"/>
          <w:szCs w:val="32"/>
        </w:rPr>
        <w:t>万元，与上年比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收入</w:t>
      </w:r>
      <w:r>
        <w:rPr>
          <w:rFonts w:hint="eastAsia" w:ascii="仿宋_GB2312" w:hAnsi="仿宋_GB2312" w:eastAsia="仿宋_GB2312" w:cs="仿宋_GB2312"/>
          <w:bCs/>
          <w:sz w:val="32"/>
          <w:szCs w:val="32"/>
          <w:lang w:val="en-US" w:eastAsia="zh-CN"/>
        </w:rPr>
        <w:t>总计减少60.5</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下降22.23%，</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总计减少60.5</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下降22.23%。主要</w:t>
      </w:r>
      <w:r>
        <w:rPr>
          <w:rFonts w:hint="eastAsia" w:ascii="仿宋_GB2312" w:hAnsi="仿宋_GB2312" w:eastAsia="仿宋_GB2312" w:cs="仿宋_GB2312"/>
          <w:bCs/>
          <w:sz w:val="32"/>
          <w:szCs w:val="32"/>
        </w:rPr>
        <w:t>原因是</w:t>
      </w:r>
      <w:r>
        <w:rPr>
          <w:rFonts w:hint="eastAsia" w:ascii="仿宋_GB2312" w:hAnsi="仿宋_GB2312" w:eastAsia="仿宋_GB2312" w:cs="仿宋_GB2312"/>
          <w:bCs/>
          <w:sz w:val="32"/>
          <w:szCs w:val="32"/>
          <w:lang w:val="en-US" w:eastAsia="zh-CN"/>
        </w:rPr>
        <w:t>减少了医疗监区运行费和人犯经费。</w:t>
      </w:r>
    </w:p>
    <w:p>
      <w:pPr>
        <w:pStyle w:val="3"/>
        <w:bidi w:val="0"/>
        <w:ind w:firstLine="640" w:firstLineChars="200"/>
        <w:rPr>
          <w:rFonts w:hint="eastAsia"/>
          <w:b w:val="0"/>
          <w:bCs/>
          <w:lang w:val="en-US" w:eastAsia="zh-CN"/>
        </w:rPr>
      </w:pPr>
      <w:bookmarkStart w:id="16" w:name="_Toc11615"/>
      <w:r>
        <w:rPr>
          <w:rFonts w:hint="eastAsia"/>
          <w:b w:val="0"/>
          <w:bCs/>
          <w:lang w:val="en-US" w:eastAsia="zh-CN"/>
        </w:rPr>
        <w:t>二、收入决算情况说明</w:t>
      </w:r>
      <w:bookmarkEnd w:id="16"/>
    </w:p>
    <w:p>
      <w:pPr>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2021年度收入合计</w:t>
      </w:r>
      <w:r>
        <w:rPr>
          <w:rFonts w:hint="eastAsia" w:ascii="仿宋_GB2312" w:hAnsi="仿宋_GB2312" w:eastAsia="仿宋_GB2312" w:cs="仿宋_GB2312"/>
          <w:bCs/>
          <w:sz w:val="32"/>
          <w:szCs w:val="32"/>
          <w:lang w:val="en-US" w:eastAsia="zh-CN"/>
        </w:rPr>
        <w:t>211.6</w:t>
      </w:r>
      <w:r>
        <w:rPr>
          <w:rFonts w:hint="eastAsia" w:ascii="仿宋_GB2312" w:hAnsi="仿宋_GB2312" w:eastAsia="仿宋_GB2312" w:cs="仿宋_GB2312"/>
          <w:bCs/>
          <w:sz w:val="32"/>
          <w:szCs w:val="32"/>
        </w:rPr>
        <w:t>万元，其中财政拨款收入</w:t>
      </w:r>
      <w:r>
        <w:rPr>
          <w:rFonts w:hint="eastAsia" w:ascii="仿宋_GB2312" w:hAnsi="仿宋_GB2312" w:eastAsia="仿宋_GB2312" w:cs="仿宋_GB2312"/>
          <w:bCs/>
          <w:sz w:val="32"/>
          <w:szCs w:val="32"/>
          <w:lang w:val="en-US" w:eastAsia="zh-CN"/>
        </w:rPr>
        <w:t>211.6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占比100%。</w:t>
      </w:r>
    </w:p>
    <w:p>
      <w:pPr>
        <w:pStyle w:val="3"/>
        <w:bidi w:val="0"/>
        <w:ind w:firstLine="640" w:firstLineChars="200"/>
        <w:rPr>
          <w:rFonts w:hint="eastAsia"/>
          <w:b w:val="0"/>
          <w:bCs/>
          <w:lang w:val="en-US" w:eastAsia="zh-CN"/>
        </w:rPr>
      </w:pPr>
      <w:bookmarkStart w:id="17" w:name="_Toc18795"/>
      <w:r>
        <w:rPr>
          <w:rFonts w:hint="eastAsia"/>
          <w:b w:val="0"/>
          <w:bCs/>
          <w:lang w:val="en-US" w:eastAsia="zh-CN"/>
        </w:rPr>
        <w:t>三、支出决算情况说明</w:t>
      </w:r>
      <w:bookmarkEnd w:id="17"/>
    </w:p>
    <w:p>
      <w:p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2021年度支出合计211.6万元，其中：基本支出0万元，占比0%；项目支出211.6万元，占比100%；</w:t>
      </w:r>
    </w:p>
    <w:p>
      <w:pPr>
        <w:pStyle w:val="3"/>
        <w:bidi w:val="0"/>
        <w:ind w:firstLine="640" w:firstLineChars="200"/>
        <w:rPr>
          <w:rFonts w:hint="eastAsia"/>
          <w:b w:val="0"/>
          <w:bCs/>
          <w:lang w:val="en-US" w:eastAsia="zh-CN"/>
        </w:rPr>
      </w:pPr>
      <w:bookmarkStart w:id="18" w:name="_Toc18092"/>
      <w:r>
        <w:rPr>
          <w:rFonts w:hint="eastAsia"/>
          <w:b w:val="0"/>
          <w:bCs/>
          <w:lang w:val="en-US" w:eastAsia="zh-CN"/>
        </w:rPr>
        <w:t>四、财政拨款收入支出决算总体情况说明</w:t>
      </w:r>
      <w:bookmarkEnd w:id="18"/>
    </w:p>
    <w:p>
      <w:pPr>
        <w:spacing w:line="58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2021年度财政拨款收入总计211.6万元，支出总计211.6万元，与上年比，财政拨款收入总计减少60.5万元，下降22.23%，财政拨款支出总计减少60.5万元，下降22.23%。主要原因是减少了医疗监区运行费和人犯经费。</w:t>
      </w:r>
    </w:p>
    <w:p>
      <w:pPr>
        <w:pStyle w:val="9"/>
        <w:numPr>
          <w:ilvl w:val="0"/>
          <w:numId w:val="0"/>
        </w:numPr>
        <w:spacing w:line="580" w:lineRule="exact"/>
        <w:ind w:left="638" w:leftChars="304" w:firstLine="0" w:firstLineChars="0"/>
        <w:outlineLvl w:val="1"/>
        <w:rPr>
          <w:rFonts w:hint="eastAsia" w:ascii="黑体" w:hAnsi="黑体" w:eastAsia="黑体" w:cs="黑体"/>
          <w:b w:val="0"/>
          <w:bCs w:val="0"/>
          <w:sz w:val="32"/>
          <w:szCs w:val="32"/>
          <w:lang w:val="en-US" w:eastAsia="zh-CN"/>
        </w:rPr>
      </w:pPr>
      <w:bookmarkStart w:id="19" w:name="_Toc25323"/>
      <w:r>
        <w:rPr>
          <w:rStyle w:val="10"/>
          <w:rFonts w:hint="eastAsia"/>
          <w:b w:val="0"/>
          <w:bCs/>
          <w:lang w:val="en-US" w:eastAsia="zh-CN"/>
        </w:rPr>
        <w:t>五、一般公共预算财政拨款支出决算情况说明</w:t>
      </w:r>
      <w:r>
        <w:rPr>
          <w:rFonts w:hint="eastAsia" w:ascii="宋体" w:hAnsi="宋体" w:cs="宋体"/>
          <w:b/>
          <w:bCs/>
          <w:sz w:val="32"/>
          <w:szCs w:val="32"/>
        </w:rPr>
        <w:br w:type="textWrapping"/>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财政拨款支出决算总体情况</w:t>
      </w:r>
      <w:bookmarkEnd w:id="19"/>
    </w:p>
    <w:p>
      <w:pPr>
        <w:spacing w:line="58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2021年度财政拨款支出211.6万元，占本年支出合计的100%。与上年相比，财政拨款支出减少60.5万元，下降22.23%。主要原因是减少了医疗监区运行费和人犯经费。</w:t>
      </w:r>
    </w:p>
    <w:p>
      <w:pPr>
        <w:spacing w:line="580" w:lineRule="exact"/>
        <w:ind w:firstLine="640" w:firstLineChars="200"/>
        <w:rPr>
          <w:rFonts w:hint="eastAsia" w:ascii="宋体" w:hAnsi="宋体" w:cs="宋体"/>
          <w:bCs/>
          <w:sz w:val="32"/>
          <w:szCs w:val="32"/>
          <w:lang w:val="en-US" w:eastAsia="zh-CN"/>
        </w:rPr>
      </w:pPr>
    </w:p>
    <w:p>
      <w:pPr>
        <w:numPr>
          <w:ilvl w:val="0"/>
          <w:numId w:val="3"/>
        </w:numPr>
        <w:spacing w:line="58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财政拨款支出决算结构情况</w:t>
      </w:r>
    </w:p>
    <w:p>
      <w:pPr>
        <w:spacing w:line="58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2021年度财政拨款支出211.6万元，主要用于以下方面：公共安全支出211.6万元，占100%。</w:t>
      </w:r>
      <w:r>
        <w:rPr>
          <w:rFonts w:hint="eastAsia" w:ascii="仿宋_GB2312" w:hAnsi="仿宋_GB2312" w:eastAsia="仿宋_GB2312" w:cs="仿宋_GB2312"/>
          <w:bCs/>
          <w:sz w:val="32"/>
          <w:szCs w:val="32"/>
          <w:lang w:val="en-US" w:eastAsia="zh-CN"/>
        </w:rPr>
        <w:br w:type="textWrapping"/>
      </w:r>
      <w:r>
        <w:rPr>
          <w:rFonts w:hint="eastAsia" w:ascii="宋体" w:hAnsi="宋体" w:cs="宋体"/>
          <w:b w:val="0"/>
          <w:bCs/>
          <w:sz w:val="32"/>
          <w:szCs w:val="32"/>
          <w:lang w:val="en-US" w:eastAsia="zh-CN"/>
        </w:rPr>
        <w:t xml:space="preserve">     </w:t>
      </w:r>
      <w:r>
        <w:rPr>
          <w:rFonts w:hint="eastAsia" w:ascii="黑体" w:hAnsi="黑体" w:eastAsia="黑体" w:cs="黑体"/>
          <w:b w:val="0"/>
          <w:bCs/>
          <w:sz w:val="32"/>
          <w:szCs w:val="32"/>
          <w:lang w:val="en-US" w:eastAsia="zh-CN"/>
        </w:rPr>
        <w:t>（三）财政拨款支出决算具体情况</w:t>
      </w:r>
      <w:r>
        <w:rPr>
          <w:rFonts w:hint="eastAsia" w:ascii="黑体" w:hAnsi="黑体" w:eastAsia="黑体" w:cs="黑体"/>
          <w:b w:val="0"/>
          <w:bCs/>
          <w:sz w:val="32"/>
          <w:szCs w:val="32"/>
          <w:lang w:val="en-US" w:eastAsia="zh-CN"/>
        </w:rPr>
        <w:br w:type="textWrapping"/>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2021年度财政拨款支出年初预算243.1万元，支出决算211.6万元，完成年初预算的87.04%。公共安全支出年初预算243.1万元，支出决算211.6万元，完成年初预算的87.04%，用于人犯经费和专项业务费。较上年决算减少60.5万元，下降22.23%，主要原因是减少了医疗监区运行费和人犯经费。</w:t>
      </w:r>
    </w:p>
    <w:p>
      <w:pPr>
        <w:pStyle w:val="3"/>
        <w:bidi w:val="0"/>
        <w:ind w:firstLine="640" w:firstLineChars="200"/>
        <w:rPr>
          <w:rFonts w:hint="eastAsia"/>
          <w:b w:val="0"/>
          <w:bCs/>
          <w:lang w:val="en-US" w:eastAsia="zh-CN"/>
        </w:rPr>
      </w:pPr>
      <w:bookmarkStart w:id="20" w:name="_Toc31126"/>
      <w:r>
        <w:rPr>
          <w:rFonts w:hint="eastAsia"/>
          <w:b w:val="0"/>
          <w:bCs/>
          <w:lang w:val="en-US" w:eastAsia="zh-CN"/>
        </w:rPr>
        <w:t>六、一般公共预算财政拨款基本支出决算情况说明</w:t>
      </w:r>
      <w:bookmarkEnd w:id="20"/>
    </w:p>
    <w:p>
      <w:pPr>
        <w:pStyle w:val="9"/>
        <w:numPr>
          <w:ilvl w:val="0"/>
          <w:numId w:val="0"/>
        </w:numPr>
        <w:spacing w:line="240" w:lineRule="auto"/>
        <w:ind w:firstLine="640" w:firstLineChars="200"/>
        <w:rPr>
          <w:rFonts w:hint="default" w:ascii="宋体" w:hAnsi="宋体" w:cs="宋体"/>
          <w:b w:val="0"/>
          <w:bCs/>
          <w:sz w:val="32"/>
          <w:szCs w:val="32"/>
          <w:lang w:val="en-US" w:eastAsia="zh-CN"/>
        </w:rPr>
      </w:pPr>
      <w:r>
        <w:rPr>
          <w:rFonts w:hint="eastAsia" w:ascii="仿宋_GB2312" w:hAnsi="仿宋_GB2312" w:eastAsia="仿宋_GB2312" w:cs="仿宋_GB2312"/>
          <w:bCs/>
          <w:kern w:val="2"/>
          <w:sz w:val="32"/>
          <w:szCs w:val="32"/>
          <w:lang w:val="en-US" w:eastAsia="zh-CN" w:bidi="ar-SA"/>
        </w:rPr>
        <w:t>2021年度财政拨款基本支出0万元，本单位全部为项目支出。</w:t>
      </w:r>
    </w:p>
    <w:p>
      <w:pPr>
        <w:pStyle w:val="3"/>
        <w:bidi w:val="0"/>
        <w:ind w:firstLine="640" w:firstLineChars="200"/>
        <w:rPr>
          <w:rFonts w:hint="eastAsia"/>
          <w:b w:val="0"/>
          <w:bCs/>
          <w:lang w:val="en-US" w:eastAsia="zh-CN"/>
        </w:rPr>
      </w:pPr>
      <w:bookmarkStart w:id="21" w:name="_Toc15632"/>
      <w:r>
        <w:rPr>
          <w:rFonts w:hint="eastAsia"/>
          <w:b w:val="0"/>
          <w:bCs/>
          <w:lang w:val="en-US" w:eastAsia="zh-CN"/>
        </w:rPr>
        <w:t>七、一般公共预算财政拨款“三公”经费支出决算情况说明</w:t>
      </w:r>
      <w:bookmarkEnd w:id="21"/>
    </w:p>
    <w:p>
      <w:pPr>
        <w:keepNext w:val="0"/>
        <w:keepLines w:val="0"/>
        <w:pageBreakBefore w:val="0"/>
        <w:widowControl w:val="0"/>
        <w:kinsoku/>
        <w:wordWrap/>
        <w:overflowPunct/>
        <w:topLinePunct w:val="0"/>
        <w:autoSpaceDE w:val="0"/>
        <w:autoSpaceDN w:val="0"/>
        <w:bidi w:val="0"/>
        <w:adjustRightInd/>
        <w:snapToGrid/>
        <w:spacing w:before="112" w:line="500" w:lineRule="exact"/>
        <w:ind w:right="312" w:firstLine="640" w:firstLineChars="200"/>
        <w:jc w:val="both"/>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2021年大同市第二看守所向财政</w:t>
      </w:r>
      <w:bookmarkStart w:id="26" w:name="_GoBack"/>
      <w:bookmarkEnd w:id="26"/>
      <w:r>
        <w:rPr>
          <w:rFonts w:hint="eastAsia" w:ascii="仿宋_GB2312" w:hAnsi="仿宋_GB2312" w:eastAsia="仿宋_GB2312" w:cs="仿宋_GB2312"/>
          <w:bCs/>
          <w:kern w:val="2"/>
          <w:sz w:val="32"/>
          <w:szCs w:val="32"/>
          <w:lang w:val="en-US" w:eastAsia="zh-CN" w:bidi="ar-SA"/>
        </w:rPr>
        <w:t>申请了专项经费，为人犯经费（伙食费）和人犯经费（公杂费），因公出国（境）费、公务接待费、公务用车购置费及公务用车运行维护费已包含在市公安局本级决算中。</w:t>
      </w:r>
    </w:p>
    <w:p>
      <w:pPr>
        <w:pStyle w:val="3"/>
        <w:bidi w:val="0"/>
        <w:ind w:firstLine="640" w:firstLineChars="200"/>
        <w:rPr>
          <w:rFonts w:hint="eastAsia"/>
          <w:b w:val="0"/>
          <w:bCs/>
          <w:lang w:val="en-US" w:eastAsia="zh-CN"/>
        </w:rPr>
      </w:pPr>
      <w:bookmarkStart w:id="22" w:name="_Toc16158"/>
      <w:r>
        <w:rPr>
          <w:rFonts w:hint="eastAsia"/>
          <w:b w:val="0"/>
          <w:bCs/>
          <w:lang w:val="en-US" w:eastAsia="zh-CN"/>
        </w:rPr>
        <w:t>八、其他重要事项情况说明</w:t>
      </w:r>
      <w:bookmarkEnd w:id="22"/>
    </w:p>
    <w:p>
      <w:pPr>
        <w:pStyle w:val="9"/>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（一）机关运行经费支出情况说明</w:t>
      </w:r>
    </w:p>
    <w:p>
      <w:pPr>
        <w:pStyle w:val="9"/>
        <w:numPr>
          <w:ilvl w:val="0"/>
          <w:numId w:val="0"/>
        </w:numPr>
        <w:spacing w:line="240" w:lineRule="auto"/>
        <w:rPr>
          <w:rFonts w:hint="eastAsia" w:ascii="仿宋_GB2312" w:hAnsi="仿宋_GB2312" w:eastAsia="仿宋_GB2312" w:cs="仿宋_GB2312"/>
          <w:bCs/>
          <w:kern w:val="2"/>
          <w:sz w:val="32"/>
          <w:szCs w:val="32"/>
          <w:lang w:val="en-US" w:eastAsia="zh-CN" w:bidi="ar-SA"/>
        </w:rPr>
      </w:pPr>
      <w:r>
        <w:rPr>
          <w:rFonts w:hint="eastAsia" w:ascii="宋体" w:hAnsi="宋体" w:cs="宋体"/>
          <w:b w:val="0"/>
          <w:bCs/>
          <w:sz w:val="32"/>
          <w:szCs w:val="32"/>
          <w:lang w:val="en-US" w:eastAsia="zh-CN"/>
        </w:rPr>
        <w:t xml:space="preserve">     </w:t>
      </w:r>
      <w:r>
        <w:rPr>
          <w:rFonts w:hint="eastAsia" w:ascii="仿宋_GB2312" w:hAnsi="仿宋_GB2312" w:eastAsia="仿宋_GB2312" w:cs="仿宋_GB2312"/>
          <w:bCs/>
          <w:kern w:val="2"/>
          <w:sz w:val="32"/>
          <w:szCs w:val="32"/>
          <w:lang w:val="en-US" w:eastAsia="zh-CN" w:bidi="ar-SA"/>
        </w:rPr>
        <w:t>本单位无机关运行经费，由市公安局保障。</w:t>
      </w:r>
    </w:p>
    <w:p>
      <w:pPr>
        <w:pStyle w:val="9"/>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（二）政府采购情况说明</w:t>
      </w:r>
    </w:p>
    <w:p>
      <w:pPr>
        <w:pStyle w:val="9"/>
        <w:numPr>
          <w:ilvl w:val="0"/>
          <w:numId w:val="0"/>
        </w:numPr>
        <w:spacing w:line="240" w:lineRule="auto"/>
        <w:ind w:leftChars="200"/>
        <w:rPr>
          <w:rFonts w:hint="default" w:ascii="宋体" w:hAnsi="宋体" w:cs="宋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Cs/>
          <w:kern w:val="2"/>
          <w:sz w:val="32"/>
          <w:szCs w:val="32"/>
          <w:lang w:val="en-US" w:eastAsia="zh-CN" w:bidi="ar-SA"/>
        </w:rPr>
        <w:t xml:space="preserve"> 2021年度政府采购支出总额无支出。</w:t>
      </w:r>
    </w:p>
    <w:p>
      <w:pPr>
        <w:pStyle w:val="9"/>
        <w:numPr>
          <w:ilvl w:val="0"/>
          <w:numId w:val="0"/>
        </w:numPr>
        <w:spacing w:line="240" w:lineRule="auto"/>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（三）国有资产占用情况说明</w:t>
      </w:r>
    </w:p>
    <w:p>
      <w:pPr>
        <w:pStyle w:val="9"/>
        <w:numPr>
          <w:ilvl w:val="0"/>
          <w:numId w:val="0"/>
        </w:numPr>
        <w:spacing w:line="240" w:lineRule="auto"/>
        <w:ind w:leftChars="200"/>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Cs/>
          <w:kern w:val="2"/>
          <w:sz w:val="32"/>
          <w:szCs w:val="32"/>
          <w:lang w:val="en-US" w:eastAsia="zh-CN" w:bidi="ar-SA"/>
        </w:rPr>
        <w:t xml:space="preserve"> 本单位国有资产全部计入大同市公安局本级。</w:t>
      </w:r>
    </w:p>
    <w:p>
      <w:pPr>
        <w:pStyle w:val="9"/>
        <w:numPr>
          <w:ilvl w:val="0"/>
          <w:numId w:val="0"/>
        </w:numPr>
        <w:spacing w:line="240" w:lineRule="auto"/>
        <w:ind w:left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（四）预算绩效情况说明</w:t>
      </w:r>
    </w:p>
    <w:p>
      <w:pPr>
        <w:numPr>
          <w:ilvl w:val="0"/>
          <w:numId w:val="0"/>
        </w:numPr>
        <w:spacing w:line="240" w:lineRule="auto"/>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1</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预算绩效管理工作开展情况。</w:t>
      </w:r>
    </w:p>
    <w:p>
      <w:pPr>
        <w:numPr>
          <w:ilvl w:val="0"/>
          <w:numId w:val="0"/>
        </w:numPr>
        <w:spacing w:line="240" w:lineRule="auto"/>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根据预算绩效管理要求，我部门组织对2021年度市级财政预算安排的专项资金类2个项目支出全面开展绩效自评，涉及预算资金211.6万元，占一般公共预算项目支出的总额的100%。</w:t>
      </w:r>
    </w:p>
    <w:p>
      <w:pPr>
        <w:numPr>
          <w:ilvl w:val="0"/>
          <w:numId w:val="0"/>
        </w:numPr>
        <w:spacing w:line="240" w:lineRule="auto"/>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组织对“人犯经费”和“专项业务费”开展了重点绩效评价。从评价情况来看，保障了羁押场所人员的安全，保障了羁押场所的正常运行，为维护社会稳定，打击犯罪提供了有力支撑。</w:t>
      </w:r>
    </w:p>
    <w:p>
      <w:pPr>
        <w:pStyle w:val="9"/>
        <w:numPr>
          <w:ilvl w:val="0"/>
          <w:numId w:val="0"/>
        </w:numPr>
        <w:spacing w:line="580" w:lineRule="exact"/>
        <w:ind w:left="840" w:leftChars="0"/>
        <w:rPr>
          <w:rFonts w:ascii="宋体" w:hAns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2</w:t>
      </w:r>
      <w:r>
        <w:rPr>
          <w:rFonts w:hint="eastAsia" w:ascii="宋体" w:hAnsi="宋体" w:cs="宋体"/>
          <w:b/>
          <w:bCs/>
          <w:sz w:val="32"/>
          <w:szCs w:val="32"/>
          <w:lang w:eastAsia="zh-CN"/>
        </w:rPr>
        <w:t>）</w:t>
      </w:r>
      <w:r>
        <w:rPr>
          <w:rFonts w:hint="eastAsia" w:ascii="宋体" w:hAnsi="宋体" w:cs="宋体"/>
          <w:b/>
          <w:bCs/>
          <w:sz w:val="32"/>
          <w:szCs w:val="32"/>
        </w:rPr>
        <w:t>部门决算中项目绩效自评结果。</w:t>
      </w:r>
    </w:p>
    <w:p>
      <w:pPr>
        <w:numPr>
          <w:ilvl w:val="0"/>
          <w:numId w:val="0"/>
        </w:numPr>
        <w:spacing w:line="240" w:lineRule="auto"/>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1、人犯经费自评综述：根据年初设定的绩效目标，项目自评得分为90分。全年预算数为206.1万元，执行数为206.1万元，完成预算的100%。项目绩效目标完成情况：看押人员的日常消耗品、药品等物资保障。</w:t>
      </w:r>
    </w:p>
    <w:p>
      <w:pPr>
        <w:numPr>
          <w:ilvl w:val="0"/>
          <w:numId w:val="0"/>
        </w:numPr>
        <w:spacing w:line="240" w:lineRule="auto"/>
        <w:ind w:firstLine="640" w:firstLineChars="200"/>
        <w:rPr>
          <w:rFonts w:hint="eastAsia" w:ascii="仿宋_GB2312" w:hAnsi="仿宋_GB2312" w:eastAsia="仿宋_GB2312" w:cs="仿宋_GB2312"/>
          <w:bCs/>
          <w:kern w:val="2"/>
          <w:sz w:val="32"/>
          <w:szCs w:val="32"/>
          <w:lang w:val="en-US" w:eastAsia="zh-CN" w:bidi="ar-SA"/>
        </w:rPr>
      </w:pPr>
    </w:p>
    <w:tbl>
      <w:tblPr>
        <w:tblStyle w:val="7"/>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人犯经费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4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6"/>
                <w:szCs w:val="16"/>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大同市</w:t>
            </w:r>
            <w:r>
              <w:rPr>
                <w:rFonts w:hint="eastAsia" w:ascii="宋体" w:hAnsi="宋体" w:cs="宋体"/>
                <w:kern w:val="0"/>
                <w:sz w:val="18"/>
                <w:szCs w:val="18"/>
                <w:lang w:val="en-US" w:eastAsia="zh-CN"/>
              </w:rPr>
              <w:t>第二看守所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206.1</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206.1</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206.1</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保障在押人员合法权益</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保障了在押人员的基本物资需求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在押人员数量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不公开</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不公开</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在押人员合法权益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按序时进度支付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206.1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206.1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7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在押人员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89</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保障在押人员合法权益</w:t>
            </w:r>
            <w:r>
              <w:rPr>
                <w:rFonts w:hint="eastAsia" w:ascii="宋体" w:hAnsi="宋体" w:cs="宋体"/>
                <w:kern w:val="0"/>
                <w:sz w:val="18"/>
                <w:szCs w:val="18"/>
              </w:rPr>
              <w:t>，全年预算</w:t>
            </w:r>
            <w:r>
              <w:rPr>
                <w:rFonts w:hint="eastAsia" w:ascii="宋体" w:hAnsi="宋体" w:cs="宋体"/>
                <w:kern w:val="0"/>
                <w:sz w:val="18"/>
                <w:szCs w:val="18"/>
                <w:lang w:val="en-US" w:eastAsia="zh-CN"/>
              </w:rPr>
              <w:t>206.1</w:t>
            </w:r>
            <w:r>
              <w:rPr>
                <w:rFonts w:hint="eastAsia" w:ascii="宋体" w:hAnsi="宋体" w:cs="宋体"/>
                <w:kern w:val="0"/>
                <w:sz w:val="18"/>
                <w:szCs w:val="18"/>
              </w:rPr>
              <w:t>万元。全年执行数</w:t>
            </w:r>
            <w:r>
              <w:rPr>
                <w:rFonts w:hint="eastAsia" w:ascii="宋体" w:hAnsi="宋体" w:cs="宋体"/>
                <w:kern w:val="0"/>
                <w:sz w:val="18"/>
                <w:szCs w:val="18"/>
                <w:lang w:val="en-US" w:eastAsia="zh-CN"/>
              </w:rPr>
              <w:t>206.1</w:t>
            </w:r>
            <w:r>
              <w:rPr>
                <w:rFonts w:hint="eastAsia" w:ascii="宋体" w:hAnsi="宋体" w:cs="宋体"/>
                <w:kern w:val="0"/>
                <w:sz w:val="18"/>
                <w:szCs w:val="18"/>
              </w:rPr>
              <w:t>万元,执行率为100%</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不适用公开</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进一步维护了</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稳定。</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相关人员的满意度达到了</w:t>
            </w:r>
            <w:r>
              <w:rPr>
                <w:rFonts w:hint="eastAsia" w:ascii="宋体" w:hAnsi="宋体" w:cs="宋体"/>
                <w:color w:val="000000"/>
                <w:kern w:val="0"/>
                <w:sz w:val="18"/>
                <w:szCs w:val="18"/>
                <w:lang w:val="en-US" w:eastAsia="zh-CN"/>
              </w:rPr>
              <w:t>90</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96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按照项目资金管理办法执行，专款专用。</w:t>
            </w:r>
          </w:p>
        </w:tc>
      </w:tr>
      <w:tr>
        <w:tblPrEx>
          <w:tblCellMar>
            <w:top w:w="0" w:type="dxa"/>
            <w:left w:w="108" w:type="dxa"/>
            <w:bottom w:w="0" w:type="dxa"/>
            <w:right w:w="108" w:type="dxa"/>
          </w:tblCellMar>
        </w:tblPrEx>
        <w:trPr>
          <w:trHeight w:val="78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340" w:firstLineChars="1300"/>
              <w:jc w:val="both"/>
              <w:rPr>
                <w:rFonts w:ascii="宋体" w:hAnsi="宋体" w:cs="宋体"/>
                <w:kern w:val="0"/>
                <w:sz w:val="18"/>
                <w:szCs w:val="18"/>
              </w:rPr>
            </w:pPr>
            <w:r>
              <w:rPr>
                <w:rFonts w:hint="eastAsia" w:ascii="宋体" w:hAnsi="宋体" w:cs="宋体"/>
                <w:kern w:val="0"/>
                <w:sz w:val="18"/>
                <w:szCs w:val="18"/>
              </w:rPr>
              <w:t>加强管理</w:t>
            </w:r>
            <w:r>
              <w:rPr>
                <w:rFonts w:hint="eastAsia" w:ascii="宋体" w:hAnsi="宋体" w:cs="宋体"/>
                <w:kern w:val="0"/>
                <w:sz w:val="18"/>
                <w:szCs w:val="18"/>
                <w:lang w:eastAsia="zh-CN"/>
              </w:rPr>
              <w:t>，</w:t>
            </w:r>
            <w:r>
              <w:rPr>
                <w:rFonts w:hint="eastAsia" w:ascii="宋体" w:hAnsi="宋体" w:cs="宋体"/>
                <w:kern w:val="0"/>
                <w:sz w:val="18"/>
                <w:szCs w:val="18"/>
              </w:rPr>
              <w:t>完善流程。</w:t>
            </w:r>
          </w:p>
        </w:tc>
      </w:tr>
      <w:tr>
        <w:tblPrEx>
          <w:tblCellMar>
            <w:top w:w="0" w:type="dxa"/>
            <w:left w:w="108" w:type="dxa"/>
            <w:bottom w:w="0" w:type="dxa"/>
            <w:right w:w="108" w:type="dxa"/>
          </w:tblCellMar>
        </w:tblPrEx>
        <w:trPr>
          <w:trHeight w:val="103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加强管理，提高协调合作。</w:t>
            </w:r>
          </w:p>
        </w:tc>
      </w:tr>
    </w:tbl>
    <w:p>
      <w:pPr>
        <w:spacing w:line="580" w:lineRule="exact"/>
        <w:ind w:firstLine="640" w:firstLineChars="200"/>
        <w:rPr>
          <w:rFonts w:hint="eastAsia" w:ascii="仿宋_GB2312" w:hAnsi="仿宋_GB2312" w:eastAsia="仿宋_GB2312" w:cs="仿宋_GB2312"/>
          <w:bCs/>
          <w:kern w:val="2"/>
          <w:sz w:val="32"/>
          <w:szCs w:val="32"/>
          <w:lang w:val="en-US" w:eastAsia="zh-CN" w:bidi="ar-SA"/>
        </w:rPr>
      </w:pPr>
    </w:p>
    <w:p>
      <w:pPr>
        <w:spacing w:line="580" w:lineRule="exact"/>
        <w:ind w:firstLine="640" w:firstLineChars="200"/>
        <w:rPr>
          <w:rFonts w:hint="default" w:ascii="宋体" w:hAnsi="宋体" w:eastAsia="宋体" w:cs="宋体"/>
          <w:bCs/>
          <w:sz w:val="32"/>
          <w:szCs w:val="32"/>
          <w:lang w:val="en-US" w:eastAsia="zh-CN"/>
        </w:rPr>
      </w:pPr>
      <w:r>
        <w:rPr>
          <w:rFonts w:hint="eastAsia" w:ascii="仿宋_GB2312" w:hAnsi="仿宋_GB2312" w:eastAsia="仿宋_GB2312" w:cs="仿宋_GB2312"/>
          <w:bCs/>
          <w:kern w:val="2"/>
          <w:sz w:val="32"/>
          <w:szCs w:val="32"/>
          <w:lang w:val="en-US" w:eastAsia="zh-CN" w:bidi="ar-SA"/>
        </w:rPr>
        <w:t>2、专项业务费自评综述：根据年初设定的绩效目标，项目自评得分为95分。全年预算数为5.5万元，执行数为5.5万元，完成预算的100%.项目绩效目标完成情况：保障拘押场所正常运转。</w:t>
      </w:r>
    </w:p>
    <w:tbl>
      <w:tblPr>
        <w:tblStyle w:val="7"/>
        <w:tblpPr w:leftFromText="180" w:rightFromText="180" w:vertAnchor="text" w:horzAnchor="page" w:tblpX="1464" w:tblpY="850"/>
        <w:tblOverlap w:val="never"/>
        <w:tblW w:w="9080" w:type="dxa"/>
        <w:tblInd w:w="0" w:type="dxa"/>
        <w:tblLayout w:type="fixed"/>
        <w:tblCellMar>
          <w:top w:w="0" w:type="dxa"/>
          <w:left w:w="108" w:type="dxa"/>
          <w:bottom w:w="0" w:type="dxa"/>
          <w:right w:w="108" w:type="dxa"/>
        </w:tblCellMar>
      </w:tblPr>
      <w:tblGrid>
        <w:gridCol w:w="588"/>
        <w:gridCol w:w="650"/>
        <w:gridCol w:w="567"/>
        <w:gridCol w:w="65"/>
        <w:gridCol w:w="154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w:t>
            </w:r>
            <w:r>
              <w:rPr>
                <w:rFonts w:hint="eastAsia" w:ascii="华文中宋" w:hAnsi="华文中宋" w:eastAsia="华文中宋" w:cs="华文中宋"/>
                <w:b/>
                <w:bCs/>
                <w:kern w:val="0"/>
                <w:sz w:val="36"/>
                <w:szCs w:val="36"/>
              </w:rPr>
              <w:t>表</w:t>
            </w:r>
          </w:p>
        </w:tc>
      </w:tr>
      <w:tr>
        <w:tblPrEx>
          <w:tblCellMar>
            <w:top w:w="0" w:type="dxa"/>
            <w:left w:w="108" w:type="dxa"/>
            <w:bottom w:w="0" w:type="dxa"/>
            <w:right w:w="108" w:type="dxa"/>
          </w:tblCellMar>
        </w:tblPrEx>
        <w:trPr>
          <w:trHeight w:val="201" w:hRule="atLeast"/>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专项业务费</w:t>
            </w:r>
          </w:p>
        </w:tc>
      </w:tr>
      <w:tr>
        <w:tblPrEx>
          <w:tblCellMar>
            <w:top w:w="0" w:type="dxa"/>
            <w:left w:w="108" w:type="dxa"/>
            <w:bottom w:w="0" w:type="dxa"/>
            <w:right w:w="108" w:type="dxa"/>
          </w:tblCellMar>
        </w:tblPrEx>
        <w:trPr>
          <w:trHeight w:val="38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7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大同市第二看守所</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180" w:firstLineChars="100"/>
              <w:jc w:val="both"/>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保障拘押场所正常运行</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保障了拘押场所正常运行</w:t>
            </w:r>
          </w:p>
        </w:tc>
      </w:tr>
      <w:tr>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拘押场所数量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正常运行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2"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按实际支出支付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专项业务费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秩序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专项业务费</w:t>
            </w:r>
            <w:r>
              <w:rPr>
                <w:rFonts w:hint="eastAsia" w:ascii="宋体" w:hAnsi="宋体" w:cs="宋体"/>
                <w:kern w:val="0"/>
                <w:sz w:val="18"/>
                <w:szCs w:val="18"/>
              </w:rPr>
              <w:t>，全年预算</w:t>
            </w:r>
            <w:r>
              <w:rPr>
                <w:rFonts w:hint="eastAsia" w:ascii="宋体" w:hAnsi="宋体" w:cs="宋体"/>
                <w:kern w:val="0"/>
                <w:sz w:val="18"/>
                <w:szCs w:val="18"/>
                <w:lang w:val="en-US" w:eastAsia="zh-CN"/>
              </w:rPr>
              <w:t>5.5</w:t>
            </w:r>
            <w:r>
              <w:rPr>
                <w:rFonts w:hint="eastAsia" w:ascii="宋体" w:hAnsi="宋体" w:cs="宋体"/>
                <w:kern w:val="0"/>
                <w:sz w:val="18"/>
                <w:szCs w:val="18"/>
              </w:rPr>
              <w:t>万元，全年执行支出</w:t>
            </w:r>
            <w:r>
              <w:rPr>
                <w:rFonts w:hint="eastAsia" w:ascii="宋体" w:hAnsi="宋体" w:cs="宋体"/>
                <w:kern w:val="0"/>
                <w:sz w:val="18"/>
                <w:szCs w:val="18"/>
                <w:lang w:val="en-US" w:eastAsia="zh-CN"/>
              </w:rPr>
              <w:t>5.5</w:t>
            </w:r>
            <w:r>
              <w:rPr>
                <w:rFonts w:hint="eastAsia" w:ascii="宋体" w:hAnsi="宋体" w:cs="宋体"/>
                <w:kern w:val="0"/>
                <w:sz w:val="18"/>
                <w:szCs w:val="18"/>
              </w:rPr>
              <w:t>万元，执行率</w:t>
            </w:r>
            <w:r>
              <w:rPr>
                <w:rFonts w:hint="eastAsia" w:ascii="宋体" w:hAnsi="宋体" w:cs="宋体"/>
                <w:kern w:val="0"/>
                <w:sz w:val="18"/>
                <w:szCs w:val="18"/>
                <w:lang w:val="en-US" w:eastAsia="zh-CN"/>
              </w:rPr>
              <w:t>100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1045"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按实际支出执行</w:t>
            </w:r>
          </w:p>
        </w:tc>
      </w:tr>
      <w:tr>
        <w:tblPrEx>
          <w:tblCellMar>
            <w:top w:w="0" w:type="dxa"/>
            <w:left w:w="108" w:type="dxa"/>
            <w:bottom w:w="0" w:type="dxa"/>
            <w:right w:w="108" w:type="dxa"/>
          </w:tblCellMar>
        </w:tblPrEx>
        <w:trPr>
          <w:trHeight w:val="1100"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确保</w:t>
            </w:r>
            <w:r>
              <w:rPr>
                <w:rFonts w:hint="eastAsia" w:ascii="宋体" w:hAnsi="宋体" w:cs="宋体"/>
                <w:color w:val="000000"/>
                <w:kern w:val="0"/>
                <w:sz w:val="18"/>
                <w:szCs w:val="18"/>
                <w:lang w:val="en-US" w:eastAsia="zh-CN"/>
              </w:rPr>
              <w:t>了拘押场所</w:t>
            </w:r>
            <w:r>
              <w:rPr>
                <w:rFonts w:hint="eastAsia" w:ascii="宋体" w:hAnsi="宋体" w:cs="宋体"/>
                <w:color w:val="000000"/>
                <w:kern w:val="0"/>
                <w:sz w:val="18"/>
                <w:szCs w:val="18"/>
              </w:rPr>
              <w:t>的秩序。</w:t>
            </w:r>
          </w:p>
        </w:tc>
      </w:tr>
      <w:tr>
        <w:tblPrEx>
          <w:tblCellMar>
            <w:top w:w="0" w:type="dxa"/>
            <w:left w:w="108" w:type="dxa"/>
            <w:bottom w:w="0" w:type="dxa"/>
            <w:right w:w="108" w:type="dxa"/>
          </w:tblCellMar>
        </w:tblPrEx>
        <w:trPr>
          <w:trHeight w:val="1543"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满意度度为95%</w:t>
            </w:r>
          </w:p>
        </w:tc>
      </w:tr>
      <w:tr>
        <w:tblPrEx>
          <w:tblCellMar>
            <w:top w:w="0" w:type="dxa"/>
            <w:left w:w="108" w:type="dxa"/>
            <w:bottom w:w="0" w:type="dxa"/>
            <w:right w:w="108" w:type="dxa"/>
          </w:tblCellMar>
        </w:tblPrEx>
        <w:trPr>
          <w:trHeight w:val="101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专款专用，按</w:t>
            </w:r>
            <w:r>
              <w:rPr>
                <w:rFonts w:hint="eastAsia" w:ascii="宋体" w:hAnsi="宋体" w:cs="宋体"/>
                <w:kern w:val="0"/>
                <w:sz w:val="18"/>
                <w:szCs w:val="18"/>
                <w:lang w:val="en-US" w:eastAsia="zh-CN"/>
              </w:rPr>
              <w:t>实际支出</w:t>
            </w:r>
            <w:r>
              <w:rPr>
                <w:rFonts w:hint="eastAsia" w:ascii="宋体" w:hAnsi="宋体" w:cs="宋体"/>
                <w:kern w:val="0"/>
                <w:sz w:val="18"/>
                <w:szCs w:val="18"/>
              </w:rPr>
              <w:t>支付</w:t>
            </w:r>
          </w:p>
        </w:tc>
      </w:tr>
      <w:tr>
        <w:tblPrEx>
          <w:tblCellMar>
            <w:top w:w="0" w:type="dxa"/>
            <w:left w:w="108" w:type="dxa"/>
            <w:bottom w:w="0" w:type="dxa"/>
            <w:right w:w="108" w:type="dxa"/>
          </w:tblCellMar>
        </w:tblPrEx>
        <w:trPr>
          <w:trHeight w:val="988"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tblPrEx>
          <w:tblCellMar>
            <w:top w:w="0" w:type="dxa"/>
            <w:left w:w="108" w:type="dxa"/>
            <w:bottom w:w="0" w:type="dxa"/>
            <w:right w:w="108" w:type="dxa"/>
          </w:tblCellMar>
        </w:tblPrEx>
        <w:trPr>
          <w:trHeight w:val="1034"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w:t>
            </w:r>
          </w:p>
        </w:tc>
      </w:tr>
    </w:tbl>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spacing w:line="580" w:lineRule="exact"/>
        <w:rPr>
          <w:rFonts w:ascii="宋体" w:hAnsi="宋体" w:cs="宋体"/>
          <w:bCs/>
          <w:sz w:val="32"/>
          <w:szCs w:val="32"/>
        </w:rPr>
      </w:pPr>
    </w:p>
    <w:p>
      <w:pPr>
        <w:pStyle w:val="6"/>
        <w:shd w:val="clear" w:color="auto" w:fill="FFFFFF"/>
        <w:spacing w:before="0" w:beforeAutospacing="0" w:after="0" w:afterAutospacing="0" w:line="580" w:lineRule="exact"/>
        <w:jc w:val="both"/>
        <w:rPr>
          <w:rFonts w:hint="eastAsia" w:cs="Arial" w:asciiTheme="minorEastAsia" w:hAnsiTheme="minorEastAsia" w:eastAsiaTheme="minorEastAsia"/>
          <w:b/>
          <w:color w:val="000000"/>
          <w:sz w:val="36"/>
          <w:szCs w:val="36"/>
        </w:rPr>
      </w:pPr>
    </w:p>
    <w:p>
      <w:pPr>
        <w:pStyle w:val="2"/>
        <w:bidi w:val="0"/>
        <w:jc w:val="center"/>
        <w:rPr>
          <w:rFonts w:hint="eastAsia" w:ascii="宋体" w:hAnsi="宋体" w:eastAsia="宋体" w:cs="宋体"/>
          <w:b/>
          <w:bCs w:val="0"/>
          <w:sz w:val="36"/>
          <w:szCs w:val="36"/>
          <w:lang w:val="en-US" w:eastAsia="zh-CN"/>
        </w:rPr>
      </w:pPr>
      <w:bookmarkStart w:id="23" w:name="_Toc27312"/>
      <w:r>
        <w:rPr>
          <w:rFonts w:hint="eastAsia" w:ascii="宋体" w:hAnsi="宋体" w:eastAsia="宋体" w:cs="宋体"/>
          <w:b/>
          <w:bCs w:val="0"/>
          <w:sz w:val="36"/>
          <w:szCs w:val="36"/>
          <w:lang w:val="en-US" w:eastAsia="zh-CN"/>
        </w:rPr>
        <w:t>第四部分  名词解释</w:t>
      </w:r>
      <w:bookmarkEnd w:id="23"/>
      <w:r>
        <w:rPr>
          <w:rFonts w:hint="eastAsia" w:ascii="宋体" w:hAnsi="宋体" w:eastAsia="宋体" w:cs="宋体"/>
          <w:b/>
          <w:bCs w:val="0"/>
          <w:sz w:val="36"/>
          <w:szCs w:val="36"/>
          <w:lang w:val="en-US" w:eastAsia="zh-CN"/>
        </w:rPr>
        <w:t xml:space="preserve">  </w:t>
      </w:r>
    </w:p>
    <w:p>
      <w:pPr>
        <w:numPr>
          <w:ilvl w:val="0"/>
          <w:numId w:val="0"/>
        </w:numPr>
        <w:ind w:leftChars="0" w:firstLine="643" w:firstLineChars="200"/>
        <w:outlineLvl w:val="1"/>
        <w:rPr>
          <w:rFonts w:hint="eastAsia" w:ascii="宋体" w:hAnsi="宋体" w:eastAsia="宋体" w:cs="宋体"/>
          <w:sz w:val="32"/>
          <w:szCs w:val="32"/>
        </w:rPr>
      </w:pPr>
      <w:bookmarkStart w:id="24" w:name="_Toc19768"/>
      <w:r>
        <w:rPr>
          <w:rFonts w:hint="eastAsia" w:ascii="宋体" w:hAnsi="宋体" w:cs="宋体"/>
          <w:b/>
          <w:bCs/>
          <w:sz w:val="32"/>
          <w:szCs w:val="32"/>
          <w:lang w:val="en-US" w:eastAsia="zh-CN"/>
        </w:rPr>
        <w:t>一、</w:t>
      </w:r>
      <w:r>
        <w:rPr>
          <w:rFonts w:hint="eastAsia" w:ascii="宋体" w:hAnsi="宋体" w:eastAsia="宋体" w:cs="宋体"/>
          <w:b/>
          <w:bCs/>
          <w:sz w:val="32"/>
          <w:szCs w:val="32"/>
        </w:rPr>
        <w:t>财政拨款收入：</w:t>
      </w:r>
      <w:r>
        <w:rPr>
          <w:rFonts w:hint="eastAsia" w:ascii="仿宋_GB2312" w:hAnsi="仿宋_GB2312" w:eastAsia="仿宋_GB2312" w:cs="仿宋_GB2312"/>
          <w:bCs/>
          <w:kern w:val="2"/>
          <w:sz w:val="32"/>
          <w:szCs w:val="32"/>
          <w:lang w:val="en-US" w:eastAsia="zh-CN" w:bidi="ar-SA"/>
        </w:rPr>
        <w:t>指单位从同级财政部门取得的财政预算资金。</w:t>
      </w:r>
      <w:bookmarkEnd w:id="24"/>
    </w:p>
    <w:p>
      <w:pPr>
        <w:numPr>
          <w:ilvl w:val="0"/>
          <w:numId w:val="0"/>
        </w:numPr>
        <w:ind w:leftChars="0"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二、事业收入：</w:t>
      </w:r>
      <w:r>
        <w:rPr>
          <w:rFonts w:hint="eastAsia" w:ascii="仿宋_GB2312" w:hAnsi="仿宋_GB2312" w:eastAsia="仿宋_GB2312" w:cs="仿宋_GB2312"/>
          <w:bCs/>
          <w:kern w:val="2"/>
          <w:sz w:val="32"/>
          <w:szCs w:val="32"/>
          <w:lang w:val="en-US" w:eastAsia="zh-CN" w:bidi="ar-SA"/>
        </w:rPr>
        <w:t>指事业单位开展专业业务活动及辅助活动取得的收入。</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三、经营收入：</w:t>
      </w:r>
      <w:r>
        <w:rPr>
          <w:rFonts w:hint="eastAsia" w:ascii="仿宋_GB2312" w:hAnsi="仿宋_GB2312" w:eastAsia="仿宋_GB2312" w:cs="仿宋_GB2312"/>
          <w:bCs/>
          <w:kern w:val="2"/>
          <w:sz w:val="32"/>
          <w:szCs w:val="32"/>
          <w:lang w:val="en-US" w:eastAsia="zh-CN" w:bidi="ar-SA"/>
        </w:rPr>
        <w:t>指事业单位在专业业务活动及其辅助活动之外开展非独立核算经营活动取得的收入。</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四、其他收入：</w:t>
      </w:r>
      <w:r>
        <w:rPr>
          <w:rFonts w:hint="eastAsia" w:ascii="仿宋_GB2312" w:hAnsi="仿宋_GB2312" w:eastAsia="仿宋_GB2312" w:cs="仿宋_GB2312"/>
          <w:bCs/>
          <w:kern w:val="2"/>
          <w:sz w:val="32"/>
          <w:szCs w:val="32"/>
          <w:lang w:val="en-US" w:eastAsia="zh-CN" w:bidi="ar-SA"/>
        </w:rPr>
        <w:t>指单位取得的除上述收入以外的各项收入。主要是事业单位固定资产出租收入、存款利息收入等。</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五、使用非财政拨款结余：</w:t>
      </w:r>
      <w:r>
        <w:rPr>
          <w:rFonts w:hint="eastAsia" w:ascii="仿宋_GB2312" w:hAnsi="仿宋_GB2312" w:eastAsia="仿宋_GB2312" w:cs="仿宋_GB2312"/>
          <w:bCs/>
          <w:kern w:val="2"/>
          <w:sz w:val="32"/>
          <w:szCs w:val="32"/>
          <w:lang w:val="en-US" w:eastAsia="zh-CN" w:bidi="ar-SA"/>
        </w:rPr>
        <w:t>指事业单位使用以前年度积累的非财政拨款结余弥补当年收支差额的金额。</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六、年初结转和结余：</w:t>
      </w:r>
      <w:r>
        <w:rPr>
          <w:rFonts w:hint="eastAsia" w:ascii="仿宋_GB2312" w:hAnsi="仿宋_GB2312" w:eastAsia="仿宋_GB2312" w:cs="仿宋_GB2312"/>
          <w:bCs/>
          <w:kern w:val="2"/>
          <w:sz w:val="32"/>
          <w:szCs w:val="32"/>
          <w:lang w:val="en-US" w:eastAsia="zh-CN" w:bidi="ar-SA"/>
        </w:rPr>
        <w:t>指单位以前年度尚未完成、结转到本年仍按原规定用途继续使用的资金，或项目已完成等产生的结余资金。</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七、结余分配：</w:t>
      </w:r>
      <w:r>
        <w:rPr>
          <w:rFonts w:hint="eastAsia" w:ascii="仿宋_GB2312" w:hAnsi="仿宋_GB2312" w:eastAsia="仿宋_GB2312" w:cs="仿宋_GB2312"/>
          <w:bCs/>
          <w:kern w:val="2"/>
          <w:sz w:val="32"/>
          <w:szCs w:val="32"/>
          <w:lang w:val="en-US" w:eastAsia="zh-CN" w:bidi="ar-SA"/>
        </w:rPr>
        <w:t>指事业单位按照会计制度规定缴纳的所得税、提取的专用结余以及转入非财政拨款结余的金额等。</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八、年末结转和结余：</w:t>
      </w:r>
      <w:r>
        <w:rPr>
          <w:rFonts w:hint="eastAsia" w:ascii="仿宋_GB2312" w:hAnsi="仿宋_GB2312" w:eastAsia="仿宋_GB2312" w:cs="仿宋_GB2312"/>
          <w:bCs/>
          <w:kern w:val="2"/>
          <w:sz w:val="32"/>
          <w:szCs w:val="32"/>
          <w:lang w:val="en-US" w:eastAsia="zh-CN" w:bidi="ar-SA"/>
        </w:rPr>
        <w:t>指单位按有关规定结转到下年或以后年度继续使用的资金，或项目已完成等产生的结余资金。</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九、基本支出：</w:t>
      </w:r>
      <w:r>
        <w:rPr>
          <w:rFonts w:hint="eastAsia" w:ascii="仿宋_GB2312" w:hAnsi="仿宋_GB2312" w:eastAsia="仿宋_GB2312" w:cs="仿宋_GB2312"/>
          <w:bCs/>
          <w:kern w:val="2"/>
          <w:sz w:val="32"/>
          <w:szCs w:val="32"/>
          <w:lang w:val="en-US" w:eastAsia="zh-CN" w:bidi="ar-SA"/>
        </w:rPr>
        <w:t>指为保障机构正常运转、完成日常工作任务而发生的人员支出和公用支出。</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十、项目支出：</w:t>
      </w:r>
      <w:r>
        <w:rPr>
          <w:rFonts w:hint="eastAsia" w:ascii="仿宋_GB2312" w:hAnsi="仿宋_GB2312" w:eastAsia="仿宋_GB2312" w:cs="仿宋_GB2312"/>
          <w:bCs/>
          <w:kern w:val="2"/>
          <w:sz w:val="32"/>
          <w:szCs w:val="32"/>
          <w:lang w:val="en-US" w:eastAsia="zh-CN" w:bidi="ar-SA"/>
        </w:rPr>
        <w:t>指在基本支出之外为完成特定行政任务和事业发展目标所发生的支出。</w:t>
      </w:r>
    </w:p>
    <w:p>
      <w:pPr>
        <w:ind w:firstLine="643" w:firstLineChars="2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十一、“三公”经费：</w:t>
      </w:r>
      <w:r>
        <w:rPr>
          <w:rFonts w:hint="eastAsia" w:ascii="仿宋_GB2312" w:hAnsi="仿宋_GB2312" w:eastAsia="仿宋_GB2312" w:cs="仿宋_GB2312"/>
          <w:bCs/>
          <w:kern w:val="2"/>
          <w:sz w:val="32"/>
          <w:szCs w:val="32"/>
          <w:lang w:val="en-US" w:eastAsia="zh-CN" w:bidi="ar-SA"/>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pacing w:line="580" w:lineRule="exact"/>
        <w:ind w:firstLine="800"/>
        <w:rPr>
          <w:rFonts w:hint="eastAsia" w:ascii="仿宋_GB2312" w:hAnsi="仿宋_GB2312" w:eastAsia="仿宋_GB2312" w:cs="仿宋_GB2312"/>
          <w:bCs/>
          <w:kern w:val="2"/>
          <w:sz w:val="32"/>
          <w:szCs w:val="32"/>
          <w:lang w:val="en-US" w:eastAsia="zh-CN" w:bidi="ar-SA"/>
        </w:rPr>
      </w:pPr>
      <w:r>
        <w:rPr>
          <w:rFonts w:hint="eastAsia" w:ascii="宋体" w:hAnsi="宋体" w:eastAsia="宋体" w:cs="宋体"/>
          <w:b/>
          <w:bCs/>
          <w:sz w:val="32"/>
          <w:szCs w:val="32"/>
        </w:rPr>
        <w:t>十二、机关运行经费：</w:t>
      </w:r>
      <w:r>
        <w:rPr>
          <w:rFonts w:hint="eastAsia" w:ascii="仿宋_GB2312" w:hAnsi="仿宋_GB2312" w:eastAsia="仿宋_GB2312" w:cs="仿宋_GB2312"/>
          <w:bCs/>
          <w:kern w:val="2"/>
          <w:sz w:val="32"/>
          <w:szCs w:val="32"/>
          <w:lang w:val="en-US" w:eastAsia="zh-CN" w:bidi="ar-SA"/>
        </w:rPr>
        <w:t>指行政单位和参照公务员法管理的事业单位使用一般公共预算安排的基本支出中的日常公用经费支出。</w:t>
      </w:r>
    </w:p>
    <w:p>
      <w:pPr>
        <w:pStyle w:val="2"/>
        <w:bidi w:val="0"/>
        <w:jc w:val="center"/>
        <w:outlineLvl w:val="9"/>
        <w:rPr>
          <w:rFonts w:hint="eastAsia" w:ascii="宋体" w:hAnsi="宋体" w:eastAsia="宋体" w:cs="宋体"/>
          <w:b/>
          <w:bCs w:val="0"/>
          <w:sz w:val="36"/>
          <w:szCs w:val="36"/>
          <w:lang w:val="en-US" w:eastAsia="zh-CN"/>
        </w:rPr>
      </w:pPr>
      <w:r>
        <w:rPr>
          <w:rFonts w:hint="eastAsia" w:ascii="黑体" w:eastAsia="黑体" w:cs="Arial"/>
          <w:b/>
          <w:color w:val="000000"/>
          <w:sz w:val="32"/>
          <w:szCs w:val="20"/>
        </w:rPr>
        <w:t xml:space="preserve">  </w:t>
      </w:r>
      <w:r>
        <w:rPr>
          <w:rFonts w:hint="eastAsia" w:cs="Arial" w:asciiTheme="minorEastAsia" w:hAnsiTheme="minorEastAsia" w:eastAsiaTheme="minorEastAsia"/>
          <w:b/>
          <w:color w:val="000000"/>
          <w:sz w:val="36"/>
          <w:szCs w:val="36"/>
        </w:rPr>
        <w:t xml:space="preserve">  </w:t>
      </w:r>
      <w:r>
        <w:rPr>
          <w:rFonts w:hint="eastAsia" w:cs="Arial" w:asciiTheme="minorEastAsia" w:hAnsiTheme="minorEastAsia" w:eastAsiaTheme="minorEastAsia"/>
          <w:b/>
          <w:color w:val="000000"/>
          <w:sz w:val="36"/>
          <w:szCs w:val="36"/>
          <w:lang w:val="en-US" w:eastAsia="zh-CN"/>
        </w:rPr>
        <w:t xml:space="preserve">  </w:t>
      </w:r>
      <w:r>
        <w:rPr>
          <w:rFonts w:hint="eastAsia" w:ascii="宋体" w:hAnsi="宋体" w:eastAsia="宋体" w:cs="宋体"/>
          <w:b/>
          <w:bCs w:val="0"/>
          <w:sz w:val="36"/>
          <w:szCs w:val="36"/>
          <w:lang w:val="en-US" w:eastAsia="zh-CN"/>
        </w:rPr>
        <w:t xml:space="preserve">      </w:t>
      </w:r>
    </w:p>
    <w:p>
      <w:pPr>
        <w:pStyle w:val="2"/>
        <w:bidi w:val="0"/>
        <w:jc w:val="center"/>
        <w:rPr>
          <w:rFonts w:hint="eastAsia" w:ascii="宋体" w:hAnsi="宋体" w:eastAsia="宋体" w:cs="宋体"/>
          <w:b/>
          <w:bCs w:val="0"/>
          <w:sz w:val="36"/>
          <w:szCs w:val="36"/>
          <w:lang w:val="en-US" w:eastAsia="zh-CN"/>
        </w:rPr>
      </w:pPr>
      <w:bookmarkStart w:id="25" w:name="_Toc18074"/>
      <w:r>
        <w:rPr>
          <w:rFonts w:hint="eastAsia" w:ascii="宋体" w:hAnsi="宋体" w:eastAsia="宋体" w:cs="宋体"/>
          <w:b/>
          <w:bCs w:val="0"/>
          <w:sz w:val="36"/>
          <w:szCs w:val="36"/>
          <w:lang w:val="en-US" w:eastAsia="zh-CN"/>
        </w:rPr>
        <w:t>第五部分  附件</w:t>
      </w:r>
      <w:bookmarkEnd w:id="25"/>
    </w:p>
    <w:p>
      <w:pPr>
        <w:pStyle w:val="6"/>
        <w:shd w:val="clear" w:color="auto" w:fill="FFFFFF"/>
        <w:spacing w:line="580" w:lineRule="exact"/>
        <w:ind w:firstLine="8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我单位无需要其他说明的事项。</w:t>
      </w:r>
    </w:p>
    <w:p>
      <w:pPr>
        <w:pStyle w:val="6"/>
        <w:shd w:val="clear" w:color="auto" w:fill="FFFFFF"/>
        <w:spacing w:line="580" w:lineRule="exact"/>
        <w:ind w:firstLine="800"/>
        <w:rPr>
          <w:rFonts w:ascii="仿宋_GB2312" w:eastAsia="仿宋_GB2312"/>
          <w:sz w:val="32"/>
          <w:szCs w:val="32"/>
        </w:rPr>
      </w:pPr>
      <w:r>
        <w:rPr>
          <w:rFonts w:hint="eastAsia" w:ascii="仿宋_GB2312" w:hAnsi="仿宋_GB2312" w:eastAsia="仿宋_GB2312" w:cs="仿宋_GB2312"/>
          <w:bCs/>
          <w:kern w:val="2"/>
          <w:sz w:val="32"/>
          <w:szCs w:val="32"/>
          <w:lang w:val="en-US" w:eastAsia="zh-CN" w:bidi="ar-SA"/>
        </w:rPr>
        <w:t xml:space="preserve">                    </w:t>
      </w:r>
      <w:r>
        <w:rPr>
          <w:rFonts w:hint="eastAsia" w:ascii="仿宋_GB2312" w:eastAsia="仿宋_GB2312"/>
          <w:sz w:val="32"/>
          <w:szCs w:val="32"/>
        </w:rPr>
        <w:t xml:space="preserve">      </w:t>
      </w:r>
    </w:p>
    <w:p>
      <w:pPr>
        <w:wordWrap w:val="0"/>
        <w:spacing w:line="580" w:lineRule="exact"/>
        <w:jc w:val="center"/>
        <w:rPr>
          <w:rFonts w:ascii="仿宋_GB2312" w:eastAsia="仿宋_GB2312"/>
          <w:sz w:val="32"/>
          <w:szCs w:val="32"/>
        </w:rPr>
      </w:pPr>
    </w:p>
    <w:p>
      <w:pPr>
        <w:wordWrap w:val="0"/>
        <w:spacing w:line="580" w:lineRule="exact"/>
        <w:jc w:val="center"/>
        <w:rPr>
          <w:rFonts w:hint="eastAsia" w:asciiTheme="minorEastAsia" w:hAnsiTheme="minorEastAsia" w:eastAsiaTheme="minorEastAsia"/>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wordWrap w:val="0"/>
        <w:spacing w:line="580" w:lineRule="exact"/>
        <w:jc w:val="center"/>
        <w:rPr>
          <w:rFonts w:hint="eastAsia" w:asciiTheme="minorEastAsia" w:hAnsiTheme="minorEastAsia" w:eastAsiaTheme="minorEastAsia"/>
          <w:sz w:val="32"/>
          <w:szCs w:val="32"/>
        </w:rPr>
      </w:pPr>
    </w:p>
    <w:p>
      <w:pPr>
        <w:wordWrap w:val="0"/>
        <w:spacing w:line="580" w:lineRule="exact"/>
        <w:jc w:val="center"/>
        <w:rPr>
          <w:sz w:val="10"/>
          <w:szCs w:val="10"/>
        </w:rPr>
      </w:pPr>
      <w:r>
        <w:rPr>
          <w:rFonts w:hint="eastAsia" w:asciiTheme="minorEastAsia" w:hAnsiTheme="minorEastAsia" w:eastAsiaTheme="minorEastAsia"/>
          <w:sz w:val="32"/>
          <w:szCs w:val="32"/>
          <w:lang w:val="en-US" w:eastAsia="zh-CN"/>
        </w:rPr>
        <w:t xml:space="preserve">                                  </w:t>
      </w:r>
      <w:r>
        <w:rPr>
          <w:rFonts w:hint="eastAsia" w:ascii="仿宋_GB2312" w:hAnsi="仿宋_GB2312" w:eastAsia="仿宋_GB2312" w:cs="仿宋_GB2312"/>
          <w:bCs/>
          <w:kern w:val="2"/>
          <w:sz w:val="32"/>
          <w:szCs w:val="32"/>
          <w:lang w:val="en-US" w:eastAsia="zh-CN" w:bidi="ar-SA"/>
        </w:rPr>
        <w:t>大同市第二看守所                                  2022年7月27日</w:t>
      </w:r>
    </w:p>
    <w:p>
      <w:pPr>
        <w:rPr>
          <w:sz w:val="10"/>
          <w:szCs w:val="10"/>
        </w:rPr>
      </w:pPr>
    </w:p>
    <w:sectPr>
      <w:pgSz w:w="11905"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83BCF"/>
    <w:multiLevelType w:val="singleLevel"/>
    <w:tmpl w:val="AF783BCF"/>
    <w:lvl w:ilvl="0" w:tentative="0">
      <w:start w:val="1"/>
      <w:numFmt w:val="chineseCounting"/>
      <w:suff w:val="space"/>
      <w:lvlText w:val="第%1部分"/>
      <w:lvlJc w:val="left"/>
      <w:rPr>
        <w:rFonts w:hint="eastAsia"/>
      </w:rPr>
    </w:lvl>
  </w:abstractNum>
  <w:abstractNum w:abstractNumId="1">
    <w:nsid w:val="EB7DB396"/>
    <w:multiLevelType w:val="singleLevel"/>
    <w:tmpl w:val="EB7DB396"/>
    <w:lvl w:ilvl="0" w:tentative="0">
      <w:start w:val="2"/>
      <w:numFmt w:val="chineseCounting"/>
      <w:suff w:val="nothing"/>
      <w:lvlText w:val="（%1）"/>
      <w:lvlJc w:val="left"/>
      <w:rPr>
        <w:rFonts w:hint="eastAsia"/>
      </w:rPr>
    </w:lvl>
  </w:abstractNum>
  <w:abstractNum w:abstractNumId="2">
    <w:nsid w:val="5026108C"/>
    <w:multiLevelType w:val="singleLevel"/>
    <w:tmpl w:val="5026108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2VhMDk4Y2NlYzM2ODJmMjI3M2ZmMDVjOWRiMDUifQ=="/>
  </w:docVars>
  <w:rsids>
    <w:rsidRoot w:val="13D671AC"/>
    <w:rsid w:val="012C10A7"/>
    <w:rsid w:val="012D0479"/>
    <w:rsid w:val="01E52B01"/>
    <w:rsid w:val="02421D02"/>
    <w:rsid w:val="029A6894"/>
    <w:rsid w:val="03D71DDD"/>
    <w:rsid w:val="03E35864"/>
    <w:rsid w:val="03F679DF"/>
    <w:rsid w:val="04620439"/>
    <w:rsid w:val="04C51E6F"/>
    <w:rsid w:val="058B7AE2"/>
    <w:rsid w:val="05C57216"/>
    <w:rsid w:val="066427B9"/>
    <w:rsid w:val="06BB68B9"/>
    <w:rsid w:val="06F55595"/>
    <w:rsid w:val="071874D5"/>
    <w:rsid w:val="07544B75"/>
    <w:rsid w:val="07BE01EF"/>
    <w:rsid w:val="07E35D35"/>
    <w:rsid w:val="08AE1E9F"/>
    <w:rsid w:val="08F46A11"/>
    <w:rsid w:val="09254672"/>
    <w:rsid w:val="09AF419E"/>
    <w:rsid w:val="09AF5ECF"/>
    <w:rsid w:val="09ED462C"/>
    <w:rsid w:val="0AFB1FDF"/>
    <w:rsid w:val="0B0E4E77"/>
    <w:rsid w:val="0B663B02"/>
    <w:rsid w:val="0BC35C62"/>
    <w:rsid w:val="0BE67BA2"/>
    <w:rsid w:val="0C0D512F"/>
    <w:rsid w:val="0C711C20"/>
    <w:rsid w:val="0C765ED2"/>
    <w:rsid w:val="0CA35A93"/>
    <w:rsid w:val="0CD8398F"/>
    <w:rsid w:val="0CE90E9D"/>
    <w:rsid w:val="0D3B3DBD"/>
    <w:rsid w:val="0D8D0483"/>
    <w:rsid w:val="0DA67AEE"/>
    <w:rsid w:val="0DF16AE2"/>
    <w:rsid w:val="0E081091"/>
    <w:rsid w:val="0E0D58AB"/>
    <w:rsid w:val="0E164EB8"/>
    <w:rsid w:val="0E214EC1"/>
    <w:rsid w:val="0E232490"/>
    <w:rsid w:val="0EA64E27"/>
    <w:rsid w:val="0F287965"/>
    <w:rsid w:val="0FA15E43"/>
    <w:rsid w:val="0FAF1FDD"/>
    <w:rsid w:val="10486B97"/>
    <w:rsid w:val="10BE6AC6"/>
    <w:rsid w:val="11401FA2"/>
    <w:rsid w:val="123A3193"/>
    <w:rsid w:val="123B7006"/>
    <w:rsid w:val="12A3059B"/>
    <w:rsid w:val="1319085D"/>
    <w:rsid w:val="134A6C68"/>
    <w:rsid w:val="13961EAE"/>
    <w:rsid w:val="13BB6B3D"/>
    <w:rsid w:val="13D671AC"/>
    <w:rsid w:val="13EA620F"/>
    <w:rsid w:val="14667AD2"/>
    <w:rsid w:val="146C7BAA"/>
    <w:rsid w:val="14773A8D"/>
    <w:rsid w:val="158226E9"/>
    <w:rsid w:val="158C265C"/>
    <w:rsid w:val="15CF16A7"/>
    <w:rsid w:val="15DE18EA"/>
    <w:rsid w:val="16207253"/>
    <w:rsid w:val="16D21CF5"/>
    <w:rsid w:val="17343EB7"/>
    <w:rsid w:val="17575E4E"/>
    <w:rsid w:val="178C5548"/>
    <w:rsid w:val="179C219A"/>
    <w:rsid w:val="17C76A44"/>
    <w:rsid w:val="17CE6C2D"/>
    <w:rsid w:val="18381785"/>
    <w:rsid w:val="18604669"/>
    <w:rsid w:val="18B623EC"/>
    <w:rsid w:val="18C13529"/>
    <w:rsid w:val="18EB2DBB"/>
    <w:rsid w:val="1A607B44"/>
    <w:rsid w:val="1B6533F5"/>
    <w:rsid w:val="1BAE482A"/>
    <w:rsid w:val="1BEC64A4"/>
    <w:rsid w:val="1CA94A00"/>
    <w:rsid w:val="1CE35695"/>
    <w:rsid w:val="1D0C4F8F"/>
    <w:rsid w:val="1D156486"/>
    <w:rsid w:val="1ED91338"/>
    <w:rsid w:val="1F80501E"/>
    <w:rsid w:val="21010F70"/>
    <w:rsid w:val="219E6AFD"/>
    <w:rsid w:val="21BA4DBD"/>
    <w:rsid w:val="21F4671D"/>
    <w:rsid w:val="23033B66"/>
    <w:rsid w:val="23040BE2"/>
    <w:rsid w:val="232B535A"/>
    <w:rsid w:val="234B7675"/>
    <w:rsid w:val="23F30C56"/>
    <w:rsid w:val="2503582D"/>
    <w:rsid w:val="25250DAB"/>
    <w:rsid w:val="257F09F3"/>
    <w:rsid w:val="258A1146"/>
    <w:rsid w:val="26A86E67"/>
    <w:rsid w:val="26BC17D3"/>
    <w:rsid w:val="26CD2103"/>
    <w:rsid w:val="27013CC2"/>
    <w:rsid w:val="274F2647"/>
    <w:rsid w:val="276966F1"/>
    <w:rsid w:val="27DE2181"/>
    <w:rsid w:val="281A3ED6"/>
    <w:rsid w:val="285F68BA"/>
    <w:rsid w:val="28AF5DED"/>
    <w:rsid w:val="295E47E8"/>
    <w:rsid w:val="29A46C7B"/>
    <w:rsid w:val="29D20BEC"/>
    <w:rsid w:val="29EC0ECA"/>
    <w:rsid w:val="2A5319FD"/>
    <w:rsid w:val="2A606C8D"/>
    <w:rsid w:val="2BF13CCD"/>
    <w:rsid w:val="2C356293"/>
    <w:rsid w:val="2CE41971"/>
    <w:rsid w:val="2D095047"/>
    <w:rsid w:val="2D8A6187"/>
    <w:rsid w:val="2DB72CF5"/>
    <w:rsid w:val="2E2959A0"/>
    <w:rsid w:val="2E3420E7"/>
    <w:rsid w:val="2ED82CC1"/>
    <w:rsid w:val="2F436F36"/>
    <w:rsid w:val="2F61116A"/>
    <w:rsid w:val="2FB97DF5"/>
    <w:rsid w:val="2FD57150"/>
    <w:rsid w:val="2FE33058"/>
    <w:rsid w:val="2FE94B30"/>
    <w:rsid w:val="302326E9"/>
    <w:rsid w:val="30A34716"/>
    <w:rsid w:val="30F11E65"/>
    <w:rsid w:val="31785014"/>
    <w:rsid w:val="3199700F"/>
    <w:rsid w:val="32033C62"/>
    <w:rsid w:val="32146CCF"/>
    <w:rsid w:val="326628C7"/>
    <w:rsid w:val="32E95947"/>
    <w:rsid w:val="331D46CC"/>
    <w:rsid w:val="336B25B7"/>
    <w:rsid w:val="33A84AD0"/>
    <w:rsid w:val="33E660E2"/>
    <w:rsid w:val="34060532"/>
    <w:rsid w:val="34604683"/>
    <w:rsid w:val="34A639F3"/>
    <w:rsid w:val="34E46AC5"/>
    <w:rsid w:val="34F42AC0"/>
    <w:rsid w:val="35977DB1"/>
    <w:rsid w:val="35AB313F"/>
    <w:rsid w:val="362D7FF8"/>
    <w:rsid w:val="37296912"/>
    <w:rsid w:val="375D66BB"/>
    <w:rsid w:val="38066D52"/>
    <w:rsid w:val="389E6F8B"/>
    <w:rsid w:val="39A40E25"/>
    <w:rsid w:val="39AB70C9"/>
    <w:rsid w:val="39BA5499"/>
    <w:rsid w:val="39F578C4"/>
    <w:rsid w:val="3A0F488C"/>
    <w:rsid w:val="3A90095A"/>
    <w:rsid w:val="3A9B19D4"/>
    <w:rsid w:val="3AFE01B5"/>
    <w:rsid w:val="3B260345"/>
    <w:rsid w:val="3CA60B04"/>
    <w:rsid w:val="3CC01B5E"/>
    <w:rsid w:val="3D4F3E37"/>
    <w:rsid w:val="3DB74075"/>
    <w:rsid w:val="3DCD42DF"/>
    <w:rsid w:val="3E3F7FF3"/>
    <w:rsid w:val="3E5A1BA6"/>
    <w:rsid w:val="3E661C02"/>
    <w:rsid w:val="3E832EAB"/>
    <w:rsid w:val="3EBD7E9E"/>
    <w:rsid w:val="3ED43706"/>
    <w:rsid w:val="3EF142B8"/>
    <w:rsid w:val="3F023B2A"/>
    <w:rsid w:val="3F1A2055"/>
    <w:rsid w:val="3FE94F8F"/>
    <w:rsid w:val="401960CE"/>
    <w:rsid w:val="402266F3"/>
    <w:rsid w:val="40440A7D"/>
    <w:rsid w:val="40730CFD"/>
    <w:rsid w:val="40827938"/>
    <w:rsid w:val="40B12940"/>
    <w:rsid w:val="40B820CA"/>
    <w:rsid w:val="40F57964"/>
    <w:rsid w:val="41962E1D"/>
    <w:rsid w:val="41B36FD9"/>
    <w:rsid w:val="42530DE6"/>
    <w:rsid w:val="42B5384F"/>
    <w:rsid w:val="42D340AE"/>
    <w:rsid w:val="42DA5063"/>
    <w:rsid w:val="42F7157A"/>
    <w:rsid w:val="42FE6FA4"/>
    <w:rsid w:val="430B16C1"/>
    <w:rsid w:val="43240474"/>
    <w:rsid w:val="43754D8C"/>
    <w:rsid w:val="43944869"/>
    <w:rsid w:val="43B6787E"/>
    <w:rsid w:val="43D756BF"/>
    <w:rsid w:val="44652B2E"/>
    <w:rsid w:val="4478471D"/>
    <w:rsid w:val="4496320C"/>
    <w:rsid w:val="449C6A74"/>
    <w:rsid w:val="44B34465"/>
    <w:rsid w:val="450373A3"/>
    <w:rsid w:val="456C67DF"/>
    <w:rsid w:val="45A155E6"/>
    <w:rsid w:val="45DD6443"/>
    <w:rsid w:val="460008B6"/>
    <w:rsid w:val="46537607"/>
    <w:rsid w:val="465515FF"/>
    <w:rsid w:val="474927B8"/>
    <w:rsid w:val="476D46F8"/>
    <w:rsid w:val="479003E6"/>
    <w:rsid w:val="47E04ECA"/>
    <w:rsid w:val="47EB7667"/>
    <w:rsid w:val="48081D82"/>
    <w:rsid w:val="4816291B"/>
    <w:rsid w:val="483E7359"/>
    <w:rsid w:val="48711693"/>
    <w:rsid w:val="48896869"/>
    <w:rsid w:val="48C4422D"/>
    <w:rsid w:val="48D657E3"/>
    <w:rsid w:val="490746D8"/>
    <w:rsid w:val="492029CB"/>
    <w:rsid w:val="4984721C"/>
    <w:rsid w:val="499248EA"/>
    <w:rsid w:val="49EA60A3"/>
    <w:rsid w:val="4B015CCE"/>
    <w:rsid w:val="4BB02E05"/>
    <w:rsid w:val="4BE672D8"/>
    <w:rsid w:val="4BEE392E"/>
    <w:rsid w:val="4C714C8A"/>
    <w:rsid w:val="4C9B3AA7"/>
    <w:rsid w:val="4D115B26"/>
    <w:rsid w:val="4D333CEE"/>
    <w:rsid w:val="4DF13B7E"/>
    <w:rsid w:val="4E93713A"/>
    <w:rsid w:val="4ED30E28"/>
    <w:rsid w:val="4F53436C"/>
    <w:rsid w:val="5080549C"/>
    <w:rsid w:val="509B2FAA"/>
    <w:rsid w:val="50D17AA6"/>
    <w:rsid w:val="51281690"/>
    <w:rsid w:val="518014CC"/>
    <w:rsid w:val="51D35A9F"/>
    <w:rsid w:val="524E1D5E"/>
    <w:rsid w:val="525440B7"/>
    <w:rsid w:val="528C1FBC"/>
    <w:rsid w:val="528C4B1C"/>
    <w:rsid w:val="528F038A"/>
    <w:rsid w:val="52C91F62"/>
    <w:rsid w:val="53204D14"/>
    <w:rsid w:val="53E63D46"/>
    <w:rsid w:val="53F00B8B"/>
    <w:rsid w:val="541B478E"/>
    <w:rsid w:val="545C1D7C"/>
    <w:rsid w:val="55684751"/>
    <w:rsid w:val="557475AB"/>
    <w:rsid w:val="55930949"/>
    <w:rsid w:val="55A311A0"/>
    <w:rsid w:val="55C962C6"/>
    <w:rsid w:val="55EA689C"/>
    <w:rsid w:val="57460AC2"/>
    <w:rsid w:val="57831D16"/>
    <w:rsid w:val="57FB25EA"/>
    <w:rsid w:val="58716EA9"/>
    <w:rsid w:val="58B32187"/>
    <w:rsid w:val="58B4053E"/>
    <w:rsid w:val="59091A10"/>
    <w:rsid w:val="59701658"/>
    <w:rsid w:val="597A4A53"/>
    <w:rsid w:val="597C0174"/>
    <w:rsid w:val="599C1C89"/>
    <w:rsid w:val="5A70032F"/>
    <w:rsid w:val="5A8867AF"/>
    <w:rsid w:val="5A8F3351"/>
    <w:rsid w:val="5ACB7C80"/>
    <w:rsid w:val="5B3C6463"/>
    <w:rsid w:val="5BA56442"/>
    <w:rsid w:val="5BE663CF"/>
    <w:rsid w:val="5C8005D2"/>
    <w:rsid w:val="5CB424C4"/>
    <w:rsid w:val="5D3513BC"/>
    <w:rsid w:val="5E5F4D8B"/>
    <w:rsid w:val="5FDE6237"/>
    <w:rsid w:val="5FF732A1"/>
    <w:rsid w:val="604B7951"/>
    <w:rsid w:val="605F47B9"/>
    <w:rsid w:val="60AE52C8"/>
    <w:rsid w:val="619A115C"/>
    <w:rsid w:val="62436CEE"/>
    <w:rsid w:val="62C3746A"/>
    <w:rsid w:val="62E03E73"/>
    <w:rsid w:val="645C2D7B"/>
    <w:rsid w:val="64660AC3"/>
    <w:rsid w:val="6477050C"/>
    <w:rsid w:val="64771F77"/>
    <w:rsid w:val="649151E4"/>
    <w:rsid w:val="64E61678"/>
    <w:rsid w:val="65072C96"/>
    <w:rsid w:val="651672CE"/>
    <w:rsid w:val="65476A4C"/>
    <w:rsid w:val="65E550C0"/>
    <w:rsid w:val="65EA5C9E"/>
    <w:rsid w:val="660D6878"/>
    <w:rsid w:val="668A1EB7"/>
    <w:rsid w:val="679D250C"/>
    <w:rsid w:val="68543872"/>
    <w:rsid w:val="688C4794"/>
    <w:rsid w:val="68983563"/>
    <w:rsid w:val="6905258B"/>
    <w:rsid w:val="691D39E3"/>
    <w:rsid w:val="693243EA"/>
    <w:rsid w:val="6999141B"/>
    <w:rsid w:val="69A022B3"/>
    <w:rsid w:val="6A1F3163"/>
    <w:rsid w:val="6A507835"/>
    <w:rsid w:val="6AF747FE"/>
    <w:rsid w:val="6AFA59F3"/>
    <w:rsid w:val="6B4B0570"/>
    <w:rsid w:val="6BBC6CDC"/>
    <w:rsid w:val="6C2A2765"/>
    <w:rsid w:val="6D4F69FE"/>
    <w:rsid w:val="6DD8574A"/>
    <w:rsid w:val="6DF8446C"/>
    <w:rsid w:val="6E647D53"/>
    <w:rsid w:val="6ED07197"/>
    <w:rsid w:val="6ED22F0F"/>
    <w:rsid w:val="6FC34EEE"/>
    <w:rsid w:val="6FF9404A"/>
    <w:rsid w:val="704A4D27"/>
    <w:rsid w:val="706758D9"/>
    <w:rsid w:val="708B5A6B"/>
    <w:rsid w:val="7091550C"/>
    <w:rsid w:val="70DC5EF3"/>
    <w:rsid w:val="710E5989"/>
    <w:rsid w:val="71481634"/>
    <w:rsid w:val="714E71ED"/>
    <w:rsid w:val="715B7B25"/>
    <w:rsid w:val="717464FF"/>
    <w:rsid w:val="71F413EE"/>
    <w:rsid w:val="72031631"/>
    <w:rsid w:val="72693B8A"/>
    <w:rsid w:val="72DF66EF"/>
    <w:rsid w:val="73216213"/>
    <w:rsid w:val="732B0E40"/>
    <w:rsid w:val="73335F46"/>
    <w:rsid w:val="73FA3514"/>
    <w:rsid w:val="743D44A4"/>
    <w:rsid w:val="74B9247B"/>
    <w:rsid w:val="74FD6094"/>
    <w:rsid w:val="75154854"/>
    <w:rsid w:val="75371D1E"/>
    <w:rsid w:val="75E33C54"/>
    <w:rsid w:val="76164029"/>
    <w:rsid w:val="766A6F07"/>
    <w:rsid w:val="76CA1C7B"/>
    <w:rsid w:val="76DA52BB"/>
    <w:rsid w:val="778D649E"/>
    <w:rsid w:val="77A94A29"/>
    <w:rsid w:val="77BF5846"/>
    <w:rsid w:val="7840713B"/>
    <w:rsid w:val="78FC727A"/>
    <w:rsid w:val="7A030765"/>
    <w:rsid w:val="7A1E6E1F"/>
    <w:rsid w:val="7A322A8B"/>
    <w:rsid w:val="7A3F3423"/>
    <w:rsid w:val="7AE30252"/>
    <w:rsid w:val="7B35445B"/>
    <w:rsid w:val="7B6770D5"/>
    <w:rsid w:val="7B806E47"/>
    <w:rsid w:val="7BC277BE"/>
    <w:rsid w:val="7BED3344"/>
    <w:rsid w:val="7BF34B3B"/>
    <w:rsid w:val="7D364757"/>
    <w:rsid w:val="7D553689"/>
    <w:rsid w:val="7D5F5DF8"/>
    <w:rsid w:val="7DA17844"/>
    <w:rsid w:val="7EF23AA2"/>
    <w:rsid w:val="7F362D52"/>
    <w:rsid w:val="7F4D61DF"/>
    <w:rsid w:val="7F5D6825"/>
    <w:rsid w:val="7FF2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unhideWhenUsed/>
    <w:qFormat/>
    <w:uiPriority w:val="99"/>
    <w:pPr>
      <w:ind w:firstLine="420" w:firstLineChars="200"/>
    </w:pPr>
  </w:style>
  <w:style w:type="character" w:customStyle="1" w:styleId="10">
    <w:name w:val="标题 2 Char"/>
    <w:link w:val="3"/>
    <w:uiPriority w:val="0"/>
    <w:rPr>
      <w:rFonts w:ascii="Arial" w:hAnsi="Arial" w:eastAsia="黑体"/>
      <w:b/>
      <w:sz w:val="32"/>
    </w:rPr>
  </w:style>
  <w:style w:type="paragraph" w:customStyle="1" w:styleId="11">
    <w:name w:val="WPSOffice手动目录 1"/>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6809</Words>
  <Characters>8245</Characters>
  <Lines>0</Lines>
  <Paragraphs>0</Paragraphs>
  <TotalTime>7</TotalTime>
  <ScaleCrop>false</ScaleCrop>
  <LinksUpToDate>false</LinksUpToDate>
  <CharactersWithSpaces>8724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2022-07-27T04:24:00Z</dcterms:created>
  <dc:creator>大眼睛</dc:creator>
  <cp:lastModifiedBy>FallingUpstream</cp:lastModifiedBy>
  <dcterms:modified xsi:type="dcterms:W3CDTF">2023-09-29T09:08:48Z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1992E9B07EF944FEBE2A8E5D0FE1EB5C</vt:lpwstr>
  </property>
</Properties>
</file>