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84"/>
        <w:gridCol w:w="362"/>
        <w:gridCol w:w="628"/>
        <w:gridCol w:w="1148"/>
        <w:gridCol w:w="778"/>
        <w:gridCol w:w="504"/>
        <w:gridCol w:w="2025"/>
        <w:gridCol w:w="615"/>
        <w:gridCol w:w="516"/>
        <w:gridCol w:w="684"/>
        <w:gridCol w:w="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大同市劳动人事争议仲裁院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大同市人力资源和社会保障局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大同市劳动人事争议仲裁院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1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促进部门自身发展，加强仲裁机构实体化建设，提高办案质量和效率，提升群众满意度，维持稳定和谐的劳动关系。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较好完成预期目标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购置办公设备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=8套（个）台桌（6套）椅子（3套）、货架（3个）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设备检验合格率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     （设备合格情况）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设备送达安装及时性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  （是否按约定时间送达及安装）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设备购置费用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5170元 （设备购置总金额）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是否提高工作效率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 （设备提高效率）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群众对办公环境的满意度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 （群众对工作效率的满意度）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9.7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100.7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96.7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项目要用于改善单位软硬件设施，加大对单位办公场所、办公设施等的投入力度，本年度预算执行率达到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，较好的实现年初目标。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项目费的使用，能够有效保证日常工作的开展，及时完成支付活动，从而使工作有序高效开展。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通过对办公设施的投入，有效提高办公效率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项目主要用于对办公设施的改善，提升服务效率和加强服务态度，从而提升群众的满意度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积极做好预算安排，根据实际情况制定预算，按照预算合理安排年度支出，保证日常工作的开展，同时不断完善办公环境，为群众提供便利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主要问题：不能将预算明细到具体事项，导致预算和实际支出存在一定差异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原因分析：没有完全细致周到的考虑第二年的支出情况，导致预算和实际支出有差异。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继续加大对仲裁机构实体化建设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，提升办公效率，让群众少跑路，提升群众的满意度。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DM4N2I4YTFhNWRiNGQyNGFjOTI5N2JhNTdiMTcifQ=="/>
  </w:docVars>
  <w:rsids>
    <w:rsidRoot w:val="48230A70"/>
    <w:rsid w:val="37824085"/>
    <w:rsid w:val="4823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1038</Characters>
  <Lines>0</Lines>
  <Paragraphs>0</Paragraphs>
  <TotalTime>1</TotalTime>
  <ScaleCrop>false</ScaleCrop>
  <LinksUpToDate>false</LinksUpToDate>
  <CharactersWithSpaces>1076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2022-07-28T08:29:00Z</dcterms:created>
  <dc:creator>○颖○★</dc:creator>
  <cp:lastModifiedBy>○颖○★</cp:lastModifiedBy>
  <dcterms:modified xsi:type="dcterms:W3CDTF">2022-07-28T08:37:53Z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DE908C5F15E34A76B1A321FF7900EAF1</vt:lpwstr>
  </property>
</Properties>
</file>