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125" w:line="195" w:lineRule="auto"/>
        <w:ind w:firstLine="1700" w:firstLineChars="500"/>
        <w:jc w:val="both"/>
        <w:outlineLvl w:val="0"/>
        <w:rPr>
          <w:rFonts w:hint="default" w:eastAsia="华文中宋"/>
          <w:lang w:val="en-US" w:eastAsia="zh-CN"/>
        </w:rPr>
      </w:pPr>
      <w:r>
        <w:rPr>
          <w:rFonts w:hint="eastAsia"/>
          <w:lang w:val="en-US" w:eastAsia="zh-CN"/>
        </w:rPr>
        <w:t>大 同 市 公 安 局 收 容 教 育 所</w:t>
      </w:r>
    </w:p>
    <w:p>
      <w:pPr>
        <w:spacing w:line="307" w:lineRule="auto"/>
        <w:jc w:val="both"/>
        <w:rPr>
          <w:rFonts w:ascii="Arial"/>
          <w:sz w:val="21"/>
        </w:rPr>
      </w:pPr>
    </w:p>
    <w:p>
      <w:pPr>
        <w:spacing w:line="307" w:lineRule="auto"/>
        <w:rPr>
          <w:rFonts w:ascii="Arial"/>
          <w:sz w:val="21"/>
        </w:rPr>
      </w:pPr>
    </w:p>
    <w:p>
      <w:pPr>
        <w:pStyle w:val="2"/>
        <w:spacing w:before="126" w:line="195" w:lineRule="auto"/>
        <w:ind w:left="1491"/>
        <w:sectPr>
          <w:pgSz w:w="11900" w:h="16840"/>
          <w:pgMar w:top="1431" w:right="1785" w:bottom="0" w:left="1785" w:header="0" w:footer="0" w:gutter="0"/>
          <w:cols w:space="720" w:num="1"/>
        </w:sectPr>
      </w:pPr>
      <w:r>
        <w:rPr>
          <w:spacing w:val="-12"/>
        </w:rPr>
        <w:t>2</w:t>
      </w:r>
      <w:r>
        <w:rPr>
          <w:spacing w:val="58"/>
        </w:rPr>
        <w:t xml:space="preserve"> </w:t>
      </w:r>
      <w:r>
        <w:rPr>
          <w:spacing w:val="-12"/>
        </w:rPr>
        <w:t>0</w:t>
      </w:r>
      <w:r>
        <w:rPr>
          <w:spacing w:val="54"/>
        </w:rPr>
        <w:t xml:space="preserve"> </w:t>
      </w:r>
      <w:r>
        <w:rPr>
          <w:spacing w:val="-12"/>
        </w:rPr>
        <w:t>2</w:t>
      </w:r>
      <w:r>
        <w:rPr>
          <w:spacing w:val="55"/>
        </w:rPr>
        <w:t xml:space="preserve"> </w:t>
      </w:r>
      <w:r>
        <w:rPr>
          <w:rFonts w:hint="eastAsia"/>
          <w:spacing w:val="-12"/>
          <w:lang w:val="en-US" w:eastAsia="zh-CN"/>
        </w:rPr>
        <w:t>1</w:t>
      </w:r>
      <w:r>
        <w:rPr>
          <w:spacing w:val="-12"/>
        </w:rPr>
        <w:t>年</w:t>
      </w:r>
      <w:r>
        <w:rPr>
          <w:spacing w:val="53"/>
        </w:rPr>
        <w:t xml:space="preserve"> </w:t>
      </w:r>
      <w:r>
        <w:rPr>
          <w:spacing w:val="-12"/>
        </w:rPr>
        <w:t>度</w:t>
      </w:r>
      <w:r>
        <w:rPr>
          <w:spacing w:val="52"/>
        </w:rPr>
        <w:t xml:space="preserve"> </w:t>
      </w:r>
      <w:r>
        <w:rPr>
          <w:spacing w:val="-12"/>
        </w:rPr>
        <w:t>部</w:t>
      </w:r>
      <w:r>
        <w:rPr>
          <w:spacing w:val="78"/>
        </w:rPr>
        <w:t xml:space="preserve"> </w:t>
      </w:r>
      <w:r>
        <w:rPr>
          <w:spacing w:val="-12"/>
        </w:rPr>
        <w:t>门</w:t>
      </w:r>
      <w:r>
        <w:rPr>
          <w:spacing w:val="50"/>
        </w:rPr>
        <w:t xml:space="preserve"> </w:t>
      </w:r>
      <w:r>
        <w:rPr>
          <w:spacing w:val="-12"/>
        </w:rPr>
        <w:t>决</w:t>
      </w:r>
      <w:r>
        <w:rPr>
          <w:spacing w:val="55"/>
        </w:rPr>
        <w:t xml:space="preserve"> </w:t>
      </w:r>
      <w:r>
        <w:rPr>
          <w:spacing w:val="-12"/>
        </w:rPr>
        <w:t>算</w:t>
      </w:r>
      <w:r>
        <w:rPr>
          <w:spacing w:val="46"/>
        </w:rPr>
        <w:t xml:space="preserve"> </w:t>
      </w:r>
      <w:r>
        <w:rPr>
          <w:spacing w:val="-12"/>
        </w:rPr>
        <w:t>公</w:t>
      </w:r>
      <w:r>
        <w:rPr>
          <w:spacing w:val="52"/>
        </w:rPr>
        <w:t xml:space="preserve"> </w:t>
      </w:r>
      <w:r>
        <w:rPr>
          <w:spacing w:val="-12"/>
        </w:rPr>
        <w:t>开</w:t>
      </w:r>
    </w:p>
    <w:p>
      <w:pPr>
        <w:spacing w:before="90" w:line="223" w:lineRule="auto"/>
        <w:ind w:left="4048"/>
        <w:outlineLvl w:val="0"/>
        <w:rPr>
          <w:rFonts w:ascii="仿宋" w:hAnsi="仿宋" w:eastAsia="仿宋" w:cs="仿宋"/>
          <w:spacing w:val="-54"/>
          <w:sz w:val="44"/>
          <w:szCs w:val="44"/>
          <w14:textOutline w14:w="9313" w14:cap="flat" w14:cmpd="sng">
            <w14:solidFill>
              <w14:srgbClr w14:val="000000"/>
            </w14:solidFill>
            <w14:prstDash w14:val="solid"/>
            <w14:miter w14:val="0"/>
          </w14:textOutline>
        </w:rPr>
      </w:pPr>
      <w:bookmarkStart w:id="0" w:name="bookmark1"/>
      <w:bookmarkEnd w:id="0"/>
      <w:r>
        <w:rPr>
          <w:rFonts w:ascii="仿宋" w:hAnsi="仿宋" w:eastAsia="仿宋" w:cs="仿宋"/>
          <w:spacing w:val="-54"/>
          <w:sz w:val="44"/>
          <w:szCs w:val="44"/>
          <w14:textOutline w14:w="9313" w14:cap="flat" w14:cmpd="sng">
            <w14:solidFill>
              <w14:srgbClr w14:val="000000"/>
            </w14:solidFill>
            <w14:prstDash w14:val="solid"/>
            <w14:miter w14:val="0"/>
          </w14:textOutline>
        </w:rPr>
        <w:t>目</w:t>
      </w:r>
      <w:r>
        <w:rPr>
          <w:rFonts w:ascii="仿宋" w:hAnsi="仿宋" w:eastAsia="仿宋" w:cs="仿宋"/>
          <w:spacing w:val="22"/>
          <w:sz w:val="44"/>
          <w:szCs w:val="44"/>
        </w:rPr>
        <w:t xml:space="preserve">  </w:t>
      </w:r>
      <w:r>
        <w:rPr>
          <w:rFonts w:ascii="仿宋" w:hAnsi="仿宋" w:eastAsia="仿宋" w:cs="仿宋"/>
          <w:spacing w:val="-54"/>
          <w:sz w:val="44"/>
          <w:szCs w:val="44"/>
          <w14:textOutline w14:w="9313" w14:cap="flat" w14:cmpd="sng">
            <w14:solidFill>
              <w14:srgbClr w14:val="000000"/>
            </w14:solidFill>
            <w14:prstDash w14:val="solid"/>
            <w14:miter w14:val="0"/>
          </w14:textOutline>
        </w:rPr>
        <w:t>录</w:t>
      </w: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黑体" w:hAnsi="黑体" w:eastAsia="黑体" w:cs="黑体"/>
          <w:sz w:val="44"/>
          <w:szCs w:val="44"/>
        </w:rPr>
      </w:pPr>
    </w:p>
    <w:p>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TOC \o "1-2" \h \u </w:instrText>
      </w:r>
      <w:r>
        <w:rPr>
          <w:rFonts w:hint="eastAsia" w:ascii="宋体" w:hAnsi="宋体" w:eastAsia="宋体" w:cs="宋体"/>
          <w:b/>
          <w:color w:val="000000"/>
          <w:sz w:val="28"/>
          <w:szCs w:val="28"/>
        </w:rPr>
        <w:fldChar w:fldCharType="separate"/>
      </w:r>
      <w:r>
        <w:rPr>
          <w:rFonts w:hint="eastAsia" w:ascii="黑体" w:hAnsi="黑体" w:eastAsia="黑体" w:cs="黑体"/>
          <w:color w:val="000000"/>
          <w:sz w:val="28"/>
          <w:szCs w:val="28"/>
        </w:rPr>
        <w:fldChar w:fldCharType="begin"/>
      </w:r>
      <w:r>
        <w:rPr>
          <w:rFonts w:hint="eastAsia" w:ascii="黑体" w:hAnsi="黑体" w:eastAsia="黑体" w:cs="黑体"/>
          <w:sz w:val="28"/>
          <w:szCs w:val="28"/>
        </w:rPr>
        <w:instrText xml:space="preserve"> HYPERLINK \l _Toc28867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第一部分 概况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_Toc28867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_Toc18843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本单位职责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_Toc18843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_Toc31626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二、机构设置情况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_Toc31626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_Toc26246 </w:instrText>
      </w:r>
      <w:r>
        <w:rPr>
          <w:rFonts w:hint="eastAsia" w:ascii="仿宋" w:hAnsi="仿宋" w:eastAsia="仿宋" w:cs="仿宋"/>
          <w:sz w:val="28"/>
          <w:szCs w:val="28"/>
        </w:rPr>
        <w:fldChar w:fldCharType="separate"/>
      </w:r>
      <w:r>
        <w:rPr>
          <w:rFonts w:hint="eastAsia" w:ascii="黑体" w:hAnsi="黑体" w:eastAsia="黑体" w:cs="黑体"/>
          <w:b w:val="0"/>
          <w:bCs w:val="0"/>
          <w:sz w:val="28"/>
          <w:szCs w:val="28"/>
          <w:lang w:val="en-US" w:eastAsia="zh-CN"/>
        </w:rPr>
        <w:t>第二部分  2021年部门决算报表</w:t>
      </w:r>
      <w:r>
        <w:rPr>
          <w:rFonts w:hint="eastAsia" w:ascii="黑体" w:hAnsi="黑体" w:eastAsia="黑体" w:cs="黑体"/>
          <w:b w:val="0"/>
          <w:bCs w:val="0"/>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_Toc26246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_Toc16553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_Toc16553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_Toc18604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2021年收入决算表</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_Toc30282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_Toc16811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2021年财政拨款收入支出决算总表</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_Toc13133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2021年一般公共预算财政拨款支出决算表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_Toc12745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_Toc4120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0</w:t>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_Toc11282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1</w:t>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_Toc9955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2</w:t>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_Toc12261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2021年部门决算公开相关信息统计表</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3</w:t>
      </w:r>
    </w:p>
    <w:p>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lang w:val="en-US" w:eastAsia="zh-CN"/>
        </w:rPr>
      </w:pPr>
      <w:r>
        <w:rPr>
          <w:rFonts w:hint="eastAsia" w:ascii="黑体" w:hAnsi="黑体" w:eastAsia="黑体" w:cs="黑体"/>
          <w:color w:val="000000"/>
          <w:sz w:val="28"/>
          <w:szCs w:val="28"/>
        </w:rPr>
        <w:fldChar w:fldCharType="begin"/>
      </w:r>
      <w:r>
        <w:rPr>
          <w:rFonts w:hint="eastAsia" w:ascii="黑体" w:hAnsi="黑体" w:eastAsia="黑体" w:cs="黑体"/>
          <w:sz w:val="28"/>
          <w:szCs w:val="28"/>
        </w:rPr>
        <w:instrText xml:space="preserve"> HYPERLINK \l _Toc19563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第三部分  2021年度部门决算情况说明</w:t>
      </w:r>
      <w:r>
        <w:rPr>
          <w:rFonts w:hint="eastAsia" w:ascii="黑体" w:hAnsi="黑体" w:eastAsia="黑体" w:cs="黑体"/>
          <w:sz w:val="28"/>
          <w:szCs w:val="28"/>
        </w:rPr>
        <w:tab/>
      </w:r>
      <w:r>
        <w:rPr>
          <w:rFonts w:hint="eastAsia" w:ascii="黑体" w:hAnsi="黑体" w:eastAsia="黑体" w:cs="黑体"/>
          <w:sz w:val="28"/>
          <w:szCs w:val="28"/>
          <w:lang w:val="en-US" w:eastAsia="zh-CN"/>
        </w:rPr>
        <w:t>1</w:t>
      </w:r>
      <w:r>
        <w:rPr>
          <w:rFonts w:hint="eastAsia" w:ascii="黑体" w:hAnsi="黑体" w:eastAsia="黑体" w:cs="黑体"/>
          <w:color w:val="000000"/>
          <w:sz w:val="28"/>
          <w:szCs w:val="28"/>
        </w:rPr>
        <w:fldChar w:fldCharType="end"/>
      </w:r>
      <w:r>
        <w:rPr>
          <w:rFonts w:hint="eastAsia" w:ascii="黑体" w:hAnsi="黑体" w:eastAsia="黑体" w:cs="黑体"/>
          <w:color w:val="000000"/>
          <w:sz w:val="28"/>
          <w:szCs w:val="28"/>
          <w:lang w:val="en-US" w:eastAsia="zh-CN"/>
        </w:rPr>
        <w:t>4</w:t>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_Toc4395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一、收入支出决算总体情况说明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3</w:t>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_Toc25682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二、收入决算情况说明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3</w:t>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_Toc16538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三、支出决算情况说明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3</w:t>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_Toc15544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3</w:t>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_Toc7922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_Toc7922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_Toc6197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5</w:t>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_Toc8587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七、一般公共预算财政拨款“三公”经费支出决算情况说明</w:t>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八、其他重要事项情况说明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5</w:t>
      </w:r>
    </w:p>
    <w:p>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default" w:ascii="黑体" w:hAnsi="黑体" w:eastAsia="黑体" w:cs="黑体"/>
          <w:sz w:val="28"/>
          <w:szCs w:val="28"/>
          <w:lang w:val="en-US" w:eastAsia="zh-CN"/>
        </w:rPr>
      </w:pPr>
      <w:r>
        <w:rPr>
          <w:rFonts w:hint="eastAsia" w:ascii="黑体" w:hAnsi="黑体" w:eastAsia="黑体" w:cs="黑体"/>
          <w:color w:val="000000"/>
          <w:sz w:val="28"/>
          <w:szCs w:val="28"/>
        </w:rPr>
        <w:fldChar w:fldCharType="begin"/>
      </w:r>
      <w:r>
        <w:rPr>
          <w:rFonts w:hint="eastAsia" w:ascii="黑体" w:hAnsi="黑体" w:eastAsia="黑体" w:cs="黑体"/>
          <w:sz w:val="28"/>
          <w:szCs w:val="28"/>
        </w:rPr>
        <w:instrText xml:space="preserve"> HYPERLINK \l _Toc26460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第四部分 名词解释</w:t>
      </w:r>
    </w:p>
    <w:p>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黑体" w:hAnsi="黑体" w:eastAsia="黑体" w:cs="黑体"/>
          <w:lang w:val="en-US" w:eastAsia="zh-CN"/>
        </w:rPr>
      </w:pPr>
      <w:r>
        <w:rPr>
          <w:rFonts w:hint="eastAsia" w:ascii="黑体" w:hAnsi="黑体" w:eastAsia="黑体" w:cs="黑体"/>
          <w:sz w:val="28"/>
          <w:szCs w:val="28"/>
          <w:lang w:val="en-US" w:eastAsia="zh-CN"/>
        </w:rPr>
        <w:t>第五部分 附件</w:t>
      </w:r>
      <w:r>
        <w:rPr>
          <w:rFonts w:hint="eastAsia" w:ascii="黑体" w:hAnsi="黑体" w:eastAsia="黑体" w:cs="黑体"/>
          <w:sz w:val="28"/>
          <w:szCs w:val="28"/>
        </w:rPr>
        <w:tab/>
      </w:r>
      <w:r>
        <w:rPr>
          <w:rFonts w:hint="eastAsia" w:ascii="黑体" w:hAnsi="黑体" w:eastAsia="黑体" w:cs="黑体"/>
          <w:sz w:val="28"/>
          <w:szCs w:val="28"/>
          <w:lang w:val="en-US" w:eastAsia="zh-CN"/>
        </w:rPr>
        <w:t>1</w:t>
      </w:r>
      <w:r>
        <w:rPr>
          <w:rFonts w:hint="eastAsia" w:ascii="黑体" w:hAnsi="黑体" w:eastAsia="黑体" w:cs="黑体"/>
          <w:color w:val="000000"/>
          <w:sz w:val="28"/>
          <w:szCs w:val="28"/>
        </w:rPr>
        <w:fldChar w:fldCharType="end"/>
      </w:r>
      <w:r>
        <w:rPr>
          <w:rFonts w:hint="eastAsia" w:ascii="黑体" w:hAnsi="黑体" w:eastAsia="黑体" w:cs="黑体"/>
          <w:color w:val="000000"/>
          <w:sz w:val="28"/>
          <w:szCs w:val="28"/>
          <w:lang w:val="en-US" w:eastAsia="zh-CN"/>
        </w:rPr>
        <w:t>9</w:t>
      </w:r>
    </w:p>
    <w:p>
      <w:pPr>
        <w:spacing w:line="311" w:lineRule="auto"/>
        <w:rPr>
          <w:rFonts w:ascii="Arial"/>
          <w:sz w:val="21"/>
        </w:rPr>
      </w:pPr>
      <w:r>
        <w:rPr>
          <w:rFonts w:hint="eastAsia" w:ascii="宋体" w:hAnsi="宋体" w:eastAsia="宋体" w:cs="宋体"/>
          <w:color w:val="000000"/>
          <w:szCs w:val="28"/>
        </w:rPr>
        <w:fldChar w:fldCharType="end"/>
      </w:r>
      <w:bookmarkStart w:id="3" w:name="_GoBack"/>
      <w:bookmarkEnd w:id="3"/>
    </w:p>
    <w:p>
      <w:pPr>
        <w:spacing w:line="312" w:lineRule="auto"/>
        <w:rPr>
          <w:rFonts w:ascii="Arial"/>
          <w:sz w:val="21"/>
        </w:rPr>
      </w:pPr>
    </w:p>
    <w:p>
      <w:pPr>
        <w:spacing w:line="312" w:lineRule="auto"/>
        <w:rPr>
          <w:rFonts w:ascii="Arial"/>
          <w:sz w:val="21"/>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600" w:firstLineChars="1000"/>
        <w:jc w:val="both"/>
        <w:textAlignment w:val="auto"/>
        <w:rPr>
          <w:rFonts w:hint="eastAsia" w:ascii="黑体" w:hAnsi="黑体" w:eastAsia="黑体" w:cs="黑体"/>
          <w:b w:val="0"/>
          <w:bCs/>
          <w:color w:val="000000"/>
          <w:sz w:val="36"/>
          <w:szCs w:val="36"/>
          <w:lang w:val="en-US" w:eastAsia="zh-CN"/>
        </w:rPr>
      </w:pPr>
      <w:bookmarkStart w:id="1" w:name="bookmark4"/>
      <w:bookmarkEnd w:id="1"/>
      <w:bookmarkStart w:id="2" w:name="bookmark5"/>
      <w:bookmarkEnd w:id="2"/>
      <w:r>
        <w:rPr>
          <w:rFonts w:hint="eastAsia" w:ascii="黑体" w:hAnsi="黑体" w:eastAsia="黑体" w:cs="黑体"/>
          <w:b w:val="0"/>
          <w:bCs/>
          <w:color w:val="000000"/>
          <w:sz w:val="36"/>
          <w:szCs w:val="36"/>
          <w:lang w:val="en-US" w:eastAsia="zh-CN"/>
        </w:rPr>
        <w:t>第一部分  概况</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w:t>
      </w:r>
      <w:r>
        <w:rPr>
          <w:rFonts w:hint="eastAsia" w:ascii="黑体" w:hAnsi="黑体" w:eastAsia="黑体" w:cs="黑体"/>
          <w:b w:val="0"/>
          <w:bCs/>
          <w:snapToGrid w:val="0"/>
          <w:color w:val="000000"/>
          <w:kern w:val="0"/>
          <w:sz w:val="32"/>
          <w:szCs w:val="32"/>
          <w:lang w:val="en-US" w:eastAsia="zh-CN" w:bidi="ar-SA"/>
        </w:rPr>
        <w:t>本部门职责</w:t>
      </w:r>
    </w:p>
    <w:p>
      <w:pPr>
        <w:ind w:firstLine="640" w:firstLineChars="200"/>
        <w:rPr>
          <w:rFonts w:hint="eastAsia" w:ascii="宋体" w:hAnsi="宋体" w:eastAsia="Arial" w:cs="宋体"/>
          <w:b w:val="0"/>
          <w:bCs/>
          <w:snapToGrid w:val="0"/>
          <w:color w:val="000000"/>
          <w:kern w:val="0"/>
          <w:sz w:val="32"/>
          <w:szCs w:val="32"/>
          <w:lang w:val="en-US" w:eastAsia="zh-CN" w:bidi="ar-SA"/>
        </w:rPr>
      </w:pPr>
      <w:r>
        <w:rPr>
          <w:rFonts w:hint="eastAsia" w:ascii="宋体" w:hAnsi="宋体" w:eastAsia="Arial" w:cs="宋体"/>
          <w:b w:val="0"/>
          <w:bCs/>
          <w:snapToGrid w:val="0"/>
          <w:color w:val="000000"/>
          <w:kern w:val="0"/>
          <w:sz w:val="32"/>
          <w:szCs w:val="32"/>
          <w:lang w:val="en-US" w:eastAsia="zh-CN" w:bidi="ar-SA"/>
        </w:rPr>
        <w:t xml:space="preserve">大同市收容教育所主要承担以下工作职责： </w:t>
      </w:r>
    </w:p>
    <w:p>
      <w:pPr>
        <w:numPr>
          <w:ilvl w:val="0"/>
          <w:numId w:val="0"/>
        </w:numPr>
        <w:ind w:left="630" w:leftChars="0"/>
        <w:rPr>
          <w:rFonts w:hint="eastAsia" w:ascii="宋体" w:hAnsi="宋体" w:eastAsia="Arial" w:cs="宋体"/>
          <w:b w:val="0"/>
          <w:bCs/>
          <w:snapToGrid w:val="0"/>
          <w:color w:val="000000"/>
          <w:kern w:val="0"/>
          <w:sz w:val="32"/>
          <w:szCs w:val="32"/>
          <w:lang w:val="en-US" w:eastAsia="zh-CN" w:bidi="ar-SA"/>
        </w:rPr>
      </w:pPr>
      <w:r>
        <w:rPr>
          <w:rFonts w:hint="eastAsia" w:ascii="宋体" w:hAnsi="宋体" w:eastAsia="Arial" w:cs="宋体"/>
          <w:b w:val="0"/>
          <w:bCs/>
          <w:snapToGrid w:val="0"/>
          <w:color w:val="000000"/>
          <w:kern w:val="0"/>
          <w:sz w:val="32"/>
          <w:szCs w:val="32"/>
          <w:lang w:val="en-US" w:eastAsia="zh-CN" w:bidi="ar-SA"/>
        </w:rPr>
        <w:t>1、依法对违反治安管理的行为人，在一定时间内限制其人身自由；</w:t>
      </w:r>
    </w:p>
    <w:p>
      <w:pPr>
        <w:numPr>
          <w:ilvl w:val="0"/>
          <w:numId w:val="0"/>
        </w:numPr>
        <w:ind w:firstLine="640" w:firstLineChars="200"/>
        <w:rPr>
          <w:rFonts w:hint="eastAsia" w:ascii="宋体" w:hAnsi="宋体" w:eastAsia="宋体" w:cs="宋体"/>
          <w:sz w:val="32"/>
          <w:szCs w:val="32"/>
        </w:rPr>
      </w:pPr>
      <w:r>
        <w:rPr>
          <w:rFonts w:hint="eastAsia" w:ascii="宋体" w:hAnsi="宋体" w:eastAsia="Arial" w:cs="宋体"/>
          <w:b w:val="0"/>
          <w:bCs/>
          <w:snapToGrid w:val="0"/>
          <w:color w:val="000000"/>
          <w:kern w:val="0"/>
          <w:sz w:val="32"/>
          <w:szCs w:val="32"/>
          <w:lang w:val="en-US" w:eastAsia="zh-CN" w:bidi="ar-SA"/>
        </w:rPr>
        <w:t>2、依法对进行教育违反治安管理的行为人进行法律、法制教育及安全管理工作。</w:t>
      </w:r>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hanging="640" w:hanging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w:t>
      </w:r>
      <w:r>
        <w:rPr>
          <w:rFonts w:hint="eastAsia" w:ascii="黑体" w:hAnsi="黑体" w:eastAsia="黑体" w:cs="黑体"/>
          <w:b w:val="0"/>
          <w:bCs/>
          <w:snapToGrid w:val="0"/>
          <w:color w:val="000000"/>
          <w:kern w:val="0"/>
          <w:sz w:val="32"/>
          <w:szCs w:val="32"/>
          <w:lang w:val="en-US" w:eastAsia="zh-CN" w:bidi="ar-SA"/>
        </w:rPr>
        <w:t>机构设置情况</w:t>
      </w:r>
    </w:p>
    <w:p>
      <w:pPr>
        <w:spacing w:line="440" w:lineRule="exact"/>
        <w:ind w:firstLine="640" w:firstLineChars="200"/>
        <w:rPr>
          <w:rFonts w:hint="eastAsia" w:ascii="宋体" w:hAnsi="宋体" w:eastAsia="Arial" w:cs="宋体"/>
          <w:b w:val="0"/>
          <w:bCs/>
          <w:snapToGrid w:val="0"/>
          <w:color w:val="000000"/>
          <w:kern w:val="0"/>
          <w:sz w:val="32"/>
          <w:szCs w:val="32"/>
          <w:lang w:val="en-US" w:eastAsia="zh-CN" w:bidi="ar-SA"/>
        </w:rPr>
      </w:pPr>
      <w:r>
        <w:rPr>
          <w:rFonts w:hint="eastAsia" w:ascii="宋体" w:hAnsi="宋体" w:eastAsia="Arial" w:cs="宋体"/>
          <w:b w:val="0"/>
          <w:bCs/>
          <w:snapToGrid w:val="0"/>
          <w:color w:val="000000"/>
          <w:kern w:val="0"/>
          <w:sz w:val="32"/>
          <w:szCs w:val="32"/>
          <w:lang w:val="en-US" w:eastAsia="zh-CN" w:bidi="ar-SA"/>
        </w:rPr>
        <w:t>大同市收容教育所是大同市公安局下属的正科级单位。</w:t>
      </w:r>
    </w:p>
    <w:p>
      <w:pPr>
        <w:spacing w:line="440" w:lineRule="exact"/>
        <w:ind w:firstLine="640" w:firstLineChars="200"/>
        <w:rPr>
          <w:rFonts w:hint="eastAsia" w:ascii="宋体" w:hAnsi="宋体" w:eastAsia="Arial" w:cs="宋体"/>
          <w:b w:val="0"/>
          <w:bCs/>
          <w:snapToGrid w:val="0"/>
          <w:color w:val="000000"/>
          <w:kern w:val="0"/>
          <w:sz w:val="32"/>
          <w:szCs w:val="32"/>
          <w:lang w:val="en-US" w:eastAsia="zh-CN" w:bidi="ar-SA"/>
        </w:rPr>
      </w:pPr>
      <w:r>
        <w:rPr>
          <w:rFonts w:hint="eastAsia" w:ascii="宋体" w:hAnsi="宋体" w:eastAsia="Arial" w:cs="宋体"/>
          <w:b w:val="0"/>
          <w:bCs/>
          <w:snapToGrid w:val="0"/>
          <w:color w:val="000000"/>
          <w:kern w:val="0"/>
          <w:sz w:val="32"/>
          <w:szCs w:val="32"/>
          <w:lang w:val="en-US" w:eastAsia="zh-CN" w:bidi="ar-SA"/>
        </w:rPr>
        <w:t>大同市收容教育所核定专项编制12人，领导职数4名。</w:t>
      </w:r>
    </w:p>
    <w:p>
      <w:pPr>
        <w:spacing w:line="440" w:lineRule="exact"/>
        <w:ind w:firstLine="640" w:firstLineChars="200"/>
        <w:rPr>
          <w:rFonts w:hint="eastAsia" w:ascii="宋体" w:hAnsi="宋体" w:eastAsia="Arial" w:cs="宋体"/>
          <w:b w:val="0"/>
          <w:bCs/>
          <w:snapToGrid w:val="0"/>
          <w:color w:val="000000"/>
          <w:kern w:val="0"/>
          <w:sz w:val="32"/>
          <w:szCs w:val="32"/>
          <w:lang w:val="en-US" w:eastAsia="zh-CN" w:bidi="ar-SA"/>
        </w:rPr>
      </w:pPr>
      <w:r>
        <w:rPr>
          <w:rFonts w:hint="eastAsia" w:ascii="宋体" w:hAnsi="宋体" w:eastAsia="Arial" w:cs="宋体"/>
          <w:b w:val="0"/>
          <w:bCs/>
          <w:snapToGrid w:val="0"/>
          <w:color w:val="000000"/>
          <w:kern w:val="0"/>
          <w:sz w:val="32"/>
          <w:szCs w:val="32"/>
          <w:lang w:val="en-US" w:eastAsia="zh-CN" w:bidi="ar-SA"/>
        </w:rPr>
        <w:t>大同市收容教育所执行《政府会计准则》、《政府会计制度—行政事业单位会计科目和报表》。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b w:val="0"/>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b/>
          <w:bCs w:val="0"/>
          <w:color w:val="000000"/>
          <w:sz w:val="36"/>
          <w:szCs w:val="36"/>
          <w:lang w:val="en-US" w:eastAsia="zh-CN"/>
        </w:rPr>
      </w:pPr>
      <w:r>
        <w:rPr>
          <w:rFonts w:hint="eastAsia" w:ascii="宋体" w:hAnsi="宋体"/>
          <w:b/>
          <w:bCs w:val="0"/>
          <w:color w:val="00000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01" w:firstLineChars="50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01" w:firstLineChars="50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01" w:firstLineChars="50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01" w:firstLineChars="50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01" w:firstLineChars="50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01" w:firstLineChars="50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01" w:firstLineChars="50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01" w:firstLineChars="50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01" w:firstLineChars="50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520" w:firstLineChars="700"/>
        <w:jc w:val="both"/>
        <w:textAlignment w:val="auto"/>
        <w:rPr>
          <w:rFonts w:hint="eastAsia" w:ascii="黑体" w:hAnsi="黑体" w:eastAsia="黑体" w:cs="黑体"/>
          <w:b w:val="0"/>
          <w:bCs/>
          <w:color w:val="000000"/>
          <w:sz w:val="36"/>
          <w:szCs w:val="36"/>
          <w:lang w:val="en-US" w:eastAsia="zh-CN"/>
        </w:rPr>
      </w:pPr>
      <w:r>
        <w:rPr>
          <w:rFonts w:hint="eastAsia" w:ascii="黑体" w:hAnsi="黑体" w:eastAsia="黑体" w:cs="黑体"/>
          <w:b w:val="0"/>
          <w:bCs/>
          <w:color w:val="000000"/>
          <w:sz w:val="36"/>
          <w:szCs w:val="36"/>
          <w:lang w:val="en-US" w:eastAsia="zh-CN"/>
        </w:rPr>
        <w:t>第二部分  2021年度部门决算报表</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3"/>
        <w:gridCol w:w="578"/>
        <w:gridCol w:w="1160"/>
        <w:gridCol w:w="3098"/>
        <w:gridCol w:w="578"/>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653" w:type="pct"/>
            <w:tcBorders>
              <w:top w:val="nil"/>
              <w:left w:val="nil"/>
              <w:bottom w:val="nil"/>
              <w:right w:val="nil"/>
            </w:tcBorders>
            <w:shd w:val="clear" w:color="auto" w:fill="auto"/>
            <w:noWrap/>
            <w:vAlign w:val="bottom"/>
          </w:tcPr>
          <w:p>
            <w:pPr>
              <w:rPr>
                <w:rFonts w:hint="eastAsia" w:ascii="Arial" w:hAnsi="Arial" w:cs="Arial"/>
                <w:i w:val="0"/>
                <w:iCs w:val="0"/>
                <w:color w:val="000000"/>
                <w:sz w:val="15"/>
                <w:szCs w:val="15"/>
                <w:u w:val="none"/>
              </w:rPr>
            </w:pP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582"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1555"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62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65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部门：大同市收容教育所</w:t>
            </w: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582"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1555"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62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5"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2474" w:type="pct"/>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5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62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90"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5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90"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62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260,286.04</w:t>
            </w: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260,286.04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5"/>
                <w:szCs w:val="15"/>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5"/>
                <w:szCs w:val="15"/>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5"/>
                <w:szCs w:val="15"/>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260,286.04</w:t>
            </w: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260,286.04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2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2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290"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260,286.04</w:t>
            </w:r>
          </w:p>
        </w:tc>
        <w:tc>
          <w:tcPr>
            <w:tcW w:w="15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2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260,286.04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注：本表反映部门本年度的总收支和年末结转结余情况。本套报表金额单位转换时可能存在尾数误差。</w:t>
            </w:r>
          </w:p>
        </w:tc>
      </w:tr>
    </w:tbl>
    <w:p>
      <w:pPr>
        <w:rPr>
          <w:sz w:val="18"/>
          <w:szCs w:val="18"/>
        </w:rPr>
        <w:sectPr>
          <w:footerReference r:id="rId5" w:type="default"/>
          <w:pgSz w:w="11906" w:h="16838"/>
          <w:pgMar w:top="1440" w:right="1080" w:bottom="1440" w:left="1080" w:header="851" w:footer="992" w:gutter="0"/>
          <w:pgNumType w:fmt="decimal" w:start="1"/>
          <w:cols w:space="425"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2196"/>
        <w:gridCol w:w="1540"/>
        <w:gridCol w:w="1540"/>
        <w:gridCol w:w="1110"/>
        <w:gridCol w:w="1110"/>
        <w:gridCol w:w="1110"/>
        <w:gridCol w:w="1110"/>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2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2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部门：大同市收容教育所</w:t>
            </w: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8"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5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9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9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9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9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6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4"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753"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5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5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5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5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5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260,286.04</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260,286.04</w:t>
            </w: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7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7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7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5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5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5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5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5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sz w:val="18"/>
          <w:szCs w:val="18"/>
        </w:rPr>
      </w:pPr>
    </w:p>
    <w:p>
      <w:pPr>
        <w:rPr>
          <w:rFonts w:hint="eastAsia" w:eastAsia="宋体"/>
          <w:sz w:val="18"/>
          <w:szCs w:val="18"/>
          <w:lang w:eastAsia="zh-CN"/>
        </w:rPr>
        <w:sectPr>
          <w:pgSz w:w="16838" w:h="11905" w:orient="landscape"/>
          <w:pgMar w:top="1083" w:right="1440" w:bottom="1083" w:left="1440" w:header="851" w:footer="992" w:gutter="0"/>
          <w:pgNumType w:fmt="decimal"/>
          <w:cols w:space="0" w:num="1"/>
          <w:rtlGutter w:val="0"/>
          <w:docGrid w:type="lines" w:linePitch="314"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4"/>
        <w:gridCol w:w="232"/>
        <w:gridCol w:w="238"/>
        <w:gridCol w:w="2322"/>
        <w:gridCol w:w="1695"/>
        <w:gridCol w:w="1225"/>
        <w:gridCol w:w="1695"/>
        <w:gridCol w:w="1225"/>
        <w:gridCol w:w="1225"/>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0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0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部门：大同市收容教育所</w:t>
            </w:r>
          </w:p>
        </w:tc>
        <w:tc>
          <w:tcPr>
            <w:tcW w:w="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6"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9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3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9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3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43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61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819"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1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1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6"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9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6"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260,286.04</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260,286.04</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hint="eastAsia" w:eastAsia="宋体"/>
          <w:sz w:val="18"/>
          <w:szCs w:val="18"/>
          <w:lang w:eastAsia="zh-CN"/>
        </w:rPr>
        <w:sectPr>
          <w:pgSz w:w="16838" w:h="11905" w:orient="landscape"/>
          <w:pgMar w:top="1083" w:right="1440" w:bottom="1083" w:left="1440" w:header="851" w:footer="992" w:gutter="0"/>
          <w:pgNumType w:fmt="decimal"/>
          <w:cols w:space="0" w:num="1"/>
          <w:rtlGutter w:val="0"/>
          <w:docGrid w:type="lines" w:linePitch="314" w:charSpace="0"/>
        </w:sectPr>
      </w:pPr>
    </w:p>
    <w:p>
      <w:pPr>
        <w:rPr>
          <w:rFonts w:hint="eastAsia" w:eastAsia="宋体"/>
          <w:sz w:val="18"/>
          <w:szCs w:val="18"/>
          <w:lang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87"/>
        <w:gridCol w:w="500"/>
        <w:gridCol w:w="1466"/>
        <w:gridCol w:w="3488"/>
        <w:gridCol w:w="500"/>
        <w:gridCol w:w="1259"/>
        <w:gridCol w:w="1466"/>
        <w:gridCol w:w="1054"/>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76"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7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部门：大同市收容教育所</w:t>
            </w: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56"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43"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76"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35"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36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4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76"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5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5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5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51"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4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62"/>
        <w:gridCol w:w="309"/>
        <w:gridCol w:w="309"/>
        <w:gridCol w:w="3056"/>
        <w:gridCol w:w="2560"/>
        <w:gridCol w:w="1942"/>
        <w:gridCol w:w="2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86"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18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部门：大同市收容教育所</w:t>
            </w:r>
          </w:p>
        </w:tc>
        <w:tc>
          <w:tcPr>
            <w:tcW w:w="1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8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517"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4"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078"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0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8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2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40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7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0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7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0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8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8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260,286.04</w:t>
            </w: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260,286.04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0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9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0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9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0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9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260,286.04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2"/>
        <w:gridCol w:w="1934"/>
        <w:gridCol w:w="732"/>
        <w:gridCol w:w="445"/>
        <w:gridCol w:w="503"/>
        <w:gridCol w:w="1362"/>
        <w:gridCol w:w="789"/>
        <w:gridCol w:w="445"/>
        <w:gridCol w:w="503"/>
        <w:gridCol w:w="1592"/>
        <w:gridCol w:w="331"/>
        <w:gridCol w:w="675"/>
        <w:gridCol w:w="503"/>
        <w:gridCol w:w="2394"/>
        <w:gridCol w:w="789"/>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8"/>
                <w:szCs w:val="28"/>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414" w:type="pct"/>
            <w:tcBorders>
              <w:top w:val="nil"/>
              <w:left w:val="nil"/>
              <w:bottom w:val="nil"/>
              <w:right w:val="nil"/>
            </w:tcBorders>
            <w:shd w:val="clear" w:color="auto" w:fill="auto"/>
            <w:noWrap/>
            <w:vAlign w:val="bottom"/>
          </w:tcPr>
          <w:p>
            <w:pPr>
              <w:rPr>
                <w:rFonts w:hint="eastAsia" w:ascii="Arial" w:hAnsi="Arial" w:cs="Arial"/>
                <w:i w:val="0"/>
                <w:iCs w:val="0"/>
                <w:color w:val="000000"/>
                <w:sz w:val="13"/>
                <w:szCs w:val="13"/>
                <w:u w:val="none"/>
              </w:rPr>
            </w:pPr>
          </w:p>
        </w:tc>
        <w:tc>
          <w:tcPr>
            <w:tcW w:w="64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46"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5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6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5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5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1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2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79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93"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58"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部门：大同市收容教育所</w:t>
            </w:r>
          </w:p>
        </w:tc>
        <w:tc>
          <w:tcPr>
            <w:tcW w:w="246"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5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6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5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5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1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2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79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93"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6"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人员经费</w:t>
            </w:r>
          </w:p>
        </w:tc>
        <w:tc>
          <w:tcPr>
            <w:tcW w:w="3543" w:type="pct"/>
            <w:gridSpan w:val="12"/>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64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24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15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其中：基本支出</w:t>
            </w:r>
          </w:p>
        </w:tc>
        <w:tc>
          <w:tcPr>
            <w:tcW w:w="17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45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2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15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其中：基本支出</w:t>
            </w:r>
          </w:p>
        </w:tc>
        <w:tc>
          <w:tcPr>
            <w:tcW w:w="17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5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1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22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其中：基本支出</w:t>
            </w:r>
          </w:p>
        </w:tc>
        <w:tc>
          <w:tcPr>
            <w:tcW w:w="17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79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2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22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4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4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5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45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5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5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9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301</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工资福利支出</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302</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商品和服务支出</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185,051.11</w:t>
            </w: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307</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债务利息及费用支出</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31011</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地上附着物和青苗补偿</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30101</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基本工资</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30201</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办公费</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85,551.11</w:t>
            </w: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30701</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国内债务付息</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31012</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拆迁补偿</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30102</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津贴补贴</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30202</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印刷费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30702</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国外债务付息</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31013</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公务用车购置</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30103</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奖金</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30203</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咨询费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30703</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国内债务发行费用</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31019</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其他交通工具购置</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30106</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伙食补助费</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30204</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手续费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30704</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国外债务发行费用</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31021</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文物和陈列品购置</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30107</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绩效工资</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30205</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水费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309</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资本性支出（基本建设）</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31022</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无形资产购置</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30108</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30206</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电费</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53,000.00</w:t>
            </w: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30901</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房屋构筑物构建</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31099</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其他资本性支出</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30109</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职业年金缴费</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30207</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邮电费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30902</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办公设备购置</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311</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对企业补助（基本建设）</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30110</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职工基本医疗保险缴费</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30208</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取暖费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30903</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专用设备购置</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31101</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资本金注入</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30111</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公务员医疗补助缴费</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30209</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物业管理费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30905</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基础设施建设</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31199</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其他对企业补助</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30112</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其他社会保障缴费</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30211</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差旅费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30906</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大型修缮</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312</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对企业补助</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30113</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30212</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因公出国（境）费用</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30907</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信息网络及软件购置更新</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31201</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资本金注入</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30114</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医疗费</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30213</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维修（护）费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30908</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物资储备</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31203</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政府投资基金股权投资</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30199</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其他工资福利支出</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30214</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租赁费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30913</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公务用车购置</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31204</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费用补贴</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303</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对个人和家庭的补助</w:t>
            </w:r>
          </w:p>
        </w:tc>
        <w:tc>
          <w:tcPr>
            <w:tcW w:w="2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75,234.93</w:t>
            </w: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30215</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会议费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30919</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其他交通工具购置</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31205</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利息补贴</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30301</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离休费</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30216</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培训费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30921</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文物和陈列品购置</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31299</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其他对企业补助</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30302</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退休费</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30217</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公务接待费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30922</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无形资产购置</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313</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对社会保障基金补助</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30303</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退职（役）费</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30218</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专用材料费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30999</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其他资本性支出</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31302</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对社会保障基金补助</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30304</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抚恤金</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30224</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被装购置费</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46,500.00</w:t>
            </w: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310</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资本性支出</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31303</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补充全国社会保障基金</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30305</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生活补助</w:t>
            </w:r>
          </w:p>
        </w:tc>
        <w:tc>
          <w:tcPr>
            <w:tcW w:w="2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75,234.93</w:t>
            </w: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30225</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专用燃料费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31001</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房屋构筑物构建</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31304</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对机关事业单位职业年金的补助</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30306</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救济费</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30226</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劳务费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31002</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办公设备购置</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399</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其他支出</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30307</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医疗费补助</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30227</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委托业务费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31003</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专用设备购置</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39906</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赠与</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30308</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助学金</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30228</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工会经费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31005</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基础设施建设</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39907</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国家赔偿费用支出</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30309</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奖励金</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30229</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福利费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31006</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大型修缮</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39908</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对民间非营利组织和群众性自治组织补贴</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30310</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个人农业生产补贴</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30231</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公务用车运行维护费</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31007</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信息网络及软件购置更新</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39999</w:t>
            </w:r>
          </w:p>
        </w:tc>
        <w:tc>
          <w:tcPr>
            <w:tcW w:w="7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其他支出</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30311</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代缴社会保险费</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30239</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其他交通费用</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31008</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物资储备</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9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30399</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其他对个人和家庭的补助</w:t>
            </w: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30240</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税金及附加费用</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31009</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土地补偿</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9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43"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2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30299</w:t>
            </w:r>
          </w:p>
        </w:tc>
        <w:tc>
          <w:tcPr>
            <w:tcW w:w="4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其他商品和服务支出</w:t>
            </w: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31010</w:t>
            </w:r>
          </w:p>
        </w:tc>
        <w:tc>
          <w:tcPr>
            <w:tcW w:w="5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安置补助</w:t>
            </w:r>
          </w:p>
        </w:tc>
        <w:tc>
          <w:tcPr>
            <w:tcW w:w="1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9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2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8"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人员经费合计</w:t>
            </w:r>
          </w:p>
        </w:tc>
        <w:tc>
          <w:tcPr>
            <w:tcW w:w="2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75,234.93</w:t>
            </w:r>
          </w:p>
        </w:tc>
        <w:tc>
          <w:tcPr>
            <w:tcW w:w="1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50" w:type="pct"/>
            <w:gridSpan w:val="10"/>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公用经费合计</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185,051.11</w:t>
            </w: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注：本表反映部门本年度一般公共预算财政拨款支出明细情况（其中包括基本支出明细情况）。</w:t>
            </w:r>
          </w:p>
        </w:tc>
      </w:tr>
    </w:tbl>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0"/>
          <w:szCs w:val="10"/>
          <w:lang w:eastAsia="zh-CN"/>
        </w:rPr>
      </w:pPr>
    </w:p>
    <w:p>
      <w:pPr>
        <w:rPr>
          <w:sz w:val="10"/>
          <w:szCs w:val="10"/>
        </w:rPr>
      </w:pPr>
    </w:p>
    <w:p>
      <w:pPr>
        <w:rPr>
          <w:sz w:val="6"/>
          <w:szCs w:val="6"/>
        </w:rPr>
      </w:pPr>
    </w:p>
    <w:p>
      <w:pPr>
        <w:rPr>
          <w:sz w:val="6"/>
          <w:szCs w:val="6"/>
        </w:rPr>
      </w:pPr>
    </w:p>
    <w:p>
      <w:pPr>
        <w:rPr>
          <w:sz w:val="13"/>
          <w:szCs w:val="13"/>
        </w:rPr>
      </w:pPr>
    </w:p>
    <w:p>
      <w:pPr>
        <w:rPr>
          <w:sz w:val="13"/>
          <w:szCs w:val="13"/>
        </w:rPr>
      </w:pPr>
    </w:p>
    <w:p>
      <w:pPr>
        <w:rPr>
          <w:sz w:val="13"/>
          <w:szCs w:val="13"/>
        </w:rPr>
      </w:pPr>
    </w:p>
    <w:p>
      <w:pPr>
        <w:rPr>
          <w:sz w:val="13"/>
          <w:szCs w:val="13"/>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1107"/>
        <w:gridCol w:w="1014"/>
        <w:gridCol w:w="1014"/>
        <w:gridCol w:w="1017"/>
        <w:gridCol w:w="1019"/>
        <w:gridCol w:w="1015"/>
        <w:gridCol w:w="1108"/>
        <w:gridCol w:w="1015"/>
        <w:gridCol w:w="1015"/>
        <w:gridCol w:w="1018"/>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8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8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部门：大同市收容教育所</w:t>
            </w: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31"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368"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81"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150"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38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8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150"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41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81"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38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41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81"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hint="default" w:eastAsia="宋体"/>
          <w:sz w:val="28"/>
          <w:szCs w:val="28"/>
          <w:lang w:val="en-US" w:eastAsia="zh-CN"/>
        </w:rPr>
      </w:pPr>
      <w:r>
        <w:rPr>
          <w:rFonts w:hint="eastAsia"/>
          <w:sz w:val="28"/>
          <w:szCs w:val="28"/>
          <w:lang w:val="en-US" w:eastAsia="zh-CN"/>
        </w:rPr>
        <w:t>说明：大同市收容教育所没有“三公”经费预算安排的支出，故本表无数据。</w:t>
      </w: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01"/>
        <w:gridCol w:w="283"/>
        <w:gridCol w:w="286"/>
        <w:gridCol w:w="1409"/>
        <w:gridCol w:w="1409"/>
        <w:gridCol w:w="1409"/>
        <w:gridCol w:w="1409"/>
        <w:gridCol w:w="1409"/>
        <w:gridCol w:w="1412"/>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94"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94"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部门：大同市收容教育所</w:t>
            </w: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9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9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9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492"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72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96"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9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9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rPr>
          <w:sz w:val="13"/>
          <w:szCs w:val="13"/>
        </w:rPr>
      </w:pPr>
    </w:p>
    <w:p>
      <w:pPr>
        <w:rPr>
          <w:rFonts w:hint="default" w:eastAsia="宋体"/>
          <w:sz w:val="24"/>
          <w:szCs w:val="24"/>
          <w:lang w:val="en-US" w:eastAsia="zh-CN"/>
        </w:rPr>
      </w:pPr>
      <w:r>
        <w:rPr>
          <w:rFonts w:hint="eastAsia"/>
          <w:sz w:val="24"/>
          <w:szCs w:val="24"/>
          <w:lang w:val="en-US" w:eastAsia="zh-CN"/>
        </w:rPr>
        <w:t>说明：大同市收容教育所没有使用政府性基金预算安排的支出，故本表无数据。</w:t>
      </w: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22"/>
        <w:gridCol w:w="405"/>
        <w:gridCol w:w="405"/>
        <w:gridCol w:w="2007"/>
        <w:gridCol w:w="2010"/>
        <w:gridCol w:w="2010"/>
        <w:gridCol w:w="2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56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56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部门：大同市收容教育所</w:t>
            </w: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54"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445"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707"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2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5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rPr>
          <w:rFonts w:hint="default" w:eastAsia="宋体"/>
          <w:sz w:val="24"/>
          <w:szCs w:val="24"/>
          <w:lang w:val="en-US" w:eastAsia="zh-CN"/>
        </w:rPr>
      </w:pPr>
      <w:r>
        <w:rPr>
          <w:rFonts w:hint="eastAsia"/>
          <w:sz w:val="24"/>
          <w:szCs w:val="24"/>
          <w:lang w:val="en-US" w:eastAsia="zh-CN"/>
        </w:rPr>
        <w:t>说明：大同市收容教育所没有使用国有资本经营预算安排的支出，故本表无数据。</w:t>
      </w: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sectPr>
          <w:pgSz w:w="16838" w:h="11905" w:orient="landscape"/>
          <w:pgMar w:top="1083" w:right="1440" w:bottom="1083" w:left="1440" w:header="851" w:footer="992" w:gutter="0"/>
          <w:pgNumType w:fmt="decimal"/>
          <w:cols w:space="0" w:num="1"/>
          <w:rtlGutter w:val="0"/>
          <w:docGrid w:type="lines" w:linePitch="314"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3"/>
        <w:gridCol w:w="1893"/>
        <w:gridCol w:w="2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5000" w:type="pct"/>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部门决算公开相关信息统计表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162"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16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编制单位：大同市收容教育所</w:t>
            </w:r>
          </w:p>
        </w:tc>
        <w:tc>
          <w:tcPr>
            <w:tcW w:w="867"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2022年7月</w:t>
            </w:r>
          </w:p>
        </w:tc>
        <w:tc>
          <w:tcPr>
            <w:tcW w:w="97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7"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（一）行政单位</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（二）参照公务员法管理事业单位</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三、国有资产占用情况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（一）车辆数合计（辆）</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1.副部（省）级及以上领导用车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2.主要领导干部用车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3.机要通信用车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4.应急保障用车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5.执法执勤用车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6.特种专业技术用车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7.离退休干部用车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（二）单价50万元以上通用设备（台、套）</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（三）单价100万元以上专用设备（台、套）</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注：本表反映部门本年度政府采购及机关运行经费和国有资产占用情况。</w:t>
            </w:r>
          </w:p>
        </w:tc>
      </w:tr>
    </w:tbl>
    <w:p>
      <w:pPr>
        <w:rPr>
          <w:sz w:val="13"/>
          <w:szCs w:val="13"/>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10"/>
          <w:szCs w:val="10"/>
        </w:rPr>
      </w:pPr>
      <w:r>
        <w:rPr>
          <w:sz w:val="8"/>
          <w:szCs w:val="8"/>
        </w:rPr>
        <w:br w:type="page"/>
      </w:r>
    </w:p>
    <w:p>
      <w:pPr>
        <w:tabs>
          <w:tab w:val="left" w:pos="2324"/>
        </w:tabs>
        <w:ind w:firstLine="1800" w:firstLineChars="500"/>
        <w:jc w:val="left"/>
        <w:rPr>
          <w:rFonts w:hint="eastAsia" w:ascii="黑体" w:hAnsi="黑体" w:eastAsia="黑体" w:cs="黑体"/>
          <w:b w:val="0"/>
          <w:bCs w:val="0"/>
          <w:sz w:val="36"/>
          <w:szCs w:val="36"/>
        </w:rPr>
      </w:pPr>
      <w:r>
        <w:rPr>
          <w:rFonts w:hint="eastAsia" w:ascii="黑体" w:hAnsi="黑体" w:eastAsia="黑体" w:cs="黑体"/>
          <w:b w:val="0"/>
          <w:bCs w:val="0"/>
          <w:sz w:val="36"/>
          <w:szCs w:val="36"/>
        </w:rPr>
        <w:t>第三部分   2021年</w:t>
      </w:r>
      <w:r>
        <w:rPr>
          <w:rFonts w:hint="eastAsia" w:ascii="黑体" w:hAnsi="黑体" w:eastAsia="黑体" w:cs="黑体"/>
          <w:b w:val="0"/>
          <w:bCs w:val="0"/>
          <w:sz w:val="36"/>
          <w:szCs w:val="36"/>
          <w:lang w:val="en-US" w:eastAsia="zh-CN"/>
        </w:rPr>
        <w:t>度</w:t>
      </w:r>
      <w:r>
        <w:rPr>
          <w:rFonts w:hint="eastAsia" w:ascii="黑体" w:hAnsi="黑体" w:eastAsia="黑体" w:cs="黑体"/>
          <w:b w:val="0"/>
          <w:bCs w:val="0"/>
          <w:sz w:val="36"/>
          <w:szCs w:val="36"/>
        </w:rPr>
        <w:t>部门决算情况说明</w:t>
      </w:r>
    </w:p>
    <w:p>
      <w:pPr>
        <w:tabs>
          <w:tab w:val="left" w:pos="2324"/>
        </w:tabs>
        <w:ind w:firstLine="723" w:firstLineChars="200"/>
        <w:jc w:val="left"/>
        <w:rPr>
          <w:rFonts w:asciiTheme="minorEastAsia" w:hAnsiTheme="minorEastAsia" w:eastAsiaTheme="minorEastAsia" w:cstheme="minorEastAsia"/>
          <w:b/>
          <w:bCs/>
          <w:sz w:val="36"/>
          <w:szCs w:val="36"/>
        </w:rPr>
      </w:pPr>
    </w:p>
    <w:p>
      <w:pPr>
        <w:pStyle w:val="12"/>
        <w:numPr>
          <w:ilvl w:val="0"/>
          <w:numId w:val="0"/>
        </w:numPr>
        <w:spacing w:line="580" w:lineRule="exact"/>
        <w:ind w:firstLine="640" w:firstLineChars="200"/>
        <w:rPr>
          <w:rFonts w:ascii="黑体" w:eastAsia="黑体"/>
          <w:b w:val="0"/>
          <w:bCs/>
          <w:sz w:val="32"/>
          <w:szCs w:val="32"/>
        </w:rPr>
      </w:pPr>
      <w:r>
        <w:rPr>
          <w:rFonts w:hint="eastAsia" w:ascii="黑体" w:eastAsia="黑体"/>
          <w:b w:val="0"/>
          <w:bCs/>
          <w:sz w:val="32"/>
          <w:szCs w:val="32"/>
          <w:lang w:val="en-US" w:eastAsia="zh-CN"/>
        </w:rPr>
        <w:t>一、</w:t>
      </w:r>
      <w:r>
        <w:rPr>
          <w:rFonts w:hint="eastAsia" w:ascii="黑体" w:eastAsia="黑体"/>
          <w:b w:val="0"/>
          <w:bCs/>
          <w:sz w:val="32"/>
          <w:szCs w:val="32"/>
        </w:rPr>
        <w:t>收</w:t>
      </w:r>
      <w:r>
        <w:rPr>
          <w:rFonts w:hint="eastAsia" w:ascii="黑体" w:eastAsia="黑体"/>
          <w:b w:val="0"/>
          <w:bCs/>
          <w:sz w:val="32"/>
          <w:szCs w:val="32"/>
          <w:lang w:val="en-US" w:eastAsia="zh-CN"/>
        </w:rPr>
        <w:t>入支出</w:t>
      </w:r>
      <w:r>
        <w:rPr>
          <w:rFonts w:hint="eastAsia" w:ascii="黑体" w:eastAsia="黑体"/>
          <w:b w:val="0"/>
          <w:bCs/>
          <w:sz w:val="32"/>
          <w:szCs w:val="32"/>
        </w:rPr>
        <w:t>决算</w:t>
      </w:r>
      <w:r>
        <w:rPr>
          <w:rFonts w:hint="eastAsia" w:ascii="黑体" w:eastAsia="黑体"/>
          <w:b w:val="0"/>
          <w:bCs/>
          <w:sz w:val="32"/>
          <w:szCs w:val="32"/>
          <w:lang w:val="en-US" w:eastAsia="zh-CN"/>
        </w:rPr>
        <w:t>总体情况说明</w:t>
      </w:r>
    </w:p>
    <w:p>
      <w:pPr>
        <w:spacing w:line="580" w:lineRule="exact"/>
        <w:ind w:firstLine="640" w:firstLineChars="200"/>
        <w:rPr>
          <w:rFonts w:hint="default" w:ascii="宋体" w:hAnsi="宋体" w:eastAsia="宋体" w:cs="宋体"/>
          <w:bCs/>
          <w:sz w:val="32"/>
          <w:szCs w:val="32"/>
          <w:lang w:val="en-US" w:eastAsia="zh-CN"/>
        </w:rPr>
      </w:pPr>
      <w:r>
        <w:rPr>
          <w:rFonts w:hint="eastAsia" w:ascii="宋体" w:hAnsi="宋体" w:cs="宋体"/>
          <w:bCs/>
          <w:sz w:val="32"/>
          <w:szCs w:val="32"/>
        </w:rPr>
        <w:t>2021年</w:t>
      </w:r>
      <w:r>
        <w:rPr>
          <w:rFonts w:hint="eastAsia" w:ascii="宋体" w:hAnsi="宋体" w:cs="宋体"/>
          <w:bCs/>
          <w:sz w:val="32"/>
          <w:szCs w:val="32"/>
          <w:lang w:val="en-US" w:eastAsia="zh-CN"/>
        </w:rPr>
        <w:t>度</w:t>
      </w:r>
      <w:r>
        <w:rPr>
          <w:rFonts w:hint="eastAsia" w:ascii="宋体" w:hAnsi="宋体" w:cs="宋体"/>
          <w:bCs/>
          <w:sz w:val="32"/>
          <w:szCs w:val="32"/>
        </w:rPr>
        <w:t>收入</w:t>
      </w:r>
      <w:r>
        <w:rPr>
          <w:rFonts w:hint="eastAsia" w:ascii="宋体" w:hAnsi="宋体" w:cs="宋体"/>
          <w:bCs/>
          <w:sz w:val="32"/>
          <w:szCs w:val="32"/>
          <w:lang w:val="en-US" w:eastAsia="zh-CN"/>
        </w:rPr>
        <w:t>总计26.03</w:t>
      </w:r>
      <w:r>
        <w:rPr>
          <w:rFonts w:hint="eastAsia" w:ascii="宋体" w:hAnsi="宋体" w:cs="宋体"/>
          <w:bCs/>
          <w:sz w:val="32"/>
          <w:szCs w:val="32"/>
        </w:rPr>
        <w:t>万元，支出</w:t>
      </w:r>
      <w:r>
        <w:rPr>
          <w:rFonts w:hint="eastAsia" w:ascii="宋体" w:hAnsi="宋体" w:cs="宋体"/>
          <w:bCs/>
          <w:sz w:val="32"/>
          <w:szCs w:val="32"/>
          <w:lang w:val="en-US" w:eastAsia="zh-CN"/>
        </w:rPr>
        <w:t>总计26.03</w:t>
      </w:r>
      <w:r>
        <w:rPr>
          <w:rFonts w:hint="eastAsia" w:ascii="宋体" w:hAnsi="宋体" w:cs="宋体"/>
          <w:bCs/>
          <w:sz w:val="32"/>
          <w:szCs w:val="32"/>
        </w:rPr>
        <w:t>万元，与上年比</w:t>
      </w:r>
      <w:r>
        <w:rPr>
          <w:rFonts w:hint="eastAsia" w:ascii="宋体" w:hAnsi="宋体" w:cs="宋体"/>
          <w:bCs/>
          <w:sz w:val="32"/>
          <w:szCs w:val="32"/>
          <w:lang w:eastAsia="zh-CN"/>
        </w:rPr>
        <w:t>，</w:t>
      </w:r>
      <w:r>
        <w:rPr>
          <w:rFonts w:hint="eastAsia" w:ascii="宋体" w:hAnsi="宋体" w:cs="宋体"/>
          <w:bCs/>
          <w:sz w:val="32"/>
          <w:szCs w:val="32"/>
        </w:rPr>
        <w:t>收入</w:t>
      </w:r>
      <w:r>
        <w:rPr>
          <w:rFonts w:hint="eastAsia" w:ascii="宋体" w:hAnsi="宋体" w:cs="宋体"/>
          <w:bCs/>
          <w:sz w:val="32"/>
          <w:szCs w:val="32"/>
          <w:lang w:val="en-US" w:eastAsia="zh-CN"/>
        </w:rPr>
        <w:t>总计增加17.13</w:t>
      </w:r>
      <w:r>
        <w:rPr>
          <w:rFonts w:hint="eastAsia" w:ascii="宋体" w:hAnsi="宋体" w:cs="宋体"/>
          <w:bCs/>
          <w:sz w:val="32"/>
          <w:szCs w:val="32"/>
        </w:rPr>
        <w:t>万元，</w:t>
      </w:r>
      <w:r>
        <w:rPr>
          <w:rFonts w:hint="eastAsia" w:ascii="宋体" w:hAnsi="宋体" w:cs="宋体"/>
          <w:bCs/>
          <w:sz w:val="32"/>
          <w:szCs w:val="32"/>
          <w:lang w:val="en-US" w:eastAsia="zh-CN"/>
        </w:rPr>
        <w:t>增长192.47%，</w:t>
      </w:r>
      <w:r>
        <w:rPr>
          <w:rFonts w:hint="eastAsia" w:ascii="宋体" w:hAnsi="宋体" w:cs="宋体"/>
          <w:bCs/>
          <w:sz w:val="32"/>
          <w:szCs w:val="32"/>
        </w:rPr>
        <w:t>支出</w:t>
      </w:r>
      <w:r>
        <w:rPr>
          <w:rFonts w:hint="eastAsia" w:ascii="宋体" w:hAnsi="宋体" w:cs="宋体"/>
          <w:bCs/>
          <w:sz w:val="32"/>
          <w:szCs w:val="32"/>
          <w:lang w:val="en-US" w:eastAsia="zh-CN"/>
        </w:rPr>
        <w:t>总计增加17.13</w:t>
      </w:r>
      <w:r>
        <w:rPr>
          <w:rFonts w:hint="eastAsia" w:ascii="宋体" w:hAnsi="宋体" w:cs="宋体"/>
          <w:bCs/>
          <w:sz w:val="32"/>
          <w:szCs w:val="32"/>
        </w:rPr>
        <w:t>万元</w:t>
      </w:r>
      <w:r>
        <w:rPr>
          <w:rFonts w:hint="eastAsia" w:ascii="宋体" w:hAnsi="宋体" w:cs="宋体"/>
          <w:bCs/>
          <w:sz w:val="32"/>
          <w:szCs w:val="32"/>
          <w:lang w:eastAsia="zh-CN"/>
        </w:rPr>
        <w:t>，</w:t>
      </w:r>
      <w:r>
        <w:rPr>
          <w:rFonts w:hint="eastAsia" w:ascii="宋体" w:hAnsi="宋体" w:cs="宋体"/>
          <w:bCs/>
          <w:sz w:val="32"/>
          <w:szCs w:val="32"/>
        </w:rPr>
        <w:t>，</w:t>
      </w:r>
      <w:r>
        <w:rPr>
          <w:rFonts w:hint="eastAsia" w:ascii="宋体" w:hAnsi="宋体" w:cs="宋体"/>
          <w:bCs/>
          <w:sz w:val="32"/>
          <w:szCs w:val="32"/>
          <w:lang w:val="en-US" w:eastAsia="zh-CN"/>
        </w:rPr>
        <w:t>增长192.47%。主要</w:t>
      </w:r>
      <w:r>
        <w:rPr>
          <w:rFonts w:hint="eastAsia" w:ascii="宋体" w:hAnsi="宋体" w:cs="宋体"/>
          <w:bCs/>
          <w:sz w:val="32"/>
          <w:szCs w:val="32"/>
        </w:rPr>
        <w:t>原因是</w:t>
      </w:r>
      <w:r>
        <w:rPr>
          <w:rFonts w:hint="eastAsia" w:ascii="宋体" w:hAnsi="宋体" w:cs="宋体"/>
          <w:bCs/>
          <w:sz w:val="32"/>
          <w:szCs w:val="32"/>
          <w:lang w:val="en-US" w:eastAsia="zh-CN"/>
        </w:rPr>
        <w:t>增加了专项业务费。</w:t>
      </w:r>
    </w:p>
    <w:p>
      <w:pPr>
        <w:pStyle w:val="12"/>
        <w:spacing w:line="580" w:lineRule="exact"/>
        <w:rPr>
          <w:rFonts w:ascii="黑体" w:eastAsia="黑体"/>
          <w:b w:val="0"/>
          <w:bCs/>
          <w:sz w:val="32"/>
          <w:szCs w:val="32"/>
        </w:rPr>
      </w:pPr>
      <w:r>
        <w:rPr>
          <w:rFonts w:hint="eastAsia" w:ascii="黑体" w:eastAsia="黑体"/>
          <w:b w:val="0"/>
          <w:bCs/>
          <w:sz w:val="32"/>
          <w:szCs w:val="32"/>
        </w:rPr>
        <w:t>二、收入决算情况说明</w:t>
      </w:r>
    </w:p>
    <w:p>
      <w:pPr>
        <w:spacing w:line="580" w:lineRule="exact"/>
        <w:ind w:firstLine="640" w:firstLineChars="200"/>
        <w:rPr>
          <w:rFonts w:hint="eastAsia" w:ascii="宋体" w:hAnsi="宋体" w:cs="宋体"/>
          <w:bCs/>
          <w:sz w:val="32"/>
          <w:szCs w:val="32"/>
        </w:rPr>
      </w:pPr>
      <w:r>
        <w:rPr>
          <w:rFonts w:hint="eastAsia" w:ascii="宋体" w:hAnsi="宋体" w:cs="宋体"/>
          <w:bCs/>
          <w:sz w:val="32"/>
          <w:szCs w:val="32"/>
        </w:rPr>
        <w:t>2021年度收入合计</w:t>
      </w:r>
      <w:r>
        <w:rPr>
          <w:rFonts w:hint="eastAsia" w:ascii="宋体" w:hAnsi="宋体" w:cs="宋体"/>
          <w:bCs/>
          <w:sz w:val="32"/>
          <w:szCs w:val="32"/>
          <w:lang w:val="en-US" w:eastAsia="zh-CN"/>
        </w:rPr>
        <w:t>26.03</w:t>
      </w:r>
      <w:r>
        <w:rPr>
          <w:rFonts w:hint="eastAsia" w:ascii="宋体" w:hAnsi="宋体" w:cs="宋体"/>
          <w:bCs/>
          <w:sz w:val="32"/>
          <w:szCs w:val="32"/>
        </w:rPr>
        <w:t>万元，其中财政拨款收入</w:t>
      </w:r>
      <w:r>
        <w:rPr>
          <w:rFonts w:hint="eastAsia" w:ascii="宋体" w:hAnsi="宋体" w:cs="宋体"/>
          <w:bCs/>
          <w:sz w:val="32"/>
          <w:szCs w:val="32"/>
          <w:lang w:val="en-US" w:eastAsia="zh-CN"/>
        </w:rPr>
        <w:t>26.03</w:t>
      </w:r>
      <w:r>
        <w:rPr>
          <w:rFonts w:hint="eastAsia" w:ascii="宋体" w:hAnsi="宋体" w:cs="宋体"/>
          <w:bCs/>
          <w:sz w:val="32"/>
          <w:szCs w:val="32"/>
        </w:rPr>
        <w:t>万元,</w:t>
      </w:r>
      <w:r>
        <w:rPr>
          <w:rFonts w:hint="eastAsia" w:ascii="宋体" w:hAnsi="宋体" w:cs="宋体"/>
          <w:bCs/>
          <w:sz w:val="32"/>
          <w:szCs w:val="32"/>
          <w:lang w:val="en-US" w:eastAsia="zh-CN"/>
        </w:rPr>
        <w:t>占比100%。</w:t>
      </w:r>
    </w:p>
    <w:p>
      <w:pPr>
        <w:numPr>
          <w:ilvl w:val="0"/>
          <w:numId w:val="0"/>
        </w:numPr>
        <w:spacing w:line="58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三、支出决算情况说明</w:t>
      </w:r>
    </w:p>
    <w:p>
      <w:pPr>
        <w:numPr>
          <w:ilvl w:val="0"/>
          <w:numId w:val="0"/>
        </w:numPr>
        <w:spacing w:line="580" w:lineRule="exact"/>
        <w:ind w:firstLine="640"/>
        <w:rPr>
          <w:rFonts w:hint="eastAsia" w:ascii="宋体" w:hAnsi="宋体" w:cs="宋体"/>
          <w:bCs/>
          <w:sz w:val="32"/>
          <w:szCs w:val="32"/>
          <w:lang w:val="en-US" w:eastAsia="zh-CN"/>
        </w:rPr>
      </w:pPr>
      <w:r>
        <w:rPr>
          <w:rFonts w:hint="eastAsia" w:ascii="宋体" w:hAnsi="宋体" w:eastAsia="宋体" w:cs="宋体"/>
          <w:bCs/>
          <w:sz w:val="32"/>
          <w:szCs w:val="32"/>
          <w:lang w:val="en-US" w:eastAsia="zh-CN"/>
        </w:rPr>
        <w:t>2021年度</w:t>
      </w:r>
      <w:r>
        <w:rPr>
          <w:rFonts w:hint="eastAsia" w:ascii="宋体" w:hAnsi="宋体" w:cs="宋体"/>
          <w:bCs/>
          <w:sz w:val="32"/>
          <w:szCs w:val="32"/>
          <w:lang w:val="en-US" w:eastAsia="zh-CN"/>
        </w:rPr>
        <w:t>支出合计26.03万元，其中：基本支出0万元，占比0%；项目支出26.03万元，占比100%；</w:t>
      </w:r>
    </w:p>
    <w:p>
      <w:pPr>
        <w:numPr>
          <w:ilvl w:val="0"/>
          <w:numId w:val="0"/>
        </w:numPr>
        <w:spacing w:line="580" w:lineRule="exact"/>
        <w:ind w:firstLine="64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四、财政拨款收入支出决算总体情况说明</w:t>
      </w:r>
    </w:p>
    <w:p>
      <w:pPr>
        <w:spacing w:line="580" w:lineRule="exact"/>
        <w:ind w:firstLine="640" w:firstLineChars="200"/>
        <w:rPr>
          <w:rFonts w:hint="default" w:ascii="宋体" w:hAnsi="宋体" w:eastAsia="宋体" w:cs="宋体"/>
          <w:bCs/>
          <w:sz w:val="32"/>
          <w:szCs w:val="32"/>
          <w:lang w:val="en-US" w:eastAsia="zh-CN"/>
        </w:rPr>
      </w:pPr>
      <w:r>
        <w:rPr>
          <w:rFonts w:hint="eastAsia" w:ascii="宋体" w:hAnsi="宋体" w:cs="宋体"/>
          <w:bCs/>
          <w:sz w:val="32"/>
          <w:szCs w:val="32"/>
        </w:rPr>
        <w:t>2021年</w:t>
      </w:r>
      <w:r>
        <w:rPr>
          <w:rFonts w:hint="eastAsia" w:ascii="宋体" w:hAnsi="宋体" w:cs="宋体"/>
          <w:bCs/>
          <w:sz w:val="32"/>
          <w:szCs w:val="32"/>
          <w:lang w:val="en-US" w:eastAsia="zh-CN"/>
        </w:rPr>
        <w:t>度财政拨款</w:t>
      </w:r>
      <w:r>
        <w:rPr>
          <w:rFonts w:hint="eastAsia" w:ascii="宋体" w:hAnsi="宋体" w:cs="宋体"/>
          <w:bCs/>
          <w:sz w:val="32"/>
          <w:szCs w:val="32"/>
        </w:rPr>
        <w:t>收入</w:t>
      </w:r>
      <w:r>
        <w:rPr>
          <w:rFonts w:hint="eastAsia" w:ascii="宋体" w:hAnsi="宋体" w:cs="宋体"/>
          <w:bCs/>
          <w:sz w:val="32"/>
          <w:szCs w:val="32"/>
          <w:lang w:val="en-US" w:eastAsia="zh-CN"/>
        </w:rPr>
        <w:t>总计26.03</w:t>
      </w:r>
      <w:r>
        <w:rPr>
          <w:rFonts w:hint="eastAsia" w:ascii="宋体" w:hAnsi="宋体" w:cs="宋体"/>
          <w:bCs/>
          <w:sz w:val="32"/>
          <w:szCs w:val="32"/>
        </w:rPr>
        <w:t>万元，支出</w:t>
      </w:r>
      <w:r>
        <w:rPr>
          <w:rFonts w:hint="eastAsia" w:ascii="宋体" w:hAnsi="宋体" w:cs="宋体"/>
          <w:bCs/>
          <w:sz w:val="32"/>
          <w:szCs w:val="32"/>
          <w:lang w:val="en-US" w:eastAsia="zh-CN"/>
        </w:rPr>
        <w:t>总计26.03</w:t>
      </w:r>
      <w:r>
        <w:rPr>
          <w:rFonts w:hint="eastAsia" w:ascii="宋体" w:hAnsi="宋体" w:cs="宋体"/>
          <w:bCs/>
          <w:sz w:val="32"/>
          <w:szCs w:val="32"/>
        </w:rPr>
        <w:t>万元，与上年比</w:t>
      </w:r>
      <w:r>
        <w:rPr>
          <w:rFonts w:hint="eastAsia" w:ascii="宋体" w:hAnsi="宋体" w:cs="宋体"/>
          <w:bCs/>
          <w:sz w:val="32"/>
          <w:szCs w:val="32"/>
          <w:lang w:eastAsia="zh-CN"/>
        </w:rPr>
        <w:t>，</w:t>
      </w:r>
      <w:r>
        <w:rPr>
          <w:rFonts w:hint="eastAsia" w:ascii="宋体" w:hAnsi="宋体" w:cs="宋体"/>
          <w:bCs/>
          <w:sz w:val="32"/>
          <w:szCs w:val="32"/>
          <w:lang w:val="en-US" w:eastAsia="zh-CN"/>
        </w:rPr>
        <w:t>财政拨款</w:t>
      </w:r>
      <w:r>
        <w:rPr>
          <w:rFonts w:hint="eastAsia" w:ascii="宋体" w:hAnsi="宋体" w:cs="宋体"/>
          <w:bCs/>
          <w:sz w:val="32"/>
          <w:szCs w:val="32"/>
        </w:rPr>
        <w:t>收入</w:t>
      </w:r>
      <w:r>
        <w:rPr>
          <w:rFonts w:hint="eastAsia" w:ascii="宋体" w:hAnsi="宋体" w:cs="宋体"/>
          <w:bCs/>
          <w:sz w:val="32"/>
          <w:szCs w:val="32"/>
          <w:lang w:val="en-US" w:eastAsia="zh-CN"/>
        </w:rPr>
        <w:t>总计增加17.13</w:t>
      </w:r>
      <w:r>
        <w:rPr>
          <w:rFonts w:hint="eastAsia" w:ascii="宋体" w:hAnsi="宋体" w:cs="宋体"/>
          <w:bCs/>
          <w:sz w:val="32"/>
          <w:szCs w:val="32"/>
        </w:rPr>
        <w:t>万元，</w:t>
      </w:r>
      <w:r>
        <w:rPr>
          <w:rFonts w:hint="eastAsia" w:ascii="宋体" w:hAnsi="宋体" w:cs="宋体"/>
          <w:bCs/>
          <w:sz w:val="32"/>
          <w:szCs w:val="32"/>
          <w:lang w:val="en-US" w:eastAsia="zh-CN"/>
        </w:rPr>
        <w:t>增长192.47%，财政拨款</w:t>
      </w:r>
      <w:r>
        <w:rPr>
          <w:rFonts w:hint="eastAsia" w:ascii="宋体" w:hAnsi="宋体" w:cs="宋体"/>
          <w:bCs/>
          <w:sz w:val="32"/>
          <w:szCs w:val="32"/>
        </w:rPr>
        <w:t>支出</w:t>
      </w:r>
      <w:r>
        <w:rPr>
          <w:rFonts w:hint="eastAsia" w:ascii="宋体" w:hAnsi="宋体" w:cs="宋体"/>
          <w:bCs/>
          <w:sz w:val="32"/>
          <w:szCs w:val="32"/>
          <w:lang w:val="en-US" w:eastAsia="zh-CN"/>
        </w:rPr>
        <w:t>总计增加17.13</w:t>
      </w:r>
      <w:r>
        <w:rPr>
          <w:rFonts w:hint="eastAsia" w:ascii="宋体" w:hAnsi="宋体" w:cs="宋体"/>
          <w:bCs/>
          <w:sz w:val="32"/>
          <w:szCs w:val="32"/>
        </w:rPr>
        <w:t>万元，</w:t>
      </w:r>
      <w:r>
        <w:rPr>
          <w:rFonts w:hint="eastAsia" w:ascii="宋体" w:hAnsi="宋体" w:cs="宋体"/>
          <w:bCs/>
          <w:sz w:val="32"/>
          <w:szCs w:val="32"/>
          <w:lang w:val="en-US" w:eastAsia="zh-CN"/>
        </w:rPr>
        <w:t>增长192.47%。主要</w:t>
      </w:r>
      <w:r>
        <w:rPr>
          <w:rFonts w:hint="eastAsia" w:ascii="宋体" w:hAnsi="宋体" w:cs="宋体"/>
          <w:bCs/>
          <w:sz w:val="32"/>
          <w:szCs w:val="32"/>
        </w:rPr>
        <w:t>原因是</w:t>
      </w:r>
      <w:r>
        <w:rPr>
          <w:rFonts w:hint="eastAsia" w:ascii="宋体" w:hAnsi="宋体" w:cs="宋体"/>
          <w:bCs/>
          <w:sz w:val="32"/>
          <w:szCs w:val="32"/>
          <w:lang w:val="en-US" w:eastAsia="zh-CN"/>
        </w:rPr>
        <w:t>增加了专项业务费。</w:t>
      </w:r>
    </w:p>
    <w:p>
      <w:pPr>
        <w:pStyle w:val="12"/>
        <w:numPr>
          <w:ilvl w:val="0"/>
          <w:numId w:val="0"/>
        </w:numPr>
        <w:spacing w:line="580" w:lineRule="exact"/>
        <w:ind w:left="638" w:leftChars="304"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一般公共预算</w:t>
      </w:r>
      <w:r>
        <w:rPr>
          <w:rFonts w:hint="eastAsia" w:ascii="黑体" w:hAnsi="黑体" w:eastAsia="黑体" w:cs="黑体"/>
          <w:b w:val="0"/>
          <w:bCs w:val="0"/>
          <w:sz w:val="32"/>
          <w:szCs w:val="32"/>
          <w:lang w:val="en-US" w:eastAsia="zh-CN"/>
        </w:rPr>
        <w:t>财政拨款支出决算</w:t>
      </w:r>
      <w:r>
        <w:rPr>
          <w:rFonts w:hint="eastAsia" w:ascii="黑体" w:hAnsi="黑体" w:eastAsia="黑体" w:cs="黑体"/>
          <w:b w:val="0"/>
          <w:bCs w:val="0"/>
          <w:sz w:val="32"/>
          <w:szCs w:val="32"/>
        </w:rPr>
        <w:t>情况说明</w:t>
      </w:r>
      <w:r>
        <w:rPr>
          <w:rFonts w:hint="eastAsia" w:ascii="宋体" w:hAnsi="宋体" w:cs="宋体"/>
          <w:b/>
          <w:bCs/>
          <w:sz w:val="32"/>
          <w:szCs w:val="32"/>
        </w:rPr>
        <w:br w:type="textWrapping"/>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财政拨款支出决算总体情况</w:t>
      </w:r>
    </w:p>
    <w:p>
      <w:pPr>
        <w:spacing w:line="580" w:lineRule="exact"/>
        <w:ind w:firstLine="640" w:firstLineChars="200"/>
        <w:rPr>
          <w:rFonts w:hint="default" w:ascii="宋体" w:hAnsi="宋体" w:eastAsia="宋体" w:cs="宋体"/>
          <w:bCs/>
          <w:sz w:val="32"/>
          <w:szCs w:val="32"/>
          <w:lang w:val="en-US" w:eastAsia="zh-CN"/>
        </w:rPr>
      </w:pPr>
      <w:r>
        <w:rPr>
          <w:rFonts w:hint="eastAsia" w:ascii="宋体" w:hAnsi="宋体" w:eastAsia="宋体" w:cs="宋体"/>
          <w:b w:val="0"/>
          <w:bCs/>
          <w:sz w:val="32"/>
          <w:szCs w:val="32"/>
          <w:lang w:val="en-US" w:eastAsia="zh-CN"/>
        </w:rPr>
        <w:t>2021年度</w:t>
      </w:r>
      <w:r>
        <w:rPr>
          <w:rFonts w:hint="eastAsia" w:ascii="宋体" w:hAnsi="宋体" w:cs="宋体"/>
          <w:b w:val="0"/>
          <w:bCs/>
          <w:sz w:val="32"/>
          <w:szCs w:val="32"/>
          <w:lang w:val="en-US" w:eastAsia="zh-CN"/>
        </w:rPr>
        <w:t>财政拨款支出26.03万元，占本年支出合计的100%。与上年相比，财政拨款支出</w:t>
      </w:r>
      <w:r>
        <w:rPr>
          <w:rFonts w:hint="eastAsia" w:ascii="宋体" w:hAnsi="宋体" w:cs="宋体"/>
          <w:bCs/>
          <w:sz w:val="32"/>
          <w:szCs w:val="32"/>
          <w:lang w:val="en-US" w:eastAsia="zh-CN"/>
        </w:rPr>
        <w:t>增加17.13</w:t>
      </w:r>
      <w:r>
        <w:rPr>
          <w:rFonts w:hint="eastAsia" w:ascii="宋体" w:hAnsi="宋体" w:cs="宋体"/>
          <w:bCs/>
          <w:sz w:val="32"/>
          <w:szCs w:val="32"/>
        </w:rPr>
        <w:t>万元，</w:t>
      </w:r>
      <w:r>
        <w:rPr>
          <w:rFonts w:hint="eastAsia" w:ascii="宋体" w:hAnsi="宋体" w:cs="宋体"/>
          <w:bCs/>
          <w:sz w:val="32"/>
          <w:szCs w:val="32"/>
          <w:lang w:val="en-US" w:eastAsia="zh-CN"/>
        </w:rPr>
        <w:t>增长192.47%。主要</w:t>
      </w:r>
      <w:r>
        <w:rPr>
          <w:rFonts w:hint="eastAsia" w:ascii="宋体" w:hAnsi="宋体" w:cs="宋体"/>
          <w:bCs/>
          <w:sz w:val="32"/>
          <w:szCs w:val="32"/>
        </w:rPr>
        <w:t>原因是</w:t>
      </w:r>
      <w:r>
        <w:rPr>
          <w:rFonts w:hint="eastAsia" w:ascii="宋体" w:hAnsi="宋体" w:cs="宋体"/>
          <w:bCs/>
          <w:sz w:val="32"/>
          <w:szCs w:val="32"/>
          <w:lang w:val="en-US" w:eastAsia="zh-CN"/>
        </w:rPr>
        <w:t>增加了专项业务费。</w:t>
      </w:r>
    </w:p>
    <w:p>
      <w:pPr>
        <w:spacing w:line="580" w:lineRule="exact"/>
        <w:ind w:firstLine="640" w:firstLineChars="200"/>
        <w:rPr>
          <w:rFonts w:hint="eastAsia" w:ascii="宋体" w:hAnsi="宋体" w:cs="宋体"/>
          <w:bCs/>
          <w:sz w:val="32"/>
          <w:szCs w:val="32"/>
          <w:lang w:val="en-US" w:eastAsia="zh-CN"/>
        </w:rPr>
      </w:pPr>
    </w:p>
    <w:p>
      <w:pPr>
        <w:numPr>
          <w:ilvl w:val="0"/>
          <w:numId w:val="1"/>
        </w:numPr>
        <w:spacing w:line="58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财政拨款支出决算结构情况</w:t>
      </w:r>
    </w:p>
    <w:p>
      <w:pPr>
        <w:numPr>
          <w:ilvl w:val="0"/>
          <w:numId w:val="0"/>
        </w:numPr>
        <w:spacing w:line="580" w:lineRule="exact"/>
        <w:ind w:firstLine="640" w:firstLineChars="200"/>
        <w:rPr>
          <w:rFonts w:hint="eastAsia" w:ascii="宋体" w:hAnsi="宋体" w:cs="宋体"/>
          <w:bCs/>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宋体" w:hAnsi="宋体" w:eastAsia="宋体" w:cs="宋体"/>
          <w:b w:val="0"/>
          <w:bCs/>
          <w:sz w:val="32"/>
          <w:szCs w:val="32"/>
          <w:lang w:val="en-US" w:eastAsia="zh-CN"/>
        </w:rPr>
        <w:t>2021年度</w:t>
      </w:r>
      <w:r>
        <w:rPr>
          <w:rFonts w:hint="eastAsia" w:ascii="宋体" w:hAnsi="宋体" w:cs="宋体"/>
          <w:b w:val="0"/>
          <w:bCs/>
          <w:sz w:val="32"/>
          <w:szCs w:val="32"/>
          <w:lang w:val="en-US" w:eastAsia="zh-CN"/>
        </w:rPr>
        <w:t>财政拨款支出26.03万元，主要用于以下方面：公共安全支出26.03万元，占100%。</w:t>
      </w:r>
      <w:r>
        <w:rPr>
          <w:rFonts w:hint="eastAsia" w:ascii="宋体" w:hAnsi="宋体" w:cs="宋体"/>
          <w:b w:val="0"/>
          <w:bCs/>
          <w:sz w:val="32"/>
          <w:szCs w:val="32"/>
          <w:lang w:val="en-US" w:eastAsia="zh-CN"/>
        </w:rPr>
        <w:br w:type="textWrapping"/>
      </w:r>
      <w:r>
        <w:rPr>
          <w:rFonts w:hint="eastAsia" w:ascii="宋体" w:hAnsi="宋体" w:cs="宋体"/>
          <w:b w:val="0"/>
          <w:bCs/>
          <w:sz w:val="32"/>
          <w:szCs w:val="32"/>
          <w:lang w:val="en-US" w:eastAsia="zh-CN"/>
        </w:rPr>
        <w:t xml:space="preserve">     </w:t>
      </w:r>
      <w:r>
        <w:rPr>
          <w:rFonts w:hint="eastAsia" w:ascii="黑体" w:hAnsi="黑体" w:eastAsia="黑体" w:cs="黑体"/>
          <w:b w:val="0"/>
          <w:bCs/>
          <w:sz w:val="32"/>
          <w:szCs w:val="32"/>
          <w:lang w:val="en-US" w:eastAsia="zh-CN"/>
        </w:rPr>
        <w:t>（三）财政拨款支出决算具体情况</w:t>
      </w:r>
      <w:r>
        <w:rPr>
          <w:rFonts w:hint="eastAsia" w:ascii="黑体" w:hAnsi="黑体" w:eastAsia="黑体" w:cs="黑体"/>
          <w:b w:val="0"/>
          <w:bCs/>
          <w:sz w:val="32"/>
          <w:szCs w:val="32"/>
          <w:lang w:val="en-US" w:eastAsia="zh-CN"/>
        </w:rPr>
        <w:br w:type="textWrapping"/>
      </w:r>
      <w:r>
        <w:rPr>
          <w:rFonts w:hint="eastAsia" w:ascii="黑体" w:hAnsi="黑体" w:eastAsia="黑体" w:cs="黑体"/>
          <w:b w:val="0"/>
          <w:bCs/>
          <w:sz w:val="32"/>
          <w:szCs w:val="32"/>
          <w:lang w:val="en-US" w:eastAsia="zh-CN"/>
        </w:rPr>
        <w:t xml:space="preserve">      </w:t>
      </w:r>
      <w:r>
        <w:rPr>
          <w:rFonts w:hint="eastAsia" w:ascii="宋体" w:hAnsi="宋体" w:cs="宋体"/>
          <w:b w:val="0"/>
          <w:bCs/>
          <w:sz w:val="32"/>
          <w:szCs w:val="32"/>
          <w:lang w:val="en-US" w:eastAsia="zh-CN"/>
        </w:rPr>
        <w:t>2021年度财政拨款支出年初预算131.2万元，支出决算26.03万元，完成年初预算的19.84%。公共安全支出年初预算131.2万元，支出决算26.03万元，完成年初预算的19.84%，用于人犯经费和专项业务费。较上年决算</w:t>
      </w:r>
      <w:r>
        <w:rPr>
          <w:rFonts w:hint="eastAsia" w:ascii="宋体" w:hAnsi="宋体" w:cs="宋体"/>
          <w:bCs/>
          <w:sz w:val="32"/>
          <w:szCs w:val="32"/>
          <w:lang w:val="en-US" w:eastAsia="zh-CN"/>
        </w:rPr>
        <w:t>增加17.13</w:t>
      </w:r>
      <w:r>
        <w:rPr>
          <w:rFonts w:hint="eastAsia" w:ascii="宋体" w:hAnsi="宋体" w:cs="宋体"/>
          <w:bCs/>
          <w:sz w:val="32"/>
          <w:szCs w:val="32"/>
        </w:rPr>
        <w:t>万元，</w:t>
      </w:r>
      <w:r>
        <w:rPr>
          <w:rFonts w:hint="eastAsia" w:ascii="宋体" w:hAnsi="宋体" w:cs="宋体"/>
          <w:bCs/>
          <w:sz w:val="32"/>
          <w:szCs w:val="32"/>
          <w:lang w:val="en-US" w:eastAsia="zh-CN"/>
        </w:rPr>
        <w:t>增长192.47%，主要原因是增加了专项业务费。</w:t>
      </w:r>
    </w:p>
    <w:p>
      <w:pPr>
        <w:numPr>
          <w:ilvl w:val="0"/>
          <w:numId w:val="0"/>
        </w:numPr>
        <w:spacing w:line="580" w:lineRule="exact"/>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六、一般公共预算财政拨款基本支出决算情况说明</w:t>
      </w:r>
    </w:p>
    <w:p>
      <w:pPr>
        <w:pStyle w:val="12"/>
        <w:numPr>
          <w:ilvl w:val="0"/>
          <w:numId w:val="0"/>
        </w:numPr>
        <w:spacing w:line="240" w:lineRule="auto"/>
        <w:ind w:firstLine="640" w:firstLineChars="200"/>
        <w:rPr>
          <w:rFonts w:hint="default" w:ascii="宋体" w:hAnsi="宋体" w:cs="宋体"/>
          <w:b w:val="0"/>
          <w:bCs/>
          <w:sz w:val="32"/>
          <w:szCs w:val="32"/>
          <w:lang w:val="en-US" w:eastAsia="zh-CN"/>
        </w:rPr>
      </w:pPr>
      <w:r>
        <w:rPr>
          <w:rFonts w:hint="eastAsia" w:ascii="宋体" w:hAnsi="宋体" w:cs="宋体"/>
          <w:b w:val="0"/>
          <w:bCs/>
          <w:sz w:val="32"/>
          <w:szCs w:val="32"/>
          <w:lang w:val="en-US" w:eastAsia="zh-CN"/>
        </w:rPr>
        <w:t>2021年度财政拨款基本支出0万元，本单位全部为项目支出。</w:t>
      </w:r>
    </w:p>
    <w:p>
      <w:pPr>
        <w:pStyle w:val="12"/>
        <w:numPr>
          <w:ilvl w:val="0"/>
          <w:numId w:val="0"/>
        </w:numPr>
        <w:spacing w:line="240" w:lineRule="auto"/>
        <w:ind w:firstLine="640" w:firstLineChars="200"/>
        <w:rPr>
          <w:rFonts w:hint="eastAsia" w:ascii="宋体" w:hAnsi="宋体" w:cs="宋体"/>
          <w:b w:val="0"/>
          <w:bCs/>
          <w:sz w:val="32"/>
          <w:szCs w:val="32"/>
          <w:lang w:val="en-US" w:eastAsia="zh-CN"/>
        </w:rPr>
      </w:pPr>
      <w:r>
        <w:rPr>
          <w:rFonts w:hint="eastAsia" w:ascii="黑体" w:hAnsi="黑体" w:eastAsia="黑体" w:cs="黑体"/>
          <w:b w:val="0"/>
          <w:bCs/>
          <w:sz w:val="32"/>
          <w:szCs w:val="32"/>
          <w:lang w:val="en-US" w:eastAsia="zh-CN"/>
        </w:rPr>
        <w:t>七、一般公共预算财政拨款“三公”经费支出决算情况说明</w:t>
      </w:r>
    </w:p>
    <w:p>
      <w:pPr>
        <w:pStyle w:val="12"/>
        <w:numPr>
          <w:ilvl w:val="0"/>
          <w:numId w:val="0"/>
        </w:numPr>
        <w:spacing w:line="240" w:lineRule="auto"/>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（一）“三公”经费财政拨款支出决算总体情况说明。</w:t>
      </w:r>
    </w:p>
    <w:p>
      <w:pPr>
        <w:pStyle w:val="12"/>
        <w:numPr>
          <w:ilvl w:val="0"/>
          <w:numId w:val="0"/>
        </w:numPr>
        <w:spacing w:line="240" w:lineRule="auto"/>
        <w:ind w:firstLine="640" w:firstLineChars="200"/>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本单位只有人犯经费项目经费。本单位人员工资、津补贴、公用经费及公务用车、公务接待等相关经费预算都在市局预算当中列支，本单位无“三公”经费预算。</w:t>
      </w:r>
    </w:p>
    <w:p>
      <w:pPr>
        <w:pStyle w:val="12"/>
        <w:numPr>
          <w:ilvl w:val="0"/>
          <w:numId w:val="0"/>
        </w:numPr>
        <w:spacing w:line="240" w:lineRule="auto"/>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八、其他重要事项情况说明</w:t>
      </w:r>
    </w:p>
    <w:p>
      <w:pPr>
        <w:pStyle w:val="12"/>
        <w:numPr>
          <w:ilvl w:val="0"/>
          <w:numId w:val="0"/>
        </w:numPr>
        <w:spacing w:line="240" w:lineRule="auto"/>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（一）机关运行经费支出情况说明</w:t>
      </w:r>
    </w:p>
    <w:p>
      <w:pPr>
        <w:pStyle w:val="12"/>
        <w:numPr>
          <w:ilvl w:val="0"/>
          <w:numId w:val="0"/>
        </w:numPr>
        <w:spacing w:line="240" w:lineRule="auto"/>
        <w:ind w:firstLine="640" w:firstLineChars="200"/>
        <w:rPr>
          <w:rFonts w:hint="default" w:ascii="宋体" w:hAnsi="宋体" w:cs="宋体"/>
          <w:b w:val="0"/>
          <w:bCs/>
          <w:sz w:val="32"/>
          <w:szCs w:val="32"/>
          <w:lang w:val="en-US" w:eastAsia="zh-CN"/>
        </w:rPr>
      </w:pPr>
      <w:r>
        <w:rPr>
          <w:rFonts w:hint="eastAsia" w:ascii="宋体" w:hAnsi="宋体" w:cs="宋体"/>
          <w:b w:val="0"/>
          <w:bCs/>
          <w:sz w:val="32"/>
          <w:szCs w:val="32"/>
          <w:lang w:val="en-US" w:eastAsia="zh-CN"/>
        </w:rPr>
        <w:t>本单位只有人犯经费项目经费。本单位人员工资、津补贴、公用经费及公务用车、公务接待等相关经费预算都在市局预算当中列支，本单位无“三公”经费预算。</w:t>
      </w:r>
    </w:p>
    <w:p>
      <w:pPr>
        <w:pStyle w:val="12"/>
        <w:numPr>
          <w:ilvl w:val="0"/>
          <w:numId w:val="0"/>
        </w:numPr>
        <w:spacing w:line="240" w:lineRule="auto"/>
        <w:rPr>
          <w:rFonts w:hint="eastAsia" w:ascii="宋体" w:hAnsi="宋体" w:cs="宋体"/>
          <w:b w:val="0"/>
          <w:bCs/>
          <w:sz w:val="32"/>
          <w:szCs w:val="32"/>
          <w:lang w:val="en-US" w:eastAsia="zh-CN"/>
        </w:rPr>
      </w:pPr>
    </w:p>
    <w:p>
      <w:pPr>
        <w:pStyle w:val="12"/>
        <w:numPr>
          <w:ilvl w:val="0"/>
          <w:numId w:val="0"/>
        </w:numPr>
        <w:spacing w:line="240" w:lineRule="auto"/>
        <w:ind w:leftChars="200" w:firstLine="320" w:firstLineChars="1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（二）政府采购情况说明</w:t>
      </w:r>
    </w:p>
    <w:p>
      <w:pPr>
        <w:pStyle w:val="12"/>
        <w:numPr>
          <w:ilvl w:val="0"/>
          <w:numId w:val="0"/>
        </w:numPr>
        <w:spacing w:line="240" w:lineRule="auto"/>
        <w:ind w:leftChars="200"/>
        <w:rPr>
          <w:rFonts w:hint="default" w:ascii="宋体" w:hAnsi="宋体" w:cs="宋体"/>
          <w:b w:val="0"/>
          <w:bCs/>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宋体" w:hAnsi="宋体" w:eastAsia="宋体" w:cs="宋体"/>
          <w:b w:val="0"/>
          <w:bCs/>
          <w:sz w:val="32"/>
          <w:szCs w:val="32"/>
          <w:lang w:val="en-US" w:eastAsia="zh-CN"/>
        </w:rPr>
        <w:t xml:space="preserve"> 2021年度政府采购支出总额</w:t>
      </w:r>
      <w:r>
        <w:rPr>
          <w:rFonts w:hint="eastAsia" w:ascii="宋体" w:hAnsi="宋体" w:cs="宋体"/>
          <w:b w:val="0"/>
          <w:bCs/>
          <w:sz w:val="32"/>
          <w:szCs w:val="32"/>
          <w:lang w:val="en-US" w:eastAsia="zh-CN"/>
        </w:rPr>
        <w:t>无支出。</w:t>
      </w:r>
    </w:p>
    <w:p>
      <w:pPr>
        <w:pStyle w:val="12"/>
        <w:numPr>
          <w:ilvl w:val="0"/>
          <w:numId w:val="0"/>
        </w:numPr>
        <w:spacing w:line="240" w:lineRule="auto"/>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（三）国有资产占用情况说明</w:t>
      </w:r>
    </w:p>
    <w:p>
      <w:pPr>
        <w:pStyle w:val="12"/>
        <w:numPr>
          <w:ilvl w:val="0"/>
          <w:numId w:val="0"/>
        </w:numPr>
        <w:spacing w:line="240" w:lineRule="auto"/>
        <w:ind w:leftChars="200"/>
        <w:rPr>
          <w:rFonts w:hint="eastAsia" w:ascii="宋体" w:hAnsi="宋体" w:eastAsia="宋体" w:cs="宋体"/>
          <w:b w:val="0"/>
          <w:bCs/>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宋体" w:hAnsi="宋体" w:eastAsia="宋体" w:cs="宋体"/>
          <w:b w:val="0"/>
          <w:bCs/>
          <w:sz w:val="32"/>
          <w:szCs w:val="32"/>
          <w:lang w:val="en-US" w:eastAsia="zh-CN"/>
        </w:rPr>
        <w:t xml:space="preserve"> 本单位</w:t>
      </w:r>
      <w:r>
        <w:rPr>
          <w:rFonts w:hint="eastAsia" w:ascii="宋体" w:hAnsi="宋体" w:cs="宋体"/>
          <w:b w:val="0"/>
          <w:bCs/>
          <w:sz w:val="32"/>
          <w:szCs w:val="32"/>
          <w:lang w:val="en-US" w:eastAsia="zh-CN"/>
        </w:rPr>
        <w:t>国有资产全部计入大同市公安局本级。</w:t>
      </w:r>
    </w:p>
    <w:p>
      <w:pPr>
        <w:pStyle w:val="12"/>
        <w:numPr>
          <w:ilvl w:val="0"/>
          <w:numId w:val="0"/>
        </w:numPr>
        <w:spacing w:line="240" w:lineRule="auto"/>
        <w:ind w:left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（四）预算绩效情况说明</w:t>
      </w:r>
    </w:p>
    <w:p>
      <w:pPr>
        <w:numPr>
          <w:ilvl w:val="0"/>
          <w:numId w:val="0"/>
        </w:numPr>
        <w:spacing w:line="240" w:lineRule="auto"/>
        <w:ind w:firstLine="640" w:firstLineChars="200"/>
        <w:rPr>
          <w:rFonts w:hint="eastAsia" w:ascii="宋体" w:hAnsi="宋体" w:cs="宋体"/>
          <w:bCs/>
          <w:sz w:val="32"/>
          <w:szCs w:val="32"/>
        </w:rPr>
      </w:pP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1</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预算绩效管理工作开展情况。</w:t>
      </w:r>
      <w:r>
        <w:rPr>
          <w:rFonts w:hint="eastAsia" w:ascii="宋体" w:hAnsi="宋体" w:cs="宋体"/>
          <w:bCs/>
          <w:sz w:val="32"/>
          <w:szCs w:val="32"/>
        </w:rPr>
        <w:t>根据预算绩效管理要求，我</w:t>
      </w:r>
      <w:r>
        <w:rPr>
          <w:rFonts w:hint="eastAsia" w:ascii="宋体" w:hAnsi="宋体" w:cs="宋体"/>
          <w:bCs/>
          <w:sz w:val="32"/>
          <w:szCs w:val="32"/>
          <w:lang w:val="en-US" w:eastAsia="zh-CN"/>
        </w:rPr>
        <w:t>部门</w:t>
      </w:r>
      <w:r>
        <w:rPr>
          <w:rFonts w:hint="eastAsia" w:ascii="宋体" w:hAnsi="宋体" w:cs="宋体"/>
          <w:bCs/>
          <w:sz w:val="32"/>
          <w:szCs w:val="32"/>
        </w:rPr>
        <w:t>组织对2021年度市级财政预算安排的专项资金类</w:t>
      </w:r>
      <w:r>
        <w:rPr>
          <w:rFonts w:hint="eastAsia" w:ascii="宋体" w:hAnsi="宋体" w:cs="宋体"/>
          <w:bCs/>
          <w:sz w:val="32"/>
          <w:szCs w:val="32"/>
          <w:lang w:val="en-US" w:eastAsia="zh-CN"/>
        </w:rPr>
        <w:t>2</w:t>
      </w:r>
      <w:r>
        <w:rPr>
          <w:rFonts w:hint="eastAsia" w:ascii="宋体" w:hAnsi="宋体" w:cs="宋体"/>
          <w:bCs/>
          <w:sz w:val="32"/>
          <w:szCs w:val="32"/>
        </w:rPr>
        <w:t>个项目支出全面开展绩效自评，涉及预算资金</w:t>
      </w:r>
      <w:r>
        <w:rPr>
          <w:rFonts w:hint="eastAsia" w:ascii="宋体" w:hAnsi="宋体" w:cs="宋体"/>
          <w:bCs/>
          <w:sz w:val="32"/>
          <w:szCs w:val="32"/>
          <w:lang w:val="en-US" w:eastAsia="zh-CN"/>
        </w:rPr>
        <w:t>26.03</w:t>
      </w:r>
      <w:r>
        <w:rPr>
          <w:rFonts w:hint="eastAsia" w:ascii="宋体" w:hAnsi="宋体" w:cs="宋体"/>
          <w:bCs/>
          <w:sz w:val="32"/>
          <w:szCs w:val="32"/>
        </w:rPr>
        <w:t>万元，占一般公共预算项目支出总额的</w:t>
      </w:r>
      <w:r>
        <w:rPr>
          <w:rFonts w:hint="eastAsia" w:ascii="宋体" w:hAnsi="宋体" w:cs="宋体"/>
          <w:bCs/>
          <w:sz w:val="32"/>
          <w:szCs w:val="32"/>
          <w:lang w:val="en-US" w:eastAsia="zh-CN"/>
        </w:rPr>
        <w:t>100</w:t>
      </w:r>
      <w:r>
        <w:rPr>
          <w:rFonts w:hint="eastAsia" w:ascii="宋体" w:hAnsi="宋体" w:cs="宋体"/>
          <w:bCs/>
          <w:sz w:val="32"/>
          <w:szCs w:val="32"/>
        </w:rPr>
        <w:t>%。</w:t>
      </w:r>
    </w:p>
    <w:p>
      <w:pPr>
        <w:numPr>
          <w:ilvl w:val="0"/>
          <w:numId w:val="0"/>
        </w:numPr>
        <w:spacing w:line="240" w:lineRule="auto"/>
        <w:ind w:firstLine="640" w:firstLineChars="200"/>
        <w:rPr>
          <w:rFonts w:ascii="仿宋" w:hAnsi="仿宋" w:eastAsia="仿宋" w:cs="仿宋"/>
          <w:bCs/>
          <w:sz w:val="32"/>
          <w:szCs w:val="32"/>
        </w:rPr>
      </w:pPr>
      <w:r>
        <w:rPr>
          <w:rFonts w:hint="eastAsia" w:ascii="宋体" w:hAnsi="宋体" w:cs="宋体"/>
          <w:bCs/>
          <w:sz w:val="32"/>
          <w:szCs w:val="32"/>
          <w:lang w:val="en-US" w:eastAsia="zh-CN"/>
        </w:rPr>
        <w:t>组织对“人犯经费”和“专项业务费”开展了重点绩效评价。从评价情况来看</w:t>
      </w:r>
      <w:r>
        <w:rPr>
          <w:rFonts w:hint="eastAsia" w:ascii="宋体" w:hAnsi="宋体" w:cs="宋体"/>
          <w:bCs/>
          <w:sz w:val="32"/>
          <w:szCs w:val="32"/>
        </w:rPr>
        <w:t>，</w:t>
      </w:r>
      <w:r>
        <w:rPr>
          <w:rFonts w:hint="eastAsia" w:ascii="宋体" w:hAnsi="宋体" w:cs="宋体"/>
          <w:bCs/>
          <w:sz w:val="32"/>
          <w:szCs w:val="32"/>
          <w:lang w:val="en-US" w:eastAsia="zh-CN"/>
        </w:rPr>
        <w:t>保障了羁押场所人员的安全，保障了羁押场所的正常运行，</w:t>
      </w:r>
      <w:r>
        <w:rPr>
          <w:rFonts w:hint="eastAsia" w:ascii="宋体" w:hAnsi="宋体" w:cs="宋体"/>
          <w:bCs/>
          <w:sz w:val="32"/>
          <w:szCs w:val="32"/>
        </w:rPr>
        <w:t>为维护社会稳定，打击犯罪提供</w:t>
      </w:r>
      <w:r>
        <w:rPr>
          <w:rFonts w:hint="eastAsia" w:ascii="宋体" w:hAnsi="宋体" w:cs="宋体"/>
          <w:bCs/>
          <w:sz w:val="32"/>
          <w:szCs w:val="32"/>
          <w:lang w:val="en-US" w:eastAsia="zh-CN"/>
        </w:rPr>
        <w:t>了</w:t>
      </w:r>
      <w:r>
        <w:rPr>
          <w:rFonts w:hint="eastAsia" w:ascii="宋体" w:hAnsi="宋体" w:cs="宋体"/>
          <w:bCs/>
          <w:sz w:val="32"/>
          <w:szCs w:val="32"/>
        </w:rPr>
        <w:t>有力支撑</w:t>
      </w:r>
      <w:r>
        <w:rPr>
          <w:rFonts w:hint="eastAsia" w:ascii="仿宋" w:hAnsi="仿宋" w:eastAsia="仿宋" w:cs="仿宋"/>
          <w:bCs/>
          <w:sz w:val="32"/>
          <w:szCs w:val="32"/>
        </w:rPr>
        <w:t>。</w:t>
      </w:r>
    </w:p>
    <w:p>
      <w:pPr>
        <w:pStyle w:val="12"/>
        <w:numPr>
          <w:ilvl w:val="0"/>
          <w:numId w:val="0"/>
        </w:numPr>
        <w:spacing w:line="580" w:lineRule="exact"/>
        <w:ind w:left="840" w:leftChars="0"/>
        <w:rPr>
          <w:rFonts w:ascii="宋体" w:hAnsi="宋体" w:cs="宋体"/>
          <w:b/>
          <w:bCs/>
          <w:sz w:val="32"/>
          <w:szCs w:val="32"/>
        </w:rPr>
      </w:pPr>
      <w:r>
        <w:rPr>
          <w:rFonts w:hint="eastAsia" w:ascii="宋体" w:hAnsi="宋体" w:cs="宋体"/>
          <w:b/>
          <w:bCs/>
          <w:sz w:val="32"/>
          <w:szCs w:val="32"/>
          <w:lang w:eastAsia="zh-CN"/>
        </w:rPr>
        <w:t>（</w:t>
      </w:r>
      <w:r>
        <w:rPr>
          <w:rFonts w:hint="eastAsia" w:ascii="宋体" w:hAnsi="宋体" w:cs="宋体"/>
          <w:b/>
          <w:bCs/>
          <w:sz w:val="32"/>
          <w:szCs w:val="32"/>
          <w:lang w:val="en-US" w:eastAsia="zh-CN"/>
        </w:rPr>
        <w:t>2</w:t>
      </w:r>
      <w:r>
        <w:rPr>
          <w:rFonts w:hint="eastAsia" w:ascii="宋体" w:hAnsi="宋体" w:cs="宋体"/>
          <w:b/>
          <w:bCs/>
          <w:sz w:val="32"/>
          <w:szCs w:val="32"/>
          <w:lang w:eastAsia="zh-CN"/>
        </w:rPr>
        <w:t>）</w:t>
      </w:r>
      <w:r>
        <w:rPr>
          <w:rFonts w:hint="eastAsia" w:ascii="宋体" w:hAnsi="宋体" w:cs="宋体"/>
          <w:b/>
          <w:bCs/>
          <w:sz w:val="32"/>
          <w:szCs w:val="32"/>
        </w:rPr>
        <w:t>部门决算中项目绩效自评结果。</w:t>
      </w:r>
    </w:p>
    <w:p>
      <w:pPr>
        <w:pStyle w:val="12"/>
        <w:spacing w:line="580" w:lineRule="exact"/>
        <w:ind w:firstLine="800" w:firstLineChars="250"/>
        <w:rPr>
          <w:rFonts w:ascii="宋体" w:hAnsi="宋体" w:cs="宋体"/>
          <w:bCs/>
          <w:sz w:val="32"/>
          <w:szCs w:val="32"/>
        </w:rPr>
      </w:pPr>
      <w:r>
        <w:rPr>
          <w:rFonts w:hint="eastAsia" w:ascii="宋体" w:hAnsi="宋体" w:cs="宋体"/>
          <w:bCs/>
          <w:sz w:val="32"/>
          <w:szCs w:val="32"/>
        </w:rPr>
        <w:t>1、</w:t>
      </w:r>
      <w:r>
        <w:rPr>
          <w:rFonts w:hint="eastAsia" w:ascii="宋体" w:hAnsi="宋体" w:cs="宋体"/>
          <w:bCs/>
          <w:sz w:val="32"/>
          <w:szCs w:val="32"/>
          <w:lang w:val="en-US" w:eastAsia="zh-CN"/>
        </w:rPr>
        <w:t>人犯经费</w:t>
      </w:r>
      <w:r>
        <w:rPr>
          <w:rFonts w:hint="eastAsia" w:ascii="宋体" w:hAnsi="宋体" w:cs="宋体"/>
          <w:bCs/>
          <w:sz w:val="32"/>
          <w:szCs w:val="32"/>
        </w:rPr>
        <w:t>自评综述：根据年初设定的绩效目标，项目自评得分为9</w:t>
      </w:r>
      <w:r>
        <w:rPr>
          <w:rFonts w:hint="eastAsia" w:ascii="宋体" w:hAnsi="宋体" w:cs="宋体"/>
          <w:bCs/>
          <w:sz w:val="32"/>
          <w:szCs w:val="32"/>
          <w:lang w:val="en-US" w:eastAsia="zh-CN"/>
        </w:rPr>
        <w:t>0</w:t>
      </w:r>
      <w:r>
        <w:rPr>
          <w:rFonts w:hint="eastAsia" w:ascii="宋体" w:hAnsi="宋体" w:cs="宋体"/>
          <w:bCs/>
          <w:sz w:val="32"/>
          <w:szCs w:val="32"/>
        </w:rPr>
        <w:t>分。全年预算数为</w:t>
      </w:r>
      <w:r>
        <w:rPr>
          <w:rFonts w:hint="eastAsia" w:ascii="宋体" w:hAnsi="宋体" w:cs="宋体"/>
          <w:bCs/>
          <w:sz w:val="32"/>
          <w:szCs w:val="32"/>
          <w:lang w:val="en-US" w:eastAsia="zh-CN"/>
        </w:rPr>
        <w:t>5.3</w:t>
      </w:r>
      <w:r>
        <w:rPr>
          <w:rFonts w:hint="eastAsia" w:ascii="宋体" w:hAnsi="宋体" w:cs="宋体"/>
          <w:bCs/>
          <w:sz w:val="32"/>
          <w:szCs w:val="32"/>
        </w:rPr>
        <w:t>万元，执行数为</w:t>
      </w:r>
      <w:r>
        <w:rPr>
          <w:rFonts w:hint="eastAsia" w:ascii="宋体" w:hAnsi="宋体" w:cs="宋体"/>
          <w:bCs/>
          <w:sz w:val="32"/>
          <w:szCs w:val="32"/>
          <w:lang w:val="en-US" w:eastAsia="zh-CN"/>
        </w:rPr>
        <w:t>5.3</w:t>
      </w:r>
      <w:r>
        <w:rPr>
          <w:rFonts w:hint="eastAsia" w:ascii="宋体" w:hAnsi="宋体" w:cs="宋体"/>
          <w:bCs/>
          <w:sz w:val="32"/>
          <w:szCs w:val="32"/>
        </w:rPr>
        <w:t>万元，完成预算的100%。项目绩效目标完成情况：</w:t>
      </w:r>
      <w:r>
        <w:rPr>
          <w:rFonts w:hint="eastAsia" w:ascii="宋体" w:hAnsi="宋体" w:cs="宋体"/>
          <w:bCs/>
          <w:sz w:val="32"/>
          <w:szCs w:val="32"/>
          <w:lang w:val="en-US" w:eastAsia="zh-CN"/>
        </w:rPr>
        <w:t>看押人员的日常消耗品、药品等物资保障。</w:t>
      </w:r>
    </w:p>
    <w:tbl>
      <w:tblPr>
        <w:tblStyle w:val="8"/>
        <w:tblW w:w="9080" w:type="dxa"/>
        <w:jc w:val="center"/>
        <w:tblLayout w:type="fixed"/>
        <w:tblCellMar>
          <w:top w:w="0" w:type="dxa"/>
          <w:left w:w="108" w:type="dxa"/>
          <w:bottom w:w="0" w:type="dxa"/>
          <w:right w:w="108" w:type="dxa"/>
        </w:tblCellMar>
      </w:tblPr>
      <w:tblGrid>
        <w:gridCol w:w="588"/>
        <w:gridCol w:w="980"/>
        <w:gridCol w:w="66"/>
        <w:gridCol w:w="1046"/>
        <w:gridCol w:w="730"/>
        <w:gridCol w:w="1134"/>
        <w:gridCol w:w="521"/>
        <w:gridCol w:w="851"/>
        <w:gridCol w:w="850"/>
        <w:gridCol w:w="46"/>
        <w:gridCol w:w="521"/>
        <w:gridCol w:w="188"/>
        <w:gridCol w:w="237"/>
        <w:gridCol w:w="614"/>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华文中宋" w:hAnsi="华文中宋" w:eastAsia="华文中宋" w:cs="华文中宋"/>
                <w:b/>
                <w:bCs/>
                <w:kern w:val="0"/>
                <w:sz w:val="28"/>
                <w:szCs w:val="28"/>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tcPr>
          <w:p>
            <w:pPr>
              <w:widowControl/>
              <w:rPr>
                <w:rFonts w:ascii="宋体" w:hAnsi="宋体" w:cs="宋体"/>
                <w:kern w:val="0"/>
                <w:sz w:val="22"/>
                <w:szCs w:val="22"/>
              </w:rPr>
            </w:pPr>
            <w:r>
              <w:rPr>
                <w:rFonts w:hint="eastAsia" w:ascii="宋体" w:hAnsi="宋体" w:cs="宋体"/>
                <w:kern w:val="0"/>
                <w:sz w:val="22"/>
                <w:szCs w:val="22"/>
              </w:rPr>
              <w:t>填列单位（公章）：                （  2021 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人犯经费</w:t>
            </w: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4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大同市公安局</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6"/>
                <w:szCs w:val="16"/>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大同市</w:t>
            </w:r>
            <w:r>
              <w:rPr>
                <w:rFonts w:hint="eastAsia" w:ascii="宋体" w:hAnsi="宋体" w:cs="宋体"/>
                <w:kern w:val="0"/>
                <w:sz w:val="18"/>
                <w:szCs w:val="18"/>
                <w:lang w:val="en-US" w:eastAsia="zh-CN"/>
              </w:rPr>
              <w:t>收容教育所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1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保障在押人员合法权益</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保障了在押人员的基本物资需求</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7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在押人员数量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不适用公开</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不适用公开</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val="en-US" w:eastAsia="zh-CN"/>
              </w:rPr>
              <w:t>在押人员合法权益</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4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按序时进度支付</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0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维护</w:t>
            </w:r>
            <w:r>
              <w:rPr>
                <w:rFonts w:hint="eastAsia" w:ascii="宋体" w:hAnsi="宋体" w:cs="宋体"/>
                <w:color w:val="000000"/>
                <w:kern w:val="0"/>
                <w:sz w:val="18"/>
                <w:szCs w:val="18"/>
                <w:lang w:val="en-US" w:eastAsia="zh-CN"/>
              </w:rPr>
              <w:t>拘押场所</w:t>
            </w:r>
            <w:r>
              <w:rPr>
                <w:rFonts w:hint="eastAsia" w:ascii="宋体" w:hAnsi="宋体" w:cs="宋体"/>
                <w:color w:val="000000"/>
                <w:kern w:val="0"/>
                <w:sz w:val="18"/>
                <w:szCs w:val="18"/>
              </w:rPr>
              <w:t>稳定</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79"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在押人员</w:t>
            </w:r>
            <w:r>
              <w:rPr>
                <w:rFonts w:hint="eastAsia" w:ascii="宋体" w:hAnsi="宋体" w:cs="宋体"/>
                <w:color w:val="000000"/>
                <w:kern w:val="0"/>
                <w:sz w:val="18"/>
                <w:szCs w:val="18"/>
              </w:rPr>
              <w:t>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0</w:t>
            </w:r>
            <w:r>
              <w:rPr>
                <w:rFonts w:hint="eastAsia" w:ascii="宋体" w:hAnsi="宋体" w:cs="宋体"/>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89</w:t>
            </w:r>
            <w:r>
              <w:rPr>
                <w:rFonts w:hint="eastAsia"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766"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自评结果分析</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项目用于</w:t>
            </w:r>
            <w:r>
              <w:rPr>
                <w:rFonts w:hint="eastAsia" w:ascii="宋体" w:hAnsi="宋体" w:cs="宋体"/>
                <w:kern w:val="0"/>
                <w:sz w:val="18"/>
                <w:szCs w:val="18"/>
                <w:lang w:val="en-US" w:eastAsia="zh-CN"/>
              </w:rPr>
              <w:t>保障在押人员合法权益</w:t>
            </w:r>
            <w:r>
              <w:rPr>
                <w:rFonts w:hint="eastAsia" w:ascii="宋体" w:hAnsi="宋体" w:cs="宋体"/>
                <w:kern w:val="0"/>
                <w:sz w:val="18"/>
                <w:szCs w:val="18"/>
              </w:rPr>
              <w:t>，全年预算</w:t>
            </w:r>
            <w:r>
              <w:rPr>
                <w:rFonts w:hint="eastAsia" w:ascii="宋体" w:hAnsi="宋体" w:cs="宋体"/>
                <w:kern w:val="0"/>
                <w:sz w:val="18"/>
                <w:szCs w:val="18"/>
                <w:lang w:val="en-US" w:eastAsia="zh-CN"/>
              </w:rPr>
              <w:t>5.3</w:t>
            </w:r>
            <w:r>
              <w:rPr>
                <w:rFonts w:hint="eastAsia" w:ascii="宋体" w:hAnsi="宋体" w:cs="宋体"/>
                <w:kern w:val="0"/>
                <w:sz w:val="18"/>
                <w:szCs w:val="18"/>
              </w:rPr>
              <w:t>万元。全年执行数</w:t>
            </w:r>
            <w:r>
              <w:rPr>
                <w:rFonts w:hint="eastAsia" w:ascii="宋体" w:hAnsi="宋体" w:cs="宋体"/>
                <w:kern w:val="0"/>
                <w:sz w:val="18"/>
                <w:szCs w:val="18"/>
                <w:lang w:val="en-US" w:eastAsia="zh-CN"/>
              </w:rPr>
              <w:t>5.3</w:t>
            </w:r>
            <w:r>
              <w:rPr>
                <w:rFonts w:hint="eastAsia" w:ascii="宋体" w:hAnsi="宋体" w:cs="宋体"/>
                <w:kern w:val="0"/>
                <w:sz w:val="18"/>
                <w:szCs w:val="18"/>
              </w:rPr>
              <w:t>万元,执行率为100%</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不适用公开</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进一步维护了</w:t>
            </w:r>
            <w:r>
              <w:rPr>
                <w:rFonts w:hint="eastAsia" w:ascii="宋体" w:hAnsi="宋体" w:cs="宋体"/>
                <w:color w:val="000000"/>
                <w:kern w:val="0"/>
                <w:sz w:val="18"/>
                <w:szCs w:val="18"/>
                <w:lang w:val="en-US" w:eastAsia="zh-CN"/>
              </w:rPr>
              <w:t>拘押场所的</w:t>
            </w:r>
            <w:r>
              <w:rPr>
                <w:rFonts w:hint="eastAsia" w:ascii="宋体" w:hAnsi="宋体" w:cs="宋体"/>
                <w:color w:val="000000"/>
                <w:kern w:val="0"/>
                <w:sz w:val="18"/>
                <w:szCs w:val="18"/>
              </w:rPr>
              <w:t>稳定。</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相关人员的满意度达到了</w:t>
            </w:r>
            <w:r>
              <w:rPr>
                <w:rFonts w:hint="eastAsia" w:ascii="宋体" w:hAnsi="宋体" w:cs="宋体"/>
                <w:color w:val="000000"/>
                <w:kern w:val="0"/>
                <w:sz w:val="18"/>
                <w:szCs w:val="18"/>
                <w:lang w:val="en-US" w:eastAsia="zh-CN"/>
              </w:rPr>
              <w:t>90</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96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主要经验做法</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按照项目资金管理办法执行，专款专用。</w:t>
            </w:r>
          </w:p>
        </w:tc>
      </w:tr>
      <w:tr>
        <w:tblPrEx>
          <w:tblCellMar>
            <w:top w:w="0" w:type="dxa"/>
            <w:left w:w="108" w:type="dxa"/>
            <w:bottom w:w="0" w:type="dxa"/>
            <w:right w:w="108" w:type="dxa"/>
          </w:tblCellMar>
        </w:tblPrEx>
        <w:trPr>
          <w:trHeight w:val="78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项目管理中存在的</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主要问题及原因分析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2340" w:firstLineChars="1300"/>
              <w:jc w:val="both"/>
              <w:rPr>
                <w:rFonts w:ascii="宋体" w:hAnsi="宋体" w:cs="宋体"/>
                <w:kern w:val="0"/>
                <w:sz w:val="18"/>
                <w:szCs w:val="18"/>
              </w:rPr>
            </w:pPr>
            <w:r>
              <w:rPr>
                <w:rFonts w:hint="eastAsia" w:ascii="宋体" w:hAnsi="宋体" w:cs="宋体"/>
                <w:kern w:val="0"/>
                <w:sz w:val="18"/>
                <w:szCs w:val="18"/>
              </w:rPr>
              <w:t>加强管理</w:t>
            </w:r>
            <w:r>
              <w:rPr>
                <w:rFonts w:hint="eastAsia" w:ascii="宋体" w:hAnsi="宋体" w:cs="宋体"/>
                <w:kern w:val="0"/>
                <w:sz w:val="18"/>
                <w:szCs w:val="18"/>
                <w:lang w:eastAsia="zh-CN"/>
              </w:rPr>
              <w:t>，</w:t>
            </w:r>
            <w:r>
              <w:rPr>
                <w:rFonts w:hint="eastAsia" w:ascii="宋体" w:hAnsi="宋体" w:cs="宋体"/>
                <w:kern w:val="0"/>
                <w:sz w:val="18"/>
                <w:szCs w:val="18"/>
              </w:rPr>
              <w:t>完善流程。</w:t>
            </w:r>
          </w:p>
        </w:tc>
      </w:tr>
      <w:tr>
        <w:tblPrEx>
          <w:tblCellMar>
            <w:top w:w="0" w:type="dxa"/>
            <w:left w:w="108" w:type="dxa"/>
            <w:bottom w:w="0" w:type="dxa"/>
            <w:right w:w="108" w:type="dxa"/>
          </w:tblCellMar>
        </w:tblPrEx>
        <w:trPr>
          <w:trHeight w:val="103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下一步改进措施及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管理建议</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加强管理，提高协调合作。</w:t>
            </w:r>
          </w:p>
        </w:tc>
      </w:tr>
    </w:tbl>
    <w:p>
      <w:pPr>
        <w:spacing w:line="580" w:lineRule="exact"/>
        <w:ind w:firstLine="640" w:firstLineChars="200"/>
        <w:rPr>
          <w:rFonts w:hint="default" w:ascii="宋体" w:hAnsi="宋体" w:eastAsia="宋体" w:cs="宋体"/>
          <w:bCs/>
          <w:sz w:val="32"/>
          <w:szCs w:val="32"/>
          <w:lang w:val="en-US" w:eastAsia="zh-CN"/>
        </w:rPr>
      </w:pPr>
      <w:r>
        <w:rPr>
          <w:rFonts w:hint="eastAsia" w:ascii="宋体" w:hAnsi="宋体" w:cs="宋体"/>
          <w:kern w:val="0"/>
          <w:sz w:val="32"/>
          <w:szCs w:val="32"/>
        </w:rPr>
        <w:t>2、</w:t>
      </w:r>
      <w:r>
        <w:rPr>
          <w:rFonts w:hint="eastAsia" w:ascii="宋体" w:hAnsi="宋体" w:cs="宋体"/>
          <w:kern w:val="0"/>
          <w:sz w:val="32"/>
          <w:szCs w:val="32"/>
          <w:lang w:val="en-US" w:eastAsia="zh-CN"/>
        </w:rPr>
        <w:t>专项业务费</w:t>
      </w:r>
      <w:r>
        <w:rPr>
          <w:rFonts w:hint="eastAsia" w:ascii="宋体" w:hAnsi="宋体" w:cs="宋体"/>
          <w:bCs/>
          <w:sz w:val="32"/>
          <w:szCs w:val="32"/>
        </w:rPr>
        <w:t>自评综述：根据年初设定的绩效目标，项目自评得分为95分。全年预算数为</w:t>
      </w:r>
      <w:r>
        <w:rPr>
          <w:rFonts w:hint="eastAsia" w:ascii="宋体" w:hAnsi="宋体" w:cs="宋体"/>
          <w:bCs/>
          <w:sz w:val="32"/>
          <w:szCs w:val="32"/>
          <w:lang w:val="en-US" w:eastAsia="zh-CN"/>
        </w:rPr>
        <w:t>20.73</w:t>
      </w:r>
      <w:r>
        <w:rPr>
          <w:rFonts w:hint="eastAsia" w:ascii="宋体" w:hAnsi="宋体" w:cs="宋体"/>
          <w:bCs/>
          <w:sz w:val="32"/>
          <w:szCs w:val="32"/>
        </w:rPr>
        <w:t>万元，执行数为</w:t>
      </w:r>
      <w:r>
        <w:rPr>
          <w:rFonts w:hint="eastAsia" w:ascii="宋体" w:hAnsi="宋体" w:cs="宋体"/>
          <w:bCs/>
          <w:sz w:val="32"/>
          <w:szCs w:val="32"/>
          <w:lang w:val="en-US" w:eastAsia="zh-CN"/>
        </w:rPr>
        <w:t>20.73</w:t>
      </w:r>
      <w:r>
        <w:rPr>
          <w:rFonts w:hint="eastAsia" w:ascii="宋体" w:hAnsi="宋体" w:cs="宋体"/>
          <w:bCs/>
          <w:sz w:val="32"/>
          <w:szCs w:val="32"/>
        </w:rPr>
        <w:t>万元，完成预算的</w:t>
      </w:r>
      <w:r>
        <w:rPr>
          <w:rFonts w:hint="eastAsia" w:ascii="宋体" w:hAnsi="宋体" w:cs="宋体"/>
          <w:bCs/>
          <w:sz w:val="32"/>
          <w:szCs w:val="32"/>
          <w:lang w:val="en-US" w:eastAsia="zh-CN"/>
        </w:rPr>
        <w:t>100</w:t>
      </w:r>
      <w:r>
        <w:rPr>
          <w:rFonts w:hint="eastAsia" w:ascii="宋体" w:hAnsi="宋体" w:cs="宋体"/>
          <w:bCs/>
          <w:sz w:val="32"/>
          <w:szCs w:val="32"/>
        </w:rPr>
        <w:t>%.项目绩效目标完成情况：保障</w:t>
      </w:r>
      <w:r>
        <w:rPr>
          <w:rFonts w:hint="eastAsia" w:ascii="宋体" w:hAnsi="宋体" w:cs="宋体"/>
          <w:bCs/>
          <w:sz w:val="32"/>
          <w:szCs w:val="32"/>
          <w:lang w:val="en-US" w:eastAsia="zh-CN"/>
        </w:rPr>
        <w:t>拘押场所</w:t>
      </w:r>
      <w:r>
        <w:rPr>
          <w:rFonts w:hint="eastAsia" w:ascii="宋体" w:hAnsi="宋体" w:cs="宋体"/>
          <w:bCs/>
          <w:sz w:val="32"/>
          <w:szCs w:val="32"/>
        </w:rPr>
        <w:t>正常运</w:t>
      </w:r>
      <w:r>
        <w:rPr>
          <w:rFonts w:hint="eastAsia" w:ascii="宋体" w:hAnsi="宋体" w:cs="宋体"/>
          <w:bCs/>
          <w:sz w:val="32"/>
          <w:szCs w:val="32"/>
          <w:lang w:val="en-US" w:eastAsia="zh-CN"/>
        </w:rPr>
        <w:t>转</w:t>
      </w:r>
      <w:r>
        <w:rPr>
          <w:rFonts w:hint="eastAsia" w:ascii="宋体" w:hAnsi="宋体" w:cs="宋体"/>
          <w:bCs/>
          <w:sz w:val="32"/>
          <w:szCs w:val="32"/>
          <w:lang w:eastAsia="zh-CN"/>
        </w:rPr>
        <w:t>。</w:t>
      </w:r>
    </w:p>
    <w:tbl>
      <w:tblPr>
        <w:tblStyle w:val="8"/>
        <w:tblW w:w="9080" w:type="dxa"/>
        <w:jc w:val="center"/>
        <w:tblLayout w:type="fixed"/>
        <w:tblCellMar>
          <w:top w:w="0" w:type="dxa"/>
          <w:left w:w="108" w:type="dxa"/>
          <w:bottom w:w="0" w:type="dxa"/>
          <w:right w:w="108" w:type="dxa"/>
        </w:tblCellMar>
      </w:tblPr>
      <w:tblGrid>
        <w:gridCol w:w="588"/>
        <w:gridCol w:w="650"/>
        <w:gridCol w:w="567"/>
        <w:gridCol w:w="65"/>
        <w:gridCol w:w="1540"/>
        <w:gridCol w:w="1134"/>
        <w:gridCol w:w="521"/>
        <w:gridCol w:w="851"/>
        <w:gridCol w:w="850"/>
        <w:gridCol w:w="46"/>
        <w:gridCol w:w="521"/>
        <w:gridCol w:w="188"/>
        <w:gridCol w:w="237"/>
        <w:gridCol w:w="614"/>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华文中宋" w:hAnsi="华文中宋" w:eastAsia="华文中宋" w:cs="华文中宋"/>
                <w:b/>
                <w:bCs/>
                <w:kern w:val="0"/>
                <w:sz w:val="28"/>
                <w:szCs w:val="28"/>
              </w:rPr>
              <w:t>项目支出绩效自评</w:t>
            </w:r>
            <w:r>
              <w:rPr>
                <w:rFonts w:hint="eastAsia" w:ascii="华文中宋" w:hAnsi="华文中宋" w:eastAsia="华文中宋" w:cs="华文中宋"/>
                <w:b/>
                <w:bCs/>
                <w:kern w:val="0"/>
                <w:sz w:val="36"/>
                <w:szCs w:val="36"/>
              </w:rPr>
              <w:t>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tcPr>
          <w:p>
            <w:pPr>
              <w:widowControl/>
              <w:rPr>
                <w:rFonts w:ascii="宋体" w:hAnsi="宋体" w:cs="宋体"/>
                <w:kern w:val="0"/>
                <w:sz w:val="22"/>
                <w:szCs w:val="22"/>
              </w:rPr>
            </w:pPr>
            <w:r>
              <w:rPr>
                <w:rFonts w:hint="eastAsia" w:ascii="宋体" w:hAnsi="宋体" w:cs="宋体"/>
                <w:kern w:val="0"/>
                <w:sz w:val="22"/>
                <w:szCs w:val="22"/>
              </w:rPr>
              <w:t>填列单位（公章）：                （   2021 年度）</w:t>
            </w:r>
          </w:p>
        </w:tc>
      </w:tr>
      <w:tr>
        <w:tblPrEx>
          <w:tblCellMar>
            <w:top w:w="0" w:type="dxa"/>
            <w:left w:w="108" w:type="dxa"/>
            <w:bottom w:w="0" w:type="dxa"/>
            <w:right w:w="108" w:type="dxa"/>
          </w:tblCellMar>
        </w:tblPrEx>
        <w:trPr>
          <w:trHeight w:val="320" w:hRule="exact"/>
          <w:jc w:val="center"/>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专项业务费</w:t>
            </w:r>
          </w:p>
        </w:tc>
      </w:tr>
      <w:tr>
        <w:tblPrEx>
          <w:tblCellMar>
            <w:top w:w="0" w:type="dxa"/>
            <w:left w:w="108" w:type="dxa"/>
            <w:bottom w:w="0" w:type="dxa"/>
            <w:right w:w="108" w:type="dxa"/>
          </w:tblCellMar>
        </w:tblPrEx>
        <w:trPr>
          <w:trHeight w:val="380" w:hRule="exact"/>
          <w:jc w:val="center"/>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7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大同市公安局</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大同市收容教育所</w:t>
            </w:r>
          </w:p>
        </w:tc>
      </w:tr>
      <w:tr>
        <w:tblPrEx>
          <w:tblCellMar>
            <w:top w:w="0" w:type="dxa"/>
            <w:left w:w="108" w:type="dxa"/>
            <w:bottom w:w="0" w:type="dxa"/>
            <w:right w:w="108" w:type="dxa"/>
          </w:tblCellMar>
        </w:tblPrEx>
        <w:trPr>
          <w:trHeight w:val="300" w:hRule="exact"/>
          <w:jc w:val="center"/>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20.73</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20.73</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20.73</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180" w:firstLineChars="100"/>
              <w:jc w:val="both"/>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720" w:firstLineChars="40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保障拘押场所正常运行</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保障了拘押场所正常运行</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拘押场所数量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val="en-US" w:eastAsia="zh-CN"/>
              </w:rPr>
              <w:t>拘押场所的</w:t>
            </w:r>
            <w:r>
              <w:rPr>
                <w:rFonts w:hint="eastAsia" w:ascii="宋体" w:hAnsi="宋体" w:cs="宋体"/>
                <w:color w:val="000000"/>
                <w:kern w:val="0"/>
                <w:sz w:val="18"/>
                <w:szCs w:val="18"/>
              </w:rPr>
              <w:t>正常运行</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按实际支出支付</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专项业务费</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20.73</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20.73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维护</w:t>
            </w:r>
            <w:r>
              <w:rPr>
                <w:rFonts w:hint="eastAsia" w:ascii="宋体" w:hAnsi="宋体" w:cs="宋体"/>
                <w:color w:val="000000"/>
                <w:kern w:val="0"/>
                <w:sz w:val="18"/>
                <w:szCs w:val="18"/>
                <w:lang w:val="en-US" w:eastAsia="zh-CN"/>
              </w:rPr>
              <w:t>拘押场所</w:t>
            </w:r>
            <w:r>
              <w:rPr>
                <w:rFonts w:hint="eastAsia" w:ascii="宋体" w:hAnsi="宋体" w:cs="宋体"/>
                <w:color w:val="000000"/>
                <w:kern w:val="0"/>
                <w:sz w:val="18"/>
                <w:szCs w:val="18"/>
              </w:rPr>
              <w:t>秩序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全体人员</w:t>
            </w:r>
            <w:r>
              <w:rPr>
                <w:rFonts w:hint="eastAsia" w:ascii="宋体" w:hAnsi="宋体" w:cs="宋体"/>
                <w:color w:val="000000"/>
                <w:kern w:val="0"/>
                <w:sz w:val="18"/>
                <w:szCs w:val="18"/>
              </w:rPr>
              <w:t>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766"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项目绩效分析</w:t>
            </w: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自评结果分析</w:t>
            </w: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项目用于</w:t>
            </w:r>
            <w:r>
              <w:rPr>
                <w:rFonts w:hint="eastAsia" w:ascii="宋体" w:hAnsi="宋体" w:cs="宋体"/>
                <w:kern w:val="0"/>
                <w:sz w:val="18"/>
                <w:szCs w:val="18"/>
                <w:lang w:val="en-US" w:eastAsia="zh-CN"/>
              </w:rPr>
              <w:t>专项业务费</w:t>
            </w:r>
            <w:r>
              <w:rPr>
                <w:rFonts w:hint="eastAsia" w:ascii="宋体" w:hAnsi="宋体" w:cs="宋体"/>
                <w:kern w:val="0"/>
                <w:sz w:val="18"/>
                <w:szCs w:val="18"/>
              </w:rPr>
              <w:t>，全年预算</w:t>
            </w:r>
            <w:r>
              <w:rPr>
                <w:rFonts w:hint="eastAsia" w:ascii="宋体" w:hAnsi="宋体" w:cs="宋体"/>
                <w:kern w:val="0"/>
                <w:sz w:val="18"/>
                <w:szCs w:val="18"/>
                <w:lang w:val="en-US" w:eastAsia="zh-CN"/>
              </w:rPr>
              <w:t>20.73</w:t>
            </w:r>
            <w:r>
              <w:rPr>
                <w:rFonts w:hint="eastAsia" w:ascii="宋体" w:hAnsi="宋体" w:cs="宋体"/>
                <w:kern w:val="0"/>
                <w:sz w:val="18"/>
                <w:szCs w:val="18"/>
              </w:rPr>
              <w:t>万元，全年执行支出</w:t>
            </w:r>
            <w:r>
              <w:rPr>
                <w:rFonts w:hint="eastAsia" w:ascii="宋体" w:hAnsi="宋体" w:cs="宋体"/>
                <w:kern w:val="0"/>
                <w:sz w:val="18"/>
                <w:szCs w:val="18"/>
                <w:lang w:val="en-US" w:eastAsia="zh-CN"/>
              </w:rPr>
              <w:t>20.73</w:t>
            </w:r>
            <w:r>
              <w:rPr>
                <w:rFonts w:hint="eastAsia" w:ascii="宋体" w:hAnsi="宋体" w:cs="宋体"/>
                <w:kern w:val="0"/>
                <w:sz w:val="18"/>
                <w:szCs w:val="18"/>
              </w:rPr>
              <w:t>万元，执行率</w:t>
            </w:r>
            <w:r>
              <w:rPr>
                <w:rFonts w:hint="eastAsia" w:ascii="宋体" w:hAnsi="宋体" w:cs="宋体"/>
                <w:kern w:val="0"/>
                <w:sz w:val="18"/>
                <w:szCs w:val="18"/>
                <w:lang w:val="en-US" w:eastAsia="zh-CN"/>
              </w:rPr>
              <w:t>100</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按实际支出执行</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确保</w:t>
            </w:r>
            <w:r>
              <w:rPr>
                <w:rFonts w:hint="eastAsia" w:ascii="宋体" w:hAnsi="宋体" w:cs="宋体"/>
                <w:color w:val="000000"/>
                <w:kern w:val="0"/>
                <w:sz w:val="18"/>
                <w:szCs w:val="18"/>
                <w:lang w:val="en-US" w:eastAsia="zh-CN"/>
              </w:rPr>
              <w:t>了拘押场所</w:t>
            </w:r>
            <w:r>
              <w:rPr>
                <w:rFonts w:hint="eastAsia" w:ascii="宋体" w:hAnsi="宋体" w:cs="宋体"/>
                <w:color w:val="000000"/>
                <w:kern w:val="0"/>
                <w:sz w:val="18"/>
                <w:szCs w:val="18"/>
              </w:rPr>
              <w:t>的秩序。</w:t>
            </w:r>
          </w:p>
        </w:tc>
      </w:tr>
      <w:tr>
        <w:tblPrEx>
          <w:tblCellMar>
            <w:top w:w="0" w:type="dxa"/>
            <w:left w:w="108" w:type="dxa"/>
            <w:bottom w:w="0" w:type="dxa"/>
            <w:right w:w="108" w:type="dxa"/>
          </w:tblCellMar>
        </w:tblPrEx>
        <w:trPr>
          <w:trHeight w:val="1543"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全体人员</w:t>
            </w:r>
            <w:r>
              <w:rPr>
                <w:rFonts w:hint="eastAsia" w:ascii="宋体" w:hAnsi="宋体" w:cs="宋体"/>
                <w:color w:val="000000"/>
                <w:kern w:val="0"/>
                <w:sz w:val="18"/>
                <w:szCs w:val="18"/>
              </w:rPr>
              <w:t>满意度度为95%</w:t>
            </w:r>
          </w:p>
        </w:tc>
      </w:tr>
      <w:tr>
        <w:tblPrEx>
          <w:tblCellMar>
            <w:top w:w="0" w:type="dxa"/>
            <w:left w:w="108" w:type="dxa"/>
            <w:bottom w:w="0" w:type="dxa"/>
            <w:right w:w="108" w:type="dxa"/>
          </w:tblCellMar>
        </w:tblPrEx>
        <w:trPr>
          <w:trHeight w:val="1011"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主要经验做法</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专款专用，按</w:t>
            </w:r>
            <w:r>
              <w:rPr>
                <w:rFonts w:hint="eastAsia" w:ascii="宋体" w:hAnsi="宋体" w:cs="宋体"/>
                <w:kern w:val="0"/>
                <w:sz w:val="18"/>
                <w:szCs w:val="18"/>
                <w:lang w:val="en-US" w:eastAsia="zh-CN"/>
              </w:rPr>
              <w:t>实际支出</w:t>
            </w:r>
            <w:r>
              <w:rPr>
                <w:rFonts w:hint="eastAsia" w:ascii="宋体" w:hAnsi="宋体" w:cs="宋体"/>
                <w:kern w:val="0"/>
                <w:sz w:val="18"/>
                <w:szCs w:val="18"/>
              </w:rPr>
              <w:t>支付</w:t>
            </w:r>
          </w:p>
        </w:tc>
      </w:tr>
      <w:tr>
        <w:tblPrEx>
          <w:tblCellMar>
            <w:top w:w="0" w:type="dxa"/>
            <w:left w:w="108" w:type="dxa"/>
            <w:bottom w:w="0" w:type="dxa"/>
            <w:right w:w="108" w:type="dxa"/>
          </w:tblCellMar>
        </w:tblPrEx>
        <w:trPr>
          <w:trHeight w:val="98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项目管理中存在的</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主要问题及原因分析</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tblPrEx>
          <w:tblCellMar>
            <w:top w:w="0" w:type="dxa"/>
            <w:left w:w="108" w:type="dxa"/>
            <w:bottom w:w="0" w:type="dxa"/>
            <w:right w:w="108" w:type="dxa"/>
          </w:tblCellMar>
        </w:tblPrEx>
        <w:trPr>
          <w:trHeight w:val="103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下一步改进措施及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管理建议</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无</w:t>
            </w:r>
          </w:p>
        </w:tc>
      </w:tr>
    </w:tbl>
    <w:p>
      <w:pPr>
        <w:spacing w:line="580" w:lineRule="exact"/>
        <w:rPr>
          <w:rFonts w:ascii="宋体" w:hAnsi="宋体" w:cs="宋体"/>
          <w:bCs/>
          <w:sz w:val="32"/>
          <w:szCs w:val="32"/>
        </w:rPr>
      </w:pPr>
    </w:p>
    <w:p>
      <w:pPr>
        <w:pStyle w:val="7"/>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7"/>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7"/>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7"/>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7"/>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7"/>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7"/>
        <w:numPr>
          <w:ilvl w:val="0"/>
          <w:numId w:val="2"/>
        </w:numPr>
        <w:shd w:val="clear" w:color="auto" w:fill="FFFFFF"/>
        <w:spacing w:before="0" w:beforeAutospacing="0" w:after="0" w:afterAutospacing="0" w:line="580" w:lineRule="exact"/>
        <w:ind w:firstLine="2808" w:firstLineChars="780"/>
        <w:jc w:val="both"/>
        <w:rPr>
          <w:rFonts w:hint="eastAsia" w:cs="Arial" w:asciiTheme="minorEastAsia" w:hAnsiTheme="minorEastAsia" w:eastAsiaTheme="minorEastAsia"/>
          <w:b/>
          <w:color w:val="000000"/>
          <w:sz w:val="36"/>
          <w:szCs w:val="36"/>
        </w:rPr>
      </w:pPr>
      <w:r>
        <w:rPr>
          <w:rFonts w:hint="eastAsia" w:ascii="黑体" w:hAnsi="黑体" w:eastAsia="黑体" w:cs="黑体"/>
          <w:b w:val="0"/>
          <w:bCs/>
          <w:color w:val="000000"/>
          <w:sz w:val="36"/>
          <w:szCs w:val="36"/>
        </w:rPr>
        <w:t xml:space="preserve"> 名词解释</w:t>
      </w:r>
      <w:r>
        <w:rPr>
          <w:rFonts w:hint="eastAsia" w:cs="Arial" w:asciiTheme="minorEastAsia" w:hAnsiTheme="minorEastAsia" w:eastAsiaTheme="minorEastAsia"/>
          <w:b/>
          <w:color w:val="000000"/>
          <w:sz w:val="36"/>
          <w:szCs w:val="36"/>
        </w:rPr>
        <w:t xml:space="preserve"> </w:t>
      </w:r>
    </w:p>
    <w:p>
      <w:pPr>
        <w:numPr>
          <w:ilvl w:val="0"/>
          <w:numId w:val="0"/>
        </w:numPr>
        <w:ind w:leftChars="0" w:firstLine="640" w:firstLineChars="200"/>
        <w:rPr>
          <w:rFonts w:hint="eastAsia" w:ascii="宋体" w:hAnsi="宋体" w:eastAsia="宋体" w:cs="宋体"/>
          <w:sz w:val="32"/>
          <w:szCs w:val="32"/>
        </w:rPr>
      </w:pPr>
      <w:r>
        <w:rPr>
          <w:rFonts w:hint="eastAsia" w:ascii="宋体" w:hAnsi="宋体" w:cs="宋体"/>
          <w:b/>
          <w:bCs/>
          <w:sz w:val="32"/>
          <w:szCs w:val="32"/>
          <w:lang w:val="en-US" w:eastAsia="zh-CN"/>
        </w:rPr>
        <w:t>一、</w:t>
      </w:r>
      <w:r>
        <w:rPr>
          <w:rFonts w:hint="eastAsia" w:ascii="宋体" w:hAnsi="宋体" w:eastAsia="宋体" w:cs="宋体"/>
          <w:b/>
          <w:bCs/>
          <w:sz w:val="32"/>
          <w:szCs w:val="32"/>
        </w:rPr>
        <w:t>财政拨款收入：</w:t>
      </w:r>
      <w:r>
        <w:rPr>
          <w:rFonts w:hint="eastAsia" w:ascii="宋体" w:hAnsi="宋体" w:eastAsia="宋体" w:cs="宋体"/>
          <w:sz w:val="32"/>
          <w:szCs w:val="32"/>
        </w:rPr>
        <w:t>指单位从同级财政部门取得的财政预算资金。</w:t>
      </w:r>
    </w:p>
    <w:p>
      <w:pPr>
        <w:numPr>
          <w:ilvl w:val="0"/>
          <w:numId w:val="0"/>
        </w:numPr>
        <w:ind w:leftChars="0" w:firstLine="643" w:firstLineChars="200"/>
        <w:rPr>
          <w:rFonts w:hint="eastAsia" w:ascii="宋体" w:hAnsi="宋体" w:eastAsia="宋体" w:cs="宋体"/>
          <w:sz w:val="32"/>
          <w:szCs w:val="32"/>
        </w:rPr>
      </w:pPr>
      <w:r>
        <w:rPr>
          <w:rFonts w:hint="eastAsia" w:ascii="宋体" w:hAnsi="宋体" w:eastAsia="宋体" w:cs="宋体"/>
          <w:b/>
          <w:bCs/>
          <w:sz w:val="32"/>
          <w:szCs w:val="32"/>
        </w:rPr>
        <w:t>二、事业收入：</w:t>
      </w:r>
      <w:r>
        <w:rPr>
          <w:rFonts w:hint="eastAsia" w:ascii="宋体" w:hAnsi="宋体" w:eastAsia="宋体" w:cs="宋体"/>
          <w:sz w:val="32"/>
          <w:szCs w:val="32"/>
        </w:rPr>
        <w:t>指事业单位开展专业业务活动及辅助活动取得的收入。</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三、经营收入：</w:t>
      </w:r>
      <w:r>
        <w:rPr>
          <w:rFonts w:hint="eastAsia" w:ascii="宋体" w:hAnsi="宋体" w:eastAsia="宋体" w:cs="宋体"/>
          <w:sz w:val="32"/>
          <w:szCs w:val="32"/>
        </w:rPr>
        <w:t>指事业单位在专业业务活动及其辅助活动之外开展非独立核算经营活动取得的收入。</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四、其他收入：</w:t>
      </w:r>
      <w:r>
        <w:rPr>
          <w:rFonts w:hint="eastAsia" w:ascii="宋体" w:hAnsi="宋体" w:eastAsia="宋体" w:cs="宋体"/>
          <w:sz w:val="32"/>
          <w:szCs w:val="32"/>
        </w:rPr>
        <w:t>指单位取得的除上述收入以外的各项收入。主要是事业单位固定资产出租收入、存款利息收入等。</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五、使用非财政拨款结余：</w:t>
      </w:r>
      <w:r>
        <w:rPr>
          <w:rFonts w:hint="eastAsia" w:ascii="宋体" w:hAnsi="宋体" w:eastAsia="宋体" w:cs="宋体"/>
          <w:sz w:val="32"/>
          <w:szCs w:val="32"/>
        </w:rPr>
        <w:t>指事业单位使用以前年度积累的非财政拨款结余弥补当年收支差额的金额。</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六、年初结转和结余：</w:t>
      </w:r>
      <w:r>
        <w:rPr>
          <w:rFonts w:hint="eastAsia" w:ascii="宋体" w:hAnsi="宋体" w:eastAsia="宋体" w:cs="宋体"/>
          <w:sz w:val="32"/>
          <w:szCs w:val="32"/>
        </w:rPr>
        <w:t>指单位以前年度尚未完成、结转到本年仍按原规定用途继续使用的资金，或项目已完成等产生的结余资金。</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七、结余分配：</w:t>
      </w:r>
      <w:r>
        <w:rPr>
          <w:rFonts w:hint="eastAsia" w:ascii="宋体" w:hAnsi="宋体" w:eastAsia="宋体" w:cs="宋体"/>
          <w:sz w:val="32"/>
          <w:szCs w:val="32"/>
        </w:rPr>
        <w:t>指事业单位按照会计制度规定缴纳的所得税、提取的专用结余以及转入非财政拨款结余的金额等。</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八、年末结转和结余：</w:t>
      </w:r>
      <w:r>
        <w:rPr>
          <w:rFonts w:hint="eastAsia" w:ascii="宋体" w:hAnsi="宋体" w:eastAsia="宋体" w:cs="宋体"/>
          <w:sz w:val="32"/>
          <w:szCs w:val="32"/>
        </w:rPr>
        <w:t>指单位按有关规定结转到下年或以后年度继续使用的资金，或项目已完成等产生的结余资金。</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九、基本支出：</w:t>
      </w:r>
      <w:r>
        <w:rPr>
          <w:rFonts w:hint="eastAsia" w:ascii="宋体" w:hAnsi="宋体" w:eastAsia="宋体" w:cs="宋体"/>
          <w:sz w:val="32"/>
          <w:szCs w:val="32"/>
        </w:rPr>
        <w:t>指为保障机构正常运转、完成日常工作任务而发生的人员支出和公用支出。</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十、项目支出：</w:t>
      </w:r>
      <w:r>
        <w:rPr>
          <w:rFonts w:hint="eastAsia" w:ascii="宋体" w:hAnsi="宋体" w:eastAsia="宋体" w:cs="宋体"/>
          <w:sz w:val="32"/>
          <w:szCs w:val="32"/>
        </w:rPr>
        <w:t>指在基本支出之外为完成特定行政任务和事业发展目标所发生的支出。</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十一、“三公”经费：</w:t>
      </w:r>
      <w:r>
        <w:rPr>
          <w:rFonts w:hint="eastAsia" w:ascii="宋体" w:hAnsi="宋体" w:eastAsia="宋体" w:cs="宋体"/>
          <w:sz w:val="32"/>
          <w:szCs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十二、机关运行经费：</w:t>
      </w:r>
      <w:r>
        <w:rPr>
          <w:rFonts w:hint="eastAsia" w:ascii="宋体" w:hAnsi="宋体" w:eastAsia="宋体" w:cs="宋体"/>
          <w:sz w:val="32"/>
          <w:szCs w:val="32"/>
        </w:rPr>
        <w:t>指行政单位和参照公务员法管理的事业单位使用一般公共预算安排的基本支出中的日常公用经费支出。</w:t>
      </w:r>
    </w:p>
    <w:p>
      <w:pPr>
        <w:rPr>
          <w:rFonts w:hint="eastAsia" w:ascii="宋体" w:hAnsi="宋体" w:eastAsia="宋体" w:cs="宋体"/>
          <w:sz w:val="32"/>
          <w:szCs w:val="32"/>
        </w:rPr>
      </w:pPr>
      <w:r>
        <w:rPr>
          <w:rFonts w:hint="eastAsia" w:ascii="宋体" w:hAnsi="宋体" w:eastAsia="宋体" w:cs="宋体"/>
          <w:sz w:val="32"/>
          <w:szCs w:val="32"/>
        </w:rPr>
        <w:t xml:space="preserve">            </w:t>
      </w:r>
    </w:p>
    <w:p>
      <w:pPr>
        <w:pStyle w:val="7"/>
        <w:numPr>
          <w:ilvl w:val="0"/>
          <w:numId w:val="0"/>
        </w:numPr>
        <w:shd w:val="clear" w:color="auto" w:fill="FFFFFF"/>
        <w:spacing w:before="0" w:beforeAutospacing="0" w:after="0" w:afterAutospacing="0" w:line="580" w:lineRule="exact"/>
        <w:jc w:val="both"/>
        <w:rPr>
          <w:rFonts w:cs="Arial" w:asciiTheme="minorEastAsia" w:hAnsiTheme="minorEastAsia" w:eastAsiaTheme="minorEastAsia"/>
          <w:b/>
          <w:color w:val="000000"/>
          <w:sz w:val="36"/>
          <w:szCs w:val="36"/>
        </w:rPr>
      </w:pPr>
      <w:r>
        <w:rPr>
          <w:rFonts w:hint="eastAsia" w:cs="Arial" w:asciiTheme="minorEastAsia" w:hAnsiTheme="minorEastAsia" w:eastAsiaTheme="minorEastAsia"/>
          <w:b/>
          <w:color w:val="000000"/>
          <w:sz w:val="36"/>
          <w:szCs w:val="36"/>
        </w:rPr>
        <w:t xml:space="preserve"> </w:t>
      </w:r>
    </w:p>
    <w:p>
      <w:pPr>
        <w:pStyle w:val="7"/>
        <w:shd w:val="clear" w:color="auto" w:fill="FFFFFF"/>
        <w:spacing w:line="580" w:lineRule="exact"/>
        <w:ind w:firstLine="3600" w:firstLineChars="1000"/>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第五部分  附件</w:t>
      </w:r>
    </w:p>
    <w:p>
      <w:pPr>
        <w:pStyle w:val="7"/>
        <w:shd w:val="clear" w:color="auto" w:fill="FFFFFF"/>
        <w:spacing w:before="0" w:beforeAutospacing="0" w:after="0" w:afterAutospacing="0" w:line="580" w:lineRule="exact"/>
        <w:ind w:firstLine="640" w:firstLineChars="200"/>
        <w:jc w:val="both"/>
        <w:rPr>
          <w:rFonts w:hint="eastAsia" w:asciiTheme="minorEastAsia" w:hAnsiTheme="minorEastAsia" w:eastAsiaTheme="minorEastAsia"/>
          <w:sz w:val="32"/>
          <w:szCs w:val="32"/>
          <w:lang w:eastAsia="zh-CN"/>
        </w:rPr>
      </w:pPr>
      <w:r>
        <w:rPr>
          <w:rFonts w:hint="eastAsia" w:cs="Arial" w:asciiTheme="minorEastAsia" w:hAnsiTheme="minorEastAsia" w:eastAsiaTheme="minorEastAsia"/>
          <w:color w:val="000000"/>
          <w:sz w:val="32"/>
          <w:szCs w:val="20"/>
        </w:rPr>
        <w:t>我单位无需要其他说明的事项</w:t>
      </w:r>
      <w:r>
        <w:rPr>
          <w:rFonts w:hint="eastAsia" w:cs="Arial" w:asciiTheme="minorEastAsia" w:hAnsiTheme="minorEastAsia" w:eastAsiaTheme="minorEastAsia"/>
          <w:color w:val="000000"/>
          <w:sz w:val="32"/>
          <w:szCs w:val="20"/>
          <w:lang w:eastAsia="zh-CN"/>
        </w:rPr>
        <w:t>。</w:t>
      </w:r>
    </w:p>
    <w:p>
      <w:pPr>
        <w:wordWrap w:val="0"/>
        <w:spacing w:line="580" w:lineRule="exact"/>
        <w:jc w:val="center"/>
        <w:rPr>
          <w:rFonts w:ascii="仿宋_GB2312" w:eastAsia="仿宋_GB2312"/>
          <w:sz w:val="32"/>
          <w:szCs w:val="32"/>
        </w:rPr>
      </w:pPr>
      <w:r>
        <w:rPr>
          <w:rFonts w:hint="eastAsia" w:ascii="仿宋_GB2312" w:eastAsia="仿宋_GB2312"/>
          <w:sz w:val="32"/>
          <w:szCs w:val="32"/>
        </w:rPr>
        <w:t xml:space="preserve">                          </w:t>
      </w:r>
    </w:p>
    <w:p>
      <w:pPr>
        <w:wordWrap w:val="0"/>
        <w:spacing w:line="580" w:lineRule="exact"/>
        <w:jc w:val="center"/>
        <w:rPr>
          <w:rFonts w:ascii="仿宋_GB2312" w:eastAsia="仿宋_GB2312"/>
          <w:sz w:val="32"/>
          <w:szCs w:val="32"/>
        </w:rPr>
      </w:pPr>
    </w:p>
    <w:p>
      <w:pPr>
        <w:wordWrap w:val="0"/>
        <w:spacing w:line="580" w:lineRule="exact"/>
        <w:jc w:val="center"/>
        <w:rPr>
          <w:sz w:val="10"/>
          <w:szCs w:val="10"/>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Theme="minorEastAsia" w:hAnsiTheme="minorEastAsia" w:eastAsiaTheme="minorEastAsia"/>
          <w:sz w:val="32"/>
          <w:szCs w:val="32"/>
        </w:rPr>
        <w:t xml:space="preserve"> 大同市</w:t>
      </w:r>
      <w:r>
        <w:rPr>
          <w:rFonts w:hint="eastAsia" w:asciiTheme="minorEastAsia" w:hAnsiTheme="minorEastAsia" w:eastAsiaTheme="minorEastAsia"/>
          <w:sz w:val="32"/>
          <w:szCs w:val="32"/>
          <w:lang w:val="en-US" w:eastAsia="zh-CN"/>
        </w:rPr>
        <w:t>收容教育所</w:t>
      </w: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2022年7月2</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日</w:t>
      </w:r>
    </w:p>
    <w:p>
      <w:pPr>
        <w:rPr>
          <w:sz w:val="10"/>
          <w:szCs w:val="10"/>
        </w:rPr>
      </w:pPr>
    </w:p>
    <w:p>
      <w:pPr>
        <w:rPr>
          <w:sz w:val="10"/>
          <w:szCs w:val="10"/>
        </w:rPr>
      </w:pPr>
    </w:p>
    <w:p>
      <w:pPr>
        <w:rPr>
          <w:rFonts w:ascii="Arial"/>
          <w:sz w:val="21"/>
        </w:rPr>
      </w:pPr>
    </w:p>
    <w:sectPr>
      <w:headerReference r:id="rId6" w:type="default"/>
      <w:footerReference r:id="rId7" w:type="default"/>
      <w:pgSz w:w="11900" w:h="16840"/>
      <w:pgMar w:top="610" w:right="600" w:bottom="312" w:left="600" w:header="359" w:footer="13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5286"/>
      <w:rPr>
        <w:rFonts w:ascii="华文宋体" w:hAnsi="华文宋体" w:eastAsia="华文宋体" w:cs="华文宋体"/>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r>
      <w:rPr>
        <w:rFonts w:ascii="华文宋体" w:hAnsi="华文宋体" w:eastAsia="华文宋体" w:cs="华文宋体"/>
        <w:spacing w:val="7"/>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60"/>
      <w:rPr>
        <w:rFonts w:ascii="华文宋体" w:hAnsi="华文宋体" w:eastAsia="华文宋体" w:cs="华文宋体"/>
        <w:sz w:val="16"/>
        <w:szCs w:val="16"/>
      </w:rPr>
    </w:pPr>
    <w:r>
      <w:rPr>
        <w:rFonts w:ascii="华文宋体" w:hAnsi="华文宋体" w:eastAsia="华文宋体" w:cs="华文宋体"/>
        <w:spacing w:val="-2"/>
        <w:sz w:val="16"/>
        <w:szCs w:val="16"/>
      </w:rPr>
      <w:t>山西省公安厅2022年部门决算公开报告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53D41"/>
    <w:multiLevelType w:val="singleLevel"/>
    <w:tmpl w:val="8A953D41"/>
    <w:lvl w:ilvl="0" w:tentative="0">
      <w:start w:val="4"/>
      <w:numFmt w:val="chineseCounting"/>
      <w:suff w:val="space"/>
      <w:lvlText w:val="第%1部分"/>
      <w:lvlJc w:val="left"/>
      <w:rPr>
        <w:rFonts w:hint="eastAsia"/>
      </w:rPr>
    </w:lvl>
  </w:abstractNum>
  <w:abstractNum w:abstractNumId="1">
    <w:nsid w:val="EB7DB396"/>
    <w:multiLevelType w:val="singleLevel"/>
    <w:tmpl w:val="EB7DB39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cyMDI2NDExMWNlMDFmOTljZTg3YjIzNDIzNjY2NDEifQ=="/>
  </w:docVars>
  <w:rsids>
    <w:rsidRoot w:val="00000000"/>
    <w:rsid w:val="085F4E68"/>
    <w:rsid w:val="2FF30B20"/>
    <w:rsid w:val="57D02538"/>
    <w:rsid w:val="7ABC02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华文中宋" w:hAnsi="华文中宋" w:eastAsia="华文中宋" w:cs="华文中宋"/>
      <w:sz w:val="34"/>
      <w:szCs w:val="34"/>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18"/>
      <w:szCs w:val="18"/>
      <w:lang w:val="en-US" w:eastAsia="en-US"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2023-09-08T10:19:00Z</dcterms:created>
  <dc:creator>凯瑞</dc:creator>
  <cp:lastModifiedBy>冯</cp:lastModifiedBy>
  <dcterms:modified xsi:type="dcterms:W3CDTF">2023-10-01T07:43:10Z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2023-09-28T18:12:31Z</vt:filetime>
  </property>
  <property fmtid="{D5CDD505-2E9C-101B-9397-08002B2CF9AE}" pid="4" name="KSOProductBuildVer">
    <vt:lpwstr>2052-12.1.0.15712</vt:lpwstr>
  </property>
  <property fmtid="{D5CDD505-2E9C-101B-9397-08002B2CF9AE}" pid="5" name="ICV">
    <vt:lpwstr>11B5012137194D49B8A5321205CB7F86_13</vt:lpwstr>
  </property>
</Properties>
</file>