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4"/>
          <w:szCs w:val="44"/>
          <w:shd w:val="clear" w:fill="FFFFFF"/>
          <w:lang w:val="en-US" w:eastAsia="zh-CN"/>
        </w:rPr>
      </w:pPr>
      <w:r>
        <w:rPr>
          <w:rFonts w:hint="eastAsia" w:ascii="宋体" w:hAnsi="宋体" w:eastAsia="宋体" w:cs="宋体"/>
          <w:b w:val="0"/>
          <w:bCs w:val="0"/>
          <w:i w:val="0"/>
          <w:iCs w:val="0"/>
          <w:caps w:val="0"/>
          <w:color w:val="000000"/>
          <w:spacing w:val="0"/>
          <w:sz w:val="44"/>
          <w:szCs w:val="44"/>
          <w:shd w:val="clear" w:fill="FFFFFF"/>
        </w:rPr>
        <w:t>大同市公安局</w:t>
      </w:r>
      <w:r>
        <w:rPr>
          <w:rFonts w:hint="eastAsia" w:ascii="宋体" w:hAnsi="宋体" w:eastAsia="宋体" w:cs="宋体"/>
          <w:b w:val="0"/>
          <w:bCs w:val="0"/>
          <w:i w:val="0"/>
          <w:iCs w:val="0"/>
          <w:caps w:val="0"/>
          <w:color w:val="000000"/>
          <w:spacing w:val="0"/>
          <w:sz w:val="44"/>
          <w:szCs w:val="44"/>
          <w:shd w:val="clear" w:fill="FFFFFF"/>
          <w:lang w:val="en-US" w:eastAsia="zh-CN"/>
        </w:rPr>
        <w:t>人民警察教育中心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4"/>
          <w:szCs w:val="44"/>
          <w:shd w:val="clear" w:fill="FFFFFF"/>
        </w:rPr>
      </w:pPr>
      <w:r>
        <w:rPr>
          <w:rFonts w:hint="eastAsia" w:ascii="宋体" w:hAnsi="宋体" w:eastAsia="宋体" w:cs="宋体"/>
          <w:b w:val="0"/>
          <w:bCs w:val="0"/>
          <w:i w:val="0"/>
          <w:iCs w:val="0"/>
          <w:caps w:val="0"/>
          <w:color w:val="000000"/>
          <w:spacing w:val="0"/>
          <w:sz w:val="44"/>
          <w:szCs w:val="44"/>
          <w:shd w:val="clear" w:fill="FFFFFF"/>
          <w:lang w:val="en-US" w:eastAsia="zh-CN"/>
        </w:rPr>
        <w:t>2021</w:t>
      </w:r>
      <w:r>
        <w:rPr>
          <w:rFonts w:hint="eastAsia" w:ascii="宋体" w:hAnsi="宋体" w:eastAsia="宋体" w:cs="宋体"/>
          <w:b w:val="0"/>
          <w:bCs w:val="0"/>
          <w:i w:val="0"/>
          <w:iCs w:val="0"/>
          <w:caps w:val="0"/>
          <w:color w:val="000000"/>
          <w:spacing w:val="0"/>
          <w:sz w:val="44"/>
          <w:szCs w:val="44"/>
          <w:shd w:val="clear" w:fill="FFFFFF"/>
        </w:rPr>
        <w:t>年</w:t>
      </w:r>
      <w:r>
        <w:rPr>
          <w:rFonts w:hint="eastAsia" w:ascii="宋体" w:hAnsi="宋体" w:eastAsia="宋体" w:cs="宋体"/>
          <w:b w:val="0"/>
          <w:bCs w:val="0"/>
          <w:i w:val="0"/>
          <w:iCs w:val="0"/>
          <w:caps w:val="0"/>
          <w:color w:val="000000"/>
          <w:spacing w:val="0"/>
          <w:sz w:val="44"/>
          <w:szCs w:val="44"/>
          <w:shd w:val="clear" w:fill="FFFFFF"/>
          <w:lang w:val="en-US" w:eastAsia="zh-CN"/>
        </w:rPr>
        <w:t>决</w:t>
      </w:r>
      <w:r>
        <w:rPr>
          <w:rFonts w:hint="eastAsia" w:ascii="宋体" w:hAnsi="宋体" w:eastAsia="宋体" w:cs="宋体"/>
          <w:b w:val="0"/>
          <w:bCs w:val="0"/>
          <w:i w:val="0"/>
          <w:iCs w:val="0"/>
          <w:caps w:val="0"/>
          <w:color w:val="000000"/>
          <w:spacing w:val="0"/>
          <w:sz w:val="44"/>
          <w:szCs w:val="44"/>
          <w:shd w:val="clear" w:fill="FFFFFF"/>
        </w:rPr>
        <w:t>算公开情况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32"/>
          <w:szCs w:val="32"/>
          <w:shd w:val="clear" w:fill="FFFFFF"/>
          <w:lang w:val="en-US" w:eastAsia="zh-CN"/>
        </w:rPr>
      </w:pPr>
      <w:r>
        <w:rPr>
          <w:rFonts w:hint="eastAsia" w:ascii="宋体" w:hAnsi="宋体" w:eastAsia="宋体" w:cs="宋体"/>
          <w:b w:val="0"/>
          <w:bCs w:val="0"/>
          <w:i w:val="0"/>
          <w:iCs w:val="0"/>
          <w:caps w:val="0"/>
          <w:color w:val="000000"/>
          <w:spacing w:val="0"/>
          <w:sz w:val="32"/>
          <w:szCs w:val="32"/>
          <w:shd w:val="clear" w:fill="FFFFFF"/>
          <w:lang w:val="en-US" w:eastAsia="zh-CN"/>
        </w:rPr>
        <w:t>目录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概况</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本部门职责</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机构设置情况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2021</w:t>
      </w:r>
      <w:r>
        <w:rPr>
          <w:rFonts w:hint="eastAsia" w:ascii="仿宋" w:hAnsi="仿宋" w:eastAsia="仿宋" w:cs="仿宋"/>
          <w:b w:val="0"/>
          <w:bCs w:val="0"/>
          <w:i w:val="0"/>
          <w:iCs w:val="0"/>
          <w:caps w:val="0"/>
          <w:color w:val="000000"/>
          <w:spacing w:val="0"/>
          <w:sz w:val="32"/>
          <w:szCs w:val="32"/>
          <w:shd w:val="clear" w:fill="FFFFFF"/>
        </w:rPr>
        <w:t>年部门</w:t>
      </w:r>
      <w:r>
        <w:rPr>
          <w:rFonts w:hint="eastAsia" w:ascii="仿宋" w:hAnsi="仿宋" w:eastAsia="仿宋" w:cs="仿宋"/>
          <w:b w:val="0"/>
          <w:bCs w:val="0"/>
          <w:i w:val="0"/>
          <w:iCs w:val="0"/>
          <w:caps w:val="0"/>
          <w:color w:val="000000"/>
          <w:spacing w:val="0"/>
          <w:sz w:val="32"/>
          <w:szCs w:val="32"/>
          <w:shd w:val="clear" w:fill="FFFFFF"/>
          <w:lang w:val="en-US" w:eastAsia="zh-CN"/>
        </w:rPr>
        <w:t>决</w:t>
      </w:r>
      <w:r>
        <w:rPr>
          <w:rFonts w:hint="eastAsia" w:ascii="仿宋" w:hAnsi="仿宋" w:eastAsia="仿宋" w:cs="仿宋"/>
          <w:b w:val="0"/>
          <w:bCs w:val="0"/>
          <w:i w:val="0"/>
          <w:iCs w:val="0"/>
          <w:caps w:val="0"/>
          <w:color w:val="000000"/>
          <w:spacing w:val="0"/>
          <w:sz w:val="32"/>
          <w:szCs w:val="32"/>
          <w:shd w:val="clear" w:fill="FFFFFF"/>
        </w:rPr>
        <w:t>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收入支出决算表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收入决算表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支出决算表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财政拨款收入支出决算总表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一般公共预算财政拨款支出决算表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一般公共预算财政拨款基本支出决算表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一般公共预算财政拨款“三公”经费支出决算表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政府性基金预算财政拨款收入支出决算表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国有资本经营预算财政拨款支出决算表</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部门决算公开相关信息统计表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2021年度</w:t>
      </w:r>
      <w:r>
        <w:rPr>
          <w:rFonts w:hint="eastAsia" w:ascii="仿宋" w:hAnsi="仿宋" w:eastAsia="仿宋" w:cs="仿宋"/>
          <w:b w:val="0"/>
          <w:bCs w:val="0"/>
          <w:i w:val="0"/>
          <w:iCs w:val="0"/>
          <w:caps w:val="0"/>
          <w:color w:val="000000"/>
          <w:spacing w:val="0"/>
          <w:sz w:val="32"/>
          <w:szCs w:val="32"/>
          <w:shd w:val="clear" w:fill="FFFFFF"/>
        </w:rPr>
        <w:t>部门</w:t>
      </w:r>
      <w:r>
        <w:rPr>
          <w:rFonts w:hint="eastAsia" w:ascii="仿宋" w:hAnsi="仿宋" w:eastAsia="仿宋" w:cs="仿宋"/>
          <w:b w:val="0"/>
          <w:bCs w:val="0"/>
          <w:i w:val="0"/>
          <w:iCs w:val="0"/>
          <w:caps w:val="0"/>
          <w:color w:val="000000"/>
          <w:spacing w:val="0"/>
          <w:sz w:val="32"/>
          <w:szCs w:val="32"/>
          <w:shd w:val="clear" w:fill="FFFFFF"/>
          <w:lang w:val="en-US" w:eastAsia="zh-CN"/>
        </w:rPr>
        <w:t>决算</w:t>
      </w:r>
      <w:r>
        <w:rPr>
          <w:rFonts w:hint="eastAsia" w:ascii="仿宋" w:hAnsi="仿宋" w:eastAsia="仿宋" w:cs="仿宋"/>
          <w:b w:val="0"/>
          <w:bCs w:val="0"/>
          <w:i w:val="0"/>
          <w:iCs w:val="0"/>
          <w:caps w:val="0"/>
          <w:color w:val="000000"/>
          <w:spacing w:val="0"/>
          <w:sz w:val="32"/>
          <w:szCs w:val="32"/>
          <w:shd w:val="clear" w:fill="FFFFFF"/>
        </w:rPr>
        <w:t>情况说明</w:t>
      </w:r>
    </w:p>
    <w:p>
      <w:pPr>
        <w:numPr>
          <w:ilvl w:val="0"/>
          <w:numId w:val="1"/>
        </w:numPr>
        <w:spacing w:beforeLines="0" w:afterLines="0"/>
        <w:ind w:left="0" w:leftChars="0" w:firstLine="0" w:firstLineChars="0"/>
        <w:jc w:val="left"/>
        <w:rPr>
          <w:rFonts w:hint="eastAsia" w:ascii="仿宋" w:hAnsi="仿宋" w:eastAsia="仿宋" w:cs="仿宋"/>
          <w:b w:val="0"/>
          <w:bCs w:val="0"/>
          <w:sz w:val="32"/>
          <w:szCs w:val="24"/>
          <w:lang w:val="en-US" w:eastAsia="zh-CN"/>
        </w:rPr>
      </w:pPr>
      <w:r>
        <w:rPr>
          <w:rFonts w:hint="eastAsia" w:ascii="仿宋" w:hAnsi="仿宋" w:eastAsia="仿宋" w:cs="仿宋"/>
          <w:b w:val="0"/>
          <w:bCs w:val="0"/>
          <w:sz w:val="32"/>
          <w:szCs w:val="24"/>
          <w:lang w:val="en-US" w:eastAsia="zh-CN"/>
        </w:rPr>
        <w:t>名词解释</w:t>
      </w:r>
    </w:p>
    <w:p>
      <w:pPr>
        <w:numPr>
          <w:ilvl w:val="0"/>
          <w:numId w:val="0"/>
        </w:numPr>
        <w:spacing w:beforeLines="0" w:afterLines="0"/>
        <w:jc w:val="left"/>
        <w:rPr>
          <w:rFonts w:hint="eastAsia" w:ascii="仿宋_GB2312" w:hAnsi="仿宋_GB2312" w:eastAsia="仿宋_GB2312"/>
          <w:b w:val="0"/>
          <w:bCs w:val="0"/>
          <w:sz w:val="32"/>
          <w:szCs w:val="24"/>
          <w:lang w:val="en-US" w:eastAsia="zh-CN"/>
        </w:rPr>
      </w:pPr>
      <w:r>
        <w:rPr>
          <w:rFonts w:hint="eastAsia" w:ascii="仿宋_GB2312" w:hAnsi="仿宋_GB2312" w:eastAsia="仿宋_GB2312"/>
          <w:b w:val="0"/>
          <w:bCs w:val="0"/>
          <w:sz w:val="32"/>
          <w:szCs w:val="24"/>
          <w:lang w:val="en-US" w:eastAsia="zh-CN"/>
        </w:rPr>
        <w:t>第五部分 附件</w:t>
      </w:r>
    </w:p>
    <w:p>
      <w:pPr>
        <w:numPr>
          <w:ilvl w:val="0"/>
          <w:numId w:val="0"/>
        </w:numPr>
        <w:spacing w:beforeLines="0" w:afterLines="0"/>
        <w:ind w:leftChars="0"/>
        <w:jc w:val="left"/>
        <w:rPr>
          <w:rFonts w:hint="eastAsia" w:ascii="仿宋" w:hAnsi="仿宋" w:eastAsia="仿宋" w:cs="仿宋"/>
          <w:b w:val="0"/>
          <w:bCs w:val="0"/>
          <w:sz w:val="32"/>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val="0"/>
          <w:i w:val="0"/>
          <w:iCs w:val="0"/>
          <w:caps w:val="0"/>
          <w:color w:val="000000"/>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cs="Times New Roman"/>
          <w:b w:val="0"/>
          <w:bCs w:val="0"/>
          <w:i w:val="0"/>
          <w:iCs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bCs w:val="0"/>
          <w:i w:val="0"/>
          <w:iCs w:val="0"/>
          <w:caps w:val="0"/>
          <w:color w:val="000000"/>
          <w:spacing w:val="0"/>
          <w:sz w:val="21"/>
          <w:szCs w:val="21"/>
        </w:rPr>
      </w:pPr>
      <w:r>
        <w:rPr>
          <w:rFonts w:hint="eastAsia" w:ascii="黑体" w:hAnsi="宋体" w:eastAsia="黑体" w:cs="黑体"/>
          <w:b w:val="0"/>
          <w:bCs w:val="0"/>
          <w:i w:val="0"/>
          <w:iCs w:val="0"/>
          <w:caps w:val="0"/>
          <w:color w:val="000000"/>
          <w:spacing w:val="0"/>
          <w:sz w:val="32"/>
          <w:szCs w:val="32"/>
          <w:shd w:val="clear" w:fill="FFFFFF"/>
          <w:lang w:val="en-US" w:eastAsia="zh-CN"/>
        </w:rPr>
        <w:t xml:space="preserve">第一部分 </w:t>
      </w:r>
      <w:r>
        <w:rPr>
          <w:rFonts w:ascii="黑体" w:hAnsi="宋体" w:eastAsia="黑体" w:cs="黑体"/>
          <w:b w:val="0"/>
          <w:bCs w:val="0"/>
          <w:i w:val="0"/>
          <w:iCs w:val="0"/>
          <w:caps w:val="0"/>
          <w:color w:val="000000"/>
          <w:spacing w:val="0"/>
          <w:sz w:val="32"/>
          <w:szCs w:val="32"/>
          <w:shd w:val="clear" w:fill="FFFFFF"/>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b w:val="0"/>
          <w:bCs w:val="0"/>
          <w:i w:val="0"/>
          <w:iCs w:val="0"/>
          <w:caps w:val="0"/>
          <w:color w:val="000000"/>
          <w:spacing w:val="0"/>
          <w:sz w:val="21"/>
          <w:szCs w:val="21"/>
          <w:shd w:val="clear" w:fill="FFFFFF"/>
        </w:rPr>
      </w:pP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一、</w:t>
      </w:r>
      <w:r>
        <w:rPr>
          <w:rFonts w:ascii="仿宋_GB2312" w:hAnsi="Times New Roman" w:eastAsia="仿宋_GB2312" w:cs="仿宋_GB2312"/>
          <w:b w:val="0"/>
          <w:bCs w:val="0"/>
          <w:i w:val="0"/>
          <w:iCs w:val="0"/>
          <w:caps w:val="0"/>
          <w:color w:val="000000"/>
          <w:spacing w:val="0"/>
          <w:sz w:val="32"/>
          <w:szCs w:val="32"/>
          <w:shd w:val="clear" w:fill="FFFFFF"/>
        </w:rPr>
        <w:t>大同市公安局</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人民警察教育中心</w:t>
      </w:r>
      <w:r>
        <w:rPr>
          <w:rFonts w:ascii="仿宋_GB2312" w:hAnsi="Times New Roman" w:eastAsia="仿宋_GB2312" w:cs="仿宋_GB2312"/>
          <w:b w:val="0"/>
          <w:bCs w:val="0"/>
          <w:i w:val="0"/>
          <w:iCs w:val="0"/>
          <w:caps w:val="0"/>
          <w:color w:val="000000"/>
          <w:spacing w:val="0"/>
          <w:sz w:val="32"/>
          <w:szCs w:val="32"/>
          <w:shd w:val="clear" w:fill="FFFFFF"/>
        </w:rPr>
        <w:t>职能</w:t>
      </w:r>
      <w:r>
        <w:rPr>
          <w:rFonts w:hint="eastAsia" w:ascii="微软雅黑" w:hAnsi="微软雅黑" w:eastAsia="微软雅黑" w:cs="微软雅黑"/>
          <w:b w:val="0"/>
          <w:bCs w:val="0"/>
          <w:i w:val="0"/>
          <w:iCs w:val="0"/>
          <w:caps w:val="0"/>
          <w:color w:val="000000"/>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承担全市公安民警、辅警、保安、驾驶员各类培训，刑事勘察、检验鉴定、痕迹物证提取指导、身份证管理、警犬训练实战、公安系统等后勤保障工作。</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机构设置情况</w:t>
      </w:r>
    </w:p>
    <w:p>
      <w:pPr>
        <w:keepNext w:val="0"/>
        <w:keepLines w:val="0"/>
        <w:widowControl/>
        <w:suppressLineNumbers w:val="0"/>
        <w:ind w:firstLine="600" w:firstLineChars="200"/>
        <w:jc w:val="left"/>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color w:val="000000"/>
          <w:kern w:val="0"/>
          <w:sz w:val="30"/>
          <w:szCs w:val="30"/>
          <w:lang w:val="en-US" w:eastAsia="zh-CN" w:bidi="ar"/>
        </w:rPr>
        <w:t>大同市公安局人民警察教育中心下设17个科室分别是（一）办公室（二）党建办公室（三）编制人事科（四）后勤保障科（五）财务科（六）教学培训科（七）学员管理大队（八）图书情报资料室（九）警务技战术教研室（十）政治理论教研室（十一）公安法律法规教研室（十二）刑事技术研究所（十三）公安科技教研室（十四）警犬训练基地（十五）警务保障一大队（十六）警务保障二大队（十七）纪检室</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b w:val="0"/>
          <w:bCs w:val="0"/>
          <w:i w:val="0"/>
          <w:iCs w:val="0"/>
          <w:caps w:val="0"/>
          <w:color w:val="000000"/>
          <w:spacing w:val="0"/>
          <w:sz w:val="32"/>
          <w:szCs w:val="32"/>
          <w:shd w:val="clear" w:fill="FFFFFF"/>
        </w:rPr>
      </w:pPr>
      <w:r>
        <w:rPr>
          <w:rFonts w:hint="eastAsia" w:ascii="黑体" w:hAnsi="宋体" w:eastAsia="黑体" w:cs="黑体"/>
          <w:b w:val="0"/>
          <w:bCs w:val="0"/>
          <w:i w:val="0"/>
          <w:iCs w:val="0"/>
          <w:caps w:val="0"/>
          <w:color w:val="000000"/>
          <w:spacing w:val="0"/>
          <w:sz w:val="32"/>
          <w:szCs w:val="32"/>
          <w:shd w:val="clear" w:fill="FFFFFF"/>
          <w:lang w:val="en-US" w:eastAsia="zh-CN"/>
        </w:rPr>
        <w:t>第二部分 2021</w:t>
      </w:r>
      <w:r>
        <w:rPr>
          <w:rFonts w:hint="eastAsia" w:ascii="黑体" w:hAnsi="宋体" w:eastAsia="黑体" w:cs="黑体"/>
          <w:b w:val="0"/>
          <w:bCs w:val="0"/>
          <w:i w:val="0"/>
          <w:iCs w:val="0"/>
          <w:caps w:val="0"/>
          <w:color w:val="000000"/>
          <w:spacing w:val="0"/>
          <w:sz w:val="32"/>
          <w:szCs w:val="32"/>
          <w:shd w:val="clear" w:fill="FFFFFF"/>
        </w:rPr>
        <w:t>年部门</w:t>
      </w:r>
      <w:r>
        <w:rPr>
          <w:rFonts w:hint="eastAsia" w:ascii="黑体" w:hAnsi="宋体" w:eastAsia="黑体" w:cs="黑体"/>
          <w:b w:val="0"/>
          <w:bCs w:val="0"/>
          <w:i w:val="0"/>
          <w:iCs w:val="0"/>
          <w:caps w:val="0"/>
          <w:color w:val="000000"/>
          <w:spacing w:val="0"/>
          <w:sz w:val="32"/>
          <w:szCs w:val="32"/>
          <w:shd w:val="clear" w:fill="FFFFFF"/>
          <w:lang w:val="en-US" w:eastAsia="zh-CN"/>
        </w:rPr>
        <w:t>决</w:t>
      </w:r>
      <w:r>
        <w:rPr>
          <w:rFonts w:hint="eastAsia" w:ascii="黑体" w:hAnsi="宋体" w:eastAsia="黑体" w:cs="黑体"/>
          <w:b w:val="0"/>
          <w:bCs w:val="0"/>
          <w:i w:val="0"/>
          <w:iCs w:val="0"/>
          <w:caps w:val="0"/>
          <w:color w:val="000000"/>
          <w:spacing w:val="0"/>
          <w:sz w:val="32"/>
          <w:szCs w:val="32"/>
          <w:shd w:val="clear" w:fill="FFFFFF"/>
        </w:rPr>
        <w:t>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1收入支出决算表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2收入决算表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3支出决算表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4财政拨款收入支出决算总表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5一般公共预算财政拨款支出决算表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6一般公共预算财政拨款基本支出决算表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7一般公共预算财政拨款“三公”经费支出决算表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8政府性基金预算财政拨款收入支出决算表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9国有资本经营预算财政拨款支出决算表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10部门决算公开相关信息统计表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黑体" w:hAnsi="宋体" w:eastAsia="黑体" w:cs="黑体"/>
          <w:b w:val="0"/>
          <w:bCs w:val="0"/>
          <w:i w:val="0"/>
          <w:iCs w:val="0"/>
          <w:caps w:val="0"/>
          <w:color w:val="000000"/>
          <w:spacing w:val="0"/>
          <w:sz w:val="32"/>
          <w:szCs w:val="32"/>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黑体" w:hAnsi="宋体" w:eastAsia="黑体" w:cs="黑体"/>
          <w:b w:val="0"/>
          <w:bCs w:val="0"/>
          <w:i w:val="0"/>
          <w:iCs w:val="0"/>
          <w:caps w:val="0"/>
          <w:color w:val="000000"/>
          <w:spacing w:val="0"/>
          <w:sz w:val="32"/>
          <w:szCs w:val="32"/>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黑体" w:hAnsi="宋体" w:eastAsia="黑体" w:cs="黑体"/>
          <w:b w:val="0"/>
          <w:bCs w:val="0"/>
          <w:i w:val="0"/>
          <w:iCs w:val="0"/>
          <w:caps w:val="0"/>
          <w:color w:val="000000"/>
          <w:spacing w:val="0"/>
          <w:sz w:val="32"/>
          <w:szCs w:val="32"/>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黑体" w:hAnsi="宋体" w:eastAsia="黑体" w:cs="黑体"/>
          <w:b w:val="0"/>
          <w:bCs w:val="0"/>
          <w:i w:val="0"/>
          <w:iCs w:val="0"/>
          <w:caps w:val="0"/>
          <w:color w:val="000000"/>
          <w:spacing w:val="0"/>
          <w:sz w:val="32"/>
          <w:szCs w:val="32"/>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tbl>
      <w:tblPr>
        <w:tblStyle w:val="3"/>
        <w:tblW w:w="87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69"/>
        <w:gridCol w:w="525"/>
        <w:gridCol w:w="1470"/>
        <w:gridCol w:w="2250"/>
        <w:gridCol w:w="555"/>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8702"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2469"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246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部门：大同市公安局人民警察教育中心</w:t>
            </w:r>
          </w:p>
        </w:tc>
        <w:tc>
          <w:tcPr>
            <w:tcW w:w="52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5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446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238" w:type="dxa"/>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25"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5"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3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26,640,280.30</w:t>
            </w: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20,623,842.33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2,647.92</w:t>
            </w: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43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26,642,928.22</w:t>
            </w: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4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25,734,341.07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4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4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905,939.23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2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5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33"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46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525"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26,642,928.22</w:t>
            </w:r>
          </w:p>
        </w:tc>
        <w:tc>
          <w:tcPr>
            <w:tcW w:w="22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4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26,642,928.22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8702"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pPr>
    </w:p>
    <w:p>
      <w:pPr>
        <w:bidi w:val="0"/>
      </w:pPr>
    </w:p>
    <w:p>
      <w:pPr>
        <w:bidi w:val="0"/>
      </w:pPr>
    </w:p>
    <w:p>
      <w:pPr>
        <w:bidi w:val="0"/>
      </w:pPr>
    </w:p>
    <w:p>
      <w:pPr>
        <w:bidi w:val="0"/>
      </w:pPr>
    </w:p>
    <w:p>
      <w:pPr>
        <w:tabs>
          <w:tab w:val="left" w:pos="201"/>
        </w:tabs>
        <w:bidi w:val="0"/>
        <w:jc w:val="left"/>
        <w:rPr>
          <w:rFonts w:hint="eastAsia" w:eastAsiaTheme="minorEastAsia"/>
          <w:lang w:eastAsia="zh-CN"/>
        </w:rPr>
      </w:pPr>
    </w:p>
    <w:p>
      <w:pPr>
        <w:tabs>
          <w:tab w:val="left" w:pos="201"/>
        </w:tabs>
        <w:bidi w:val="0"/>
        <w:jc w:val="left"/>
        <w:rPr>
          <w:rFonts w:hint="eastAsia" w:eastAsiaTheme="minorEastAsia"/>
          <w:lang w:eastAsia="zh-CN"/>
        </w:rPr>
      </w:pPr>
    </w:p>
    <w:p>
      <w:pPr>
        <w:tabs>
          <w:tab w:val="left" w:pos="201"/>
        </w:tabs>
        <w:bidi w:val="0"/>
        <w:jc w:val="left"/>
        <w:rPr>
          <w:rFonts w:hint="eastAsia" w:eastAsiaTheme="minorEastAsia"/>
          <w:lang w:eastAsia="zh-CN"/>
        </w:r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240"/>
        <w:gridCol w:w="152"/>
        <w:gridCol w:w="240"/>
        <w:gridCol w:w="1755"/>
        <w:gridCol w:w="1485"/>
        <w:gridCol w:w="1527"/>
        <w:gridCol w:w="322"/>
        <w:gridCol w:w="341"/>
        <w:gridCol w:w="240"/>
        <w:gridCol w:w="303"/>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567" w:type="pct"/>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22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2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7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95"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8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0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567"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部门：大同市公安局人民警察教育中心</w:t>
            </w: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29"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02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7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95"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88"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0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77"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967" w:type="pct"/>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7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895"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8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0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4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7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55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38" w:type="pct"/>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029"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8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5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38" w:type="pct"/>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02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8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8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5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02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87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95"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8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0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5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967" w:type="pct"/>
            <w:gridSpan w:val="5"/>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87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95"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967" w:type="pct"/>
            <w:gridSpan w:val="5"/>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26,642,928.22</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26,640,280.30</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21,532,429.48</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21,529,781.56</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21,532,429.48</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21,529,781.56</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2040203</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2,243,490.61</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2,243,490.61</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2040220</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执法办案</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2,694,042.30</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2,694,042.30</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2040250</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535,852.24</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535,852.24</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2040299</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其他公安支出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16,059,044.33</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16,056,396.41</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事业单位离退休</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98,984.00</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98,984.00</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2,320,159.04</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2,320,159.04</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78,638.62</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78,638.62</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1,465,434.08</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1,465,434.08</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3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w:t>
            </w:r>
          </w:p>
        </w:tc>
        <w:tc>
          <w:tcPr>
            <w:tcW w:w="10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提租补贴</w:t>
            </w:r>
          </w:p>
        </w:tc>
        <w:tc>
          <w:tcPr>
            <w:tcW w:w="8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177,697.63</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177,697.63</w:t>
            </w:r>
          </w:p>
        </w:tc>
        <w:tc>
          <w:tcPr>
            <w:tcW w:w="18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注：本表反映部门本年度取得的各项收入情况。</w:t>
            </w:r>
          </w:p>
        </w:tc>
      </w:tr>
    </w:tbl>
    <w:p>
      <w:pPr>
        <w:tabs>
          <w:tab w:val="left" w:pos="201"/>
        </w:tabs>
        <w:bidi w:val="0"/>
        <w:jc w:val="left"/>
        <w:rPr>
          <w:rFonts w:hint="eastAsia" w:eastAsiaTheme="minorEastAsia"/>
          <w:lang w:eastAsia="zh-CN"/>
        </w:rPr>
        <w:sectPr>
          <w:pgSz w:w="11906" w:h="16838"/>
          <w:pgMar w:top="1440" w:right="1800" w:bottom="1440" w:left="1800" w:header="851" w:footer="992" w:gutter="0"/>
          <w:cols w:space="425" w:num="1"/>
          <w:docGrid w:type="lines" w:linePitch="312" w:charSpace="0"/>
        </w:sect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255"/>
        <w:gridCol w:w="240"/>
        <w:gridCol w:w="3330"/>
        <w:gridCol w:w="2025"/>
        <w:gridCol w:w="1665"/>
        <w:gridCol w:w="1470"/>
        <w:gridCol w:w="960"/>
        <w:gridCol w:w="885"/>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4174"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6"/>
                <w:szCs w:val="36"/>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05" w:type="dxa"/>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25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33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02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66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96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8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73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60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部门：大同市公安局人民警察教育中心</w:t>
            </w:r>
          </w:p>
        </w:tc>
        <w:tc>
          <w:tcPr>
            <w:tcW w:w="25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33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02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66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96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8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73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43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02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6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4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9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8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73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210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33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0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333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10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333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543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02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3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43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25,734,341.07</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22,248,021.02</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3,486,320.05</w:t>
            </w: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20,623,842.33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17,137,522.28</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3,486,320.05</w:t>
            </w: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20,623,842.33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17,137,522.28</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3,486,320.05</w:t>
            </w: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2040203</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2,243,490.61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2,243,490.61</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2040220</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执法办案</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2,694,042.30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2,694,042.30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2040250</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535,852.24</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535,852.24</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2040299</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其他公安支出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15,150,457.18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11,664,137.13</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3,486,320.05</w:t>
            </w: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事业单位离退休</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98,984.00</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98,984.00</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2,320,159.04</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2,320,159.04</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78,638.62</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78,638.62</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1,465,434.08</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1,465,434.08</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10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w:t>
            </w:r>
          </w:p>
        </w:tc>
        <w:tc>
          <w:tcPr>
            <w:tcW w:w="33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提租补贴</w:t>
            </w:r>
          </w:p>
        </w:tc>
        <w:tc>
          <w:tcPr>
            <w:tcW w:w="2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177,697.63</w:t>
            </w:r>
          </w:p>
        </w:tc>
        <w:tc>
          <w:tcPr>
            <w:tcW w:w="16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177,697.63</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8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4174"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注：本表反映部门本年度各项支出情况。</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sectPr>
          <w:pgSz w:w="16838" w:h="11906" w:orient="landscape"/>
          <w:pgMar w:top="1800" w:right="1440" w:bottom="1800" w:left="1440" w:header="851" w:footer="992" w:gutter="0"/>
          <w:cols w:space="425" w:num="1"/>
          <w:docGrid w:type="lines" w:linePitch="312" w:charSpace="0"/>
        </w:sect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9"/>
        <w:gridCol w:w="428"/>
        <w:gridCol w:w="1573"/>
        <w:gridCol w:w="3342"/>
        <w:gridCol w:w="428"/>
        <w:gridCol w:w="1570"/>
        <w:gridCol w:w="1587"/>
        <w:gridCol w:w="445"/>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6"/>
                <w:szCs w:val="36"/>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13" w:type="pct"/>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15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17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6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7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1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部门：大同市公安局人民警察教育中心</w:t>
            </w:r>
          </w:p>
        </w:tc>
        <w:tc>
          <w:tcPr>
            <w:tcW w:w="15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179"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1"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60"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7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91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3080"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1213"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55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17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55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6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5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47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213"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5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17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5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56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7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5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5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51"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5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26,640,280.30</w:t>
            </w: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三、国有资本经营财政拨款</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20,623,842.33</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20,623,842.33</w:t>
            </w: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26,640,280.30</w:t>
            </w: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25,734,341.07</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25,734,341.07</w:t>
            </w: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905,939.23</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905,939.23</w:t>
            </w: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7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5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1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151"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26,640,280.30</w:t>
            </w:r>
          </w:p>
        </w:tc>
        <w:tc>
          <w:tcPr>
            <w:tcW w:w="117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15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5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26,640,280.30</w:t>
            </w:r>
          </w:p>
        </w:tc>
        <w:tc>
          <w:tcPr>
            <w:tcW w:w="5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26,640,280.30</w:t>
            </w:r>
          </w:p>
        </w:tc>
        <w:tc>
          <w:tcPr>
            <w:tcW w:w="15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520"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47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sectPr>
          <w:pgSz w:w="16838" w:h="11906" w:orient="landscape"/>
          <w:pgMar w:top="1800" w:right="1440" w:bottom="1800" w:left="1440" w:header="851" w:footer="992" w:gutter="0"/>
          <w:cols w:space="425" w:num="1"/>
          <w:docGrid w:type="lines" w:linePitch="312" w:charSpace="0"/>
        </w:sectPr>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7"/>
        <w:gridCol w:w="244"/>
        <w:gridCol w:w="244"/>
        <w:gridCol w:w="4354"/>
        <w:gridCol w:w="1823"/>
        <w:gridCol w:w="1823"/>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03" w:type="pct"/>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8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35"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0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0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部门：大同市公安局人民警察教育中心</w:t>
            </w:r>
          </w:p>
        </w:tc>
        <w:tc>
          <w:tcPr>
            <w:tcW w:w="8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535"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43"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0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11"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888"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153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4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4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60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157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3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6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6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57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53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6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64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60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3111"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11"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25,734,341.07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22,248,021.02</w:t>
            </w:r>
          </w:p>
        </w:tc>
        <w:tc>
          <w:tcPr>
            <w:tcW w:w="6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3,486,320.05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20,623,842.33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17,137,522.28</w:t>
            </w:r>
          </w:p>
        </w:tc>
        <w:tc>
          <w:tcPr>
            <w:tcW w:w="6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3,486,320.05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20,623,842.33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17,137,522.28</w:t>
            </w:r>
          </w:p>
        </w:tc>
        <w:tc>
          <w:tcPr>
            <w:tcW w:w="6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3,486,320.05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2040203</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机关服务</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2,243,490.61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2,243,490.61</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2040220</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执法办案</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2,694,042.30</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2,694,042.30</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2040250</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535,852.24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535,852.24</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2040299</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其他公安支出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15,150,457.18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11,664,137.13</w:t>
            </w:r>
          </w:p>
        </w:tc>
        <w:tc>
          <w:tcPr>
            <w:tcW w:w="6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3,486,320.05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2,497,781.66</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事业单位离退休</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98,984.00</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98,984.00</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2,320,159.04</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2,320,159.04</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78,638.62</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78,638.62</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969,585.37</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1,643,131.71</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1,465,434.08</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1,465,434.08</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7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w:t>
            </w:r>
          </w:p>
        </w:tc>
        <w:tc>
          <w:tcPr>
            <w:tcW w:w="15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提租补贴</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177,697.63</w:t>
            </w:r>
          </w:p>
        </w:tc>
        <w:tc>
          <w:tcPr>
            <w:tcW w:w="6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177,697.63</w:t>
            </w:r>
          </w:p>
        </w:tc>
        <w:tc>
          <w:tcPr>
            <w:tcW w:w="6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注：本表反映部门本年度一般公共预算财政拨款支出情况。</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sectPr>
          <w:pgSz w:w="16838" w:h="11906" w:orient="landscape"/>
          <w:pgMar w:top="1800" w:right="1440" w:bottom="1800" w:left="1440" w:header="851" w:footer="992" w:gutter="0"/>
          <w:cols w:space="425" w:num="1"/>
          <w:docGrid w:type="lines" w:linePitch="312" w:charSpace="0"/>
        </w:sect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tbl>
      <w:tblPr>
        <w:tblStyle w:val="3"/>
        <w:tblW w:w="152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3"/>
        <w:gridCol w:w="840"/>
        <w:gridCol w:w="1470"/>
        <w:gridCol w:w="1410"/>
        <w:gridCol w:w="315"/>
        <w:gridCol w:w="840"/>
        <w:gridCol w:w="1365"/>
        <w:gridCol w:w="1335"/>
        <w:gridCol w:w="555"/>
        <w:gridCol w:w="900"/>
        <w:gridCol w:w="463"/>
        <w:gridCol w:w="606"/>
        <w:gridCol w:w="460"/>
        <w:gridCol w:w="991"/>
        <w:gridCol w:w="1380"/>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266" w:type="dxa"/>
            <w:gridSpan w:val="1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33" w:type="dxa"/>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84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1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1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4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6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3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63"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06"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6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991"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8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0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3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部门：大同市公安局人民警察教育中心</w:t>
            </w:r>
          </w:p>
        </w:tc>
        <w:tc>
          <w:tcPr>
            <w:tcW w:w="84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7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41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1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4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6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3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5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90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63"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606"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6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991"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8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30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75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10513" w:type="dxa"/>
            <w:gridSpan w:val="1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8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c>
          <w:tcPr>
            <w:tcW w:w="3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8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3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c>
          <w:tcPr>
            <w:tcW w:w="5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90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60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c>
          <w:tcPr>
            <w:tcW w:w="4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9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30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3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0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6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99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30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301</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工资福利支出</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21,364,317.93</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20,939,062.73</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302</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商品和服务支出</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4,038,055.14</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1,083,862.29</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307</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债务利息及费用支出</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8,108,586.02</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7,921,098.32</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441,155.81</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441,155.81</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2,068,037.16</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2,068,037.16</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30703</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30704</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4,748,919.00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4,748,919.00</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13,500.00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309</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资本性支出（基本建设）</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2,802,835.51</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2,802,835.51</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90,951.39</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14,951.39</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30901</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房屋构筑物构建</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495,576.05</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495,576.05</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30902</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311</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对企业补助（基本建设）</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1,300,619.21</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1,300,619.21</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205,000.00</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30903</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31101</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499,580.00</w:t>
            </w: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30905</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31199</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231,243.40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119,143.40</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102,781.50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5,799.00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30906</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312</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对企业补助</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1,465,434.08</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1,465,434.08</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30907</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31201</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75,524.30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11,754.65</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30908</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31203</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143,067.50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17,400.00</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30913</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31204</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303</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对个人和家庭的补助</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225,096.00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225,096.00</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30919</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31205</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1,017,940.85</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12,580.65</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30921</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31299</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94,632.00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94,632.00</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30922</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313</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对社会保障基金补助</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30999</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31302</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对社会保障基金补助</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119,700.00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310</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资本性支出</w:t>
            </w:r>
          </w:p>
        </w:tc>
        <w:tc>
          <w:tcPr>
            <w:tcW w:w="4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106,872.00</w:t>
            </w: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31303</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补充全国社会保障基金</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房屋构筑物构建</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31304</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对机关事业单位职业年金的补助</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229,934.00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4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106,872.00</w:t>
            </w: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399</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其他支出</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39906</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赠与</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113,500.00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113,500.00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98,414.00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98,414.00</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386,893.00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386,893.00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11,529.79</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11,529.79</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9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99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32,050.00</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32,050.00</w:t>
            </w: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3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3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99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3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84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47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1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84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3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719,064.50</w:t>
            </w:r>
          </w:p>
        </w:tc>
        <w:tc>
          <w:tcPr>
            <w:tcW w:w="13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18,798.00</w:t>
            </w:r>
          </w:p>
        </w:tc>
        <w:tc>
          <w:tcPr>
            <w:tcW w:w="5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90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4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0"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99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3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0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87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人员经费合计</w:t>
            </w: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21,589,413.93</w:t>
            </w:r>
          </w:p>
        </w:tc>
        <w:tc>
          <w:tcPr>
            <w:tcW w:w="14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21,164,158.73</w:t>
            </w:r>
          </w:p>
        </w:tc>
        <w:tc>
          <w:tcPr>
            <w:tcW w:w="7830" w:type="dxa"/>
            <w:gridSpan w:val="10"/>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公用经费合计</w:t>
            </w:r>
          </w:p>
        </w:tc>
        <w:tc>
          <w:tcPr>
            <w:tcW w:w="13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4,144,927.14</w:t>
            </w:r>
          </w:p>
        </w:tc>
        <w:tc>
          <w:tcPr>
            <w:tcW w:w="13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1,083,862.29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5266" w:type="dxa"/>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注：本表反映部门本年度一般公共预算财政拨款支出明细情况（其中包括基本支出明细情况）。</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6"/>
        <w:gridCol w:w="1034"/>
        <w:gridCol w:w="1144"/>
        <w:gridCol w:w="600"/>
        <w:gridCol w:w="1147"/>
        <w:gridCol w:w="608"/>
        <w:gridCol w:w="1144"/>
        <w:gridCol w:w="1034"/>
        <w:gridCol w:w="1144"/>
        <w:gridCol w:w="600"/>
        <w:gridCol w:w="1147"/>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pct"/>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377"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2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2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77"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2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06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部门：大同市公安局人民警察教育中心</w:t>
            </w:r>
          </w:p>
        </w:tc>
        <w:tc>
          <w:tcPr>
            <w:tcW w:w="377"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2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2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377"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24"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19"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728"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271"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8"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057"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22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7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057"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1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068"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3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2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22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37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2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1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8"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7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7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1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06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16,000.00</w:t>
            </w:r>
          </w:p>
        </w:tc>
        <w:tc>
          <w:tcPr>
            <w:tcW w:w="3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16,000.00</w:t>
            </w:r>
          </w:p>
        </w:tc>
        <w:tc>
          <w:tcPr>
            <w:tcW w:w="2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16,000.00</w:t>
            </w:r>
          </w:p>
        </w:tc>
        <w:tc>
          <w:tcPr>
            <w:tcW w:w="2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11,529.79</w:t>
            </w:r>
          </w:p>
        </w:tc>
        <w:tc>
          <w:tcPr>
            <w:tcW w:w="37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11,529.79</w:t>
            </w:r>
          </w:p>
        </w:tc>
        <w:tc>
          <w:tcPr>
            <w:tcW w:w="22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11,529.79</w:t>
            </w:r>
          </w:p>
        </w:tc>
        <w:tc>
          <w:tcPr>
            <w:tcW w:w="4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6"/>
        <w:gridCol w:w="222"/>
        <w:gridCol w:w="222"/>
        <w:gridCol w:w="1096"/>
        <w:gridCol w:w="1460"/>
        <w:gridCol w:w="1497"/>
        <w:gridCol w:w="1497"/>
        <w:gridCol w:w="1497"/>
        <w:gridCol w:w="1503"/>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0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0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部门：大同市公安局人民警察教育中心</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1"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723"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42"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628"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6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359"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64"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6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9"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4"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6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172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723"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59"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42"/>
        <w:gridCol w:w="315"/>
        <w:gridCol w:w="317"/>
        <w:gridCol w:w="1559"/>
        <w:gridCol w:w="2364"/>
        <w:gridCol w:w="2078"/>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81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81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部门：大同市公安局人民警察教育中心</w:t>
            </w:r>
          </w:p>
        </w:tc>
        <w:tc>
          <w:tcPr>
            <w:tcW w:w="1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587"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12"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03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549"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3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3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03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3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03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3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587"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3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587"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3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3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203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3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3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03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8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大同市公安局人民警察教育中心没有使用国有资本经营预算安排的支出，故本表无数据。</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3"/>
        <w:gridCol w:w="2458"/>
        <w:gridCol w:w="2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00"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部门决算公开相关信息统计表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3162"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6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3162"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编制单位：大同市公安局人民警察教育中心</w:t>
            </w:r>
          </w:p>
        </w:tc>
        <w:tc>
          <w:tcPr>
            <w:tcW w:w="867"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w:t>
            </w:r>
          </w:p>
        </w:tc>
        <w:tc>
          <w:tcPr>
            <w:tcW w:w="97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7"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7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（一）行政单位</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（二）参照公务员法管理事业单位</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三、国有资产占用情况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（一）车辆数合计（辆）</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1.副部（省）级及以上领导用车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2.主要领导干部用车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3.机要通信用车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4.应急保障用车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5.执法执勤用车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6.特种专业技术用车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7.离退休干部用车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8.其他用车</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（二）单价50万元以上通用设备（台、套）</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3162"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（三）单价100万元以上专用设备（台、套）</w:t>
            </w:r>
          </w:p>
        </w:tc>
        <w:tc>
          <w:tcPr>
            <w:tcW w:w="86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0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注：本表反映部门本年度政府采购及机关运行经费和国有资产占用情况。</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sectPr>
          <w:pgSz w:w="16838" w:h="11906" w:orient="landscape"/>
          <w:pgMar w:top="1800" w:right="1440" w:bottom="1800" w:left="1440" w:header="851" w:footer="992" w:gutter="0"/>
          <w:cols w:space="425" w:num="1"/>
          <w:docGrid w:type="lines" w:linePitch="312" w:charSpace="0"/>
        </w:sect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b w:val="0"/>
          <w:bCs w:val="0"/>
          <w:i w:val="0"/>
          <w:iCs w:val="0"/>
          <w:caps w:val="0"/>
          <w:color w:val="000000"/>
          <w:spacing w:val="0"/>
          <w:sz w:val="21"/>
          <w:szCs w:val="21"/>
        </w:rPr>
      </w:pPr>
      <w:r>
        <w:rPr>
          <w:rFonts w:hint="eastAsia" w:ascii="黑体" w:hAnsi="宋体" w:eastAsia="黑体" w:cs="黑体"/>
          <w:b w:val="0"/>
          <w:bCs w:val="0"/>
          <w:i w:val="0"/>
          <w:iCs w:val="0"/>
          <w:caps w:val="0"/>
          <w:color w:val="000000"/>
          <w:spacing w:val="0"/>
          <w:sz w:val="32"/>
          <w:szCs w:val="32"/>
          <w:shd w:val="clear" w:fill="FFFFFF"/>
          <w:lang w:val="en-US" w:eastAsia="zh-CN"/>
        </w:rPr>
        <w:t>第三部分 2021年度</w:t>
      </w:r>
      <w:r>
        <w:rPr>
          <w:rFonts w:ascii="黑体" w:hAnsi="宋体" w:eastAsia="黑体" w:cs="黑体"/>
          <w:b w:val="0"/>
          <w:bCs w:val="0"/>
          <w:i w:val="0"/>
          <w:iCs w:val="0"/>
          <w:caps w:val="0"/>
          <w:color w:val="000000"/>
          <w:spacing w:val="0"/>
          <w:sz w:val="32"/>
          <w:szCs w:val="32"/>
          <w:shd w:val="clear" w:fill="FFFFFF"/>
        </w:rPr>
        <w:t>部门</w:t>
      </w:r>
      <w:r>
        <w:rPr>
          <w:rFonts w:hint="eastAsia" w:ascii="黑体" w:hAnsi="宋体" w:eastAsia="黑体" w:cs="黑体"/>
          <w:b w:val="0"/>
          <w:bCs w:val="0"/>
          <w:i w:val="0"/>
          <w:iCs w:val="0"/>
          <w:caps w:val="0"/>
          <w:color w:val="000000"/>
          <w:spacing w:val="0"/>
          <w:sz w:val="32"/>
          <w:szCs w:val="32"/>
          <w:shd w:val="clear" w:fill="FFFFFF"/>
          <w:lang w:val="en-US" w:eastAsia="zh-CN"/>
        </w:rPr>
        <w:t>决算</w:t>
      </w:r>
      <w:r>
        <w:rPr>
          <w:rFonts w:ascii="黑体" w:hAnsi="宋体" w:eastAsia="黑体" w:cs="黑体"/>
          <w:b w:val="0"/>
          <w:bCs w:val="0"/>
          <w:i w:val="0"/>
          <w:iCs w:val="0"/>
          <w:caps w:val="0"/>
          <w:color w:val="000000"/>
          <w:spacing w:val="0"/>
          <w:sz w:val="32"/>
          <w:szCs w:val="32"/>
          <w:shd w:val="clear" w:fill="FFFFFF"/>
        </w:rPr>
        <w:t>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sz w:val="32"/>
          <w:szCs w:val="24"/>
        </w:rPr>
      </w:pPr>
      <w:r>
        <w:rPr>
          <w:rFonts w:hint="eastAsia" w:ascii="仿宋" w:hAnsi="仿宋" w:eastAsia="仿宋" w:cs="仿宋"/>
          <w:b w:val="0"/>
          <w:bCs/>
          <w:sz w:val="32"/>
          <w:szCs w:val="24"/>
        </w:rPr>
        <w:t>一</w:t>
      </w:r>
      <w:r>
        <w:rPr>
          <w:rFonts w:hint="eastAsia" w:ascii="仿宋" w:hAnsi="仿宋" w:eastAsia="仿宋" w:cs="仿宋"/>
          <w:b w:val="0"/>
          <w:bCs/>
          <w:sz w:val="32"/>
          <w:szCs w:val="24"/>
          <w:lang w:eastAsia="zh-CN"/>
        </w:rPr>
        <w:t>、</w:t>
      </w:r>
      <w:r>
        <w:rPr>
          <w:rFonts w:hint="eastAsia" w:ascii="仿宋" w:hAnsi="仿宋" w:eastAsia="仿宋" w:cs="仿宋"/>
          <w:b w:val="0"/>
          <w:bCs/>
          <w:i w:val="0"/>
          <w:iCs w:val="0"/>
          <w:caps w:val="0"/>
          <w:color w:val="000000"/>
          <w:spacing w:val="0"/>
          <w:sz w:val="32"/>
          <w:szCs w:val="32"/>
          <w:shd w:val="clear" w:fill="FFFFFF"/>
          <w:lang w:val="en-US" w:eastAsia="zh-CN"/>
        </w:rPr>
        <w:t>收入支出决算总体情况表</w:t>
      </w:r>
      <w:r>
        <w:rPr>
          <w:rFonts w:hint="eastAsia" w:ascii="仿宋" w:hAnsi="仿宋" w:eastAsia="仿宋" w:cs="仿宋"/>
          <w:b w:val="0"/>
          <w:bCs/>
          <w:sz w:val="32"/>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sz w:val="32"/>
          <w:szCs w:val="24"/>
          <w:lang w:val="en-US" w:eastAsia="zh-CN"/>
        </w:rPr>
      </w:pPr>
      <w:r>
        <w:rPr>
          <w:rFonts w:hint="eastAsia" w:ascii="仿宋" w:hAnsi="仿宋" w:eastAsia="仿宋" w:cs="仿宋"/>
          <w:sz w:val="32"/>
          <w:szCs w:val="24"/>
        </w:rPr>
        <w:t>2021年度收入</w:t>
      </w:r>
      <w:r>
        <w:rPr>
          <w:rFonts w:hint="eastAsia" w:ascii="仿宋" w:hAnsi="仿宋" w:eastAsia="仿宋" w:cs="仿宋"/>
          <w:sz w:val="32"/>
          <w:szCs w:val="24"/>
          <w:lang w:val="en-US" w:eastAsia="zh-CN"/>
        </w:rPr>
        <w:t>总计</w:t>
      </w:r>
      <w:r>
        <w:rPr>
          <w:rFonts w:hint="eastAsia" w:ascii="仿宋" w:hAnsi="仿宋" w:eastAsia="仿宋" w:cs="仿宋"/>
          <w:sz w:val="32"/>
          <w:szCs w:val="24"/>
        </w:rPr>
        <w:t>2,664.29万元，支出</w:t>
      </w:r>
      <w:r>
        <w:rPr>
          <w:rFonts w:hint="eastAsia" w:ascii="仿宋" w:hAnsi="仿宋" w:eastAsia="仿宋" w:cs="仿宋"/>
          <w:sz w:val="32"/>
          <w:szCs w:val="24"/>
          <w:lang w:val="en-US" w:eastAsia="zh-CN"/>
        </w:rPr>
        <w:t>总计</w:t>
      </w:r>
      <w:r>
        <w:rPr>
          <w:rFonts w:hint="eastAsia" w:ascii="仿宋" w:hAnsi="仿宋" w:eastAsia="仿宋" w:cs="仿宋"/>
          <w:sz w:val="32"/>
          <w:szCs w:val="24"/>
        </w:rPr>
        <w:t>2,573.43万元</w:t>
      </w:r>
      <w:r>
        <w:rPr>
          <w:rFonts w:hint="eastAsia" w:ascii="仿宋" w:hAnsi="仿宋" w:eastAsia="仿宋" w:cs="仿宋"/>
          <w:sz w:val="32"/>
          <w:szCs w:val="24"/>
          <w:lang w:eastAsia="zh-CN"/>
        </w:rPr>
        <w:t>。</w:t>
      </w:r>
      <w:r>
        <w:rPr>
          <w:rFonts w:hint="eastAsia" w:ascii="仿宋" w:hAnsi="仿宋" w:eastAsia="仿宋" w:cs="仿宋"/>
          <w:sz w:val="32"/>
          <w:szCs w:val="24"/>
          <w:lang w:val="en-US" w:eastAsia="zh-CN"/>
        </w:rPr>
        <w:t>与上年相比，收入总计增加306.99万元上升了13.02%,支出增加了216.47万元，上升了9.18%主要原因是项目经费增加。</w:t>
      </w:r>
    </w:p>
    <w:p>
      <w:pPr>
        <w:numPr>
          <w:ilvl w:val="0"/>
          <w:numId w:val="0"/>
        </w:numPr>
        <w:spacing w:beforeLines="0" w:afterLines="0"/>
        <w:ind w:left="630" w:leftChars="0"/>
        <w:rPr>
          <w:rFonts w:hint="eastAsia" w:ascii="仿宋" w:hAnsi="仿宋" w:eastAsia="仿宋" w:cs="仿宋"/>
          <w:sz w:val="32"/>
          <w:szCs w:val="24"/>
        </w:rPr>
      </w:pPr>
      <w:r>
        <w:rPr>
          <w:rFonts w:hint="eastAsia" w:ascii="仿宋" w:hAnsi="仿宋" w:eastAsia="仿宋" w:cs="仿宋"/>
          <w:b w:val="0"/>
          <w:bCs/>
          <w:sz w:val="32"/>
          <w:szCs w:val="24"/>
          <w:lang w:val="en-US" w:eastAsia="zh-CN"/>
        </w:rPr>
        <w:t>二、收入决算情况说明</w:t>
      </w:r>
      <w:r>
        <w:rPr>
          <w:rFonts w:hint="eastAsia" w:ascii="仿宋" w:hAnsi="仿宋" w:eastAsia="仿宋" w:cs="仿宋"/>
          <w:b w:val="0"/>
          <w:bCs/>
          <w:sz w:val="32"/>
          <w:szCs w:val="24"/>
        </w:rPr>
        <w:t>。</w:t>
      </w:r>
    </w:p>
    <w:p>
      <w:pPr>
        <w:numPr>
          <w:ilvl w:val="0"/>
          <w:numId w:val="0"/>
        </w:numPr>
        <w:spacing w:beforeLines="0" w:afterLines="0"/>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rPr>
        <w:t>2021年度收入2,664.</w:t>
      </w:r>
      <w:r>
        <w:rPr>
          <w:rFonts w:hint="eastAsia" w:ascii="仿宋" w:hAnsi="仿宋" w:eastAsia="仿宋" w:cs="仿宋"/>
          <w:sz w:val="32"/>
          <w:szCs w:val="24"/>
          <w:lang w:val="en-US" w:eastAsia="zh-CN"/>
        </w:rPr>
        <w:t>29</w:t>
      </w:r>
      <w:r>
        <w:rPr>
          <w:rFonts w:hint="eastAsia" w:ascii="仿宋" w:hAnsi="仿宋" w:eastAsia="仿宋" w:cs="仿宋"/>
          <w:sz w:val="32"/>
          <w:szCs w:val="24"/>
        </w:rPr>
        <w:t>万元，</w:t>
      </w:r>
      <w:r>
        <w:rPr>
          <w:rFonts w:hint="eastAsia" w:ascii="仿宋" w:hAnsi="仿宋" w:eastAsia="仿宋" w:cs="仿宋"/>
          <w:sz w:val="32"/>
          <w:szCs w:val="24"/>
          <w:lang w:val="en-US" w:eastAsia="zh-CN"/>
        </w:rPr>
        <w:t>其中：财政拨款收入2664.03万元，占比99.99%，其他收入0.26万元，占比0.01%</w:t>
      </w:r>
    </w:p>
    <w:p>
      <w:pPr>
        <w:numPr>
          <w:ilvl w:val="0"/>
          <w:numId w:val="0"/>
        </w:numPr>
        <w:spacing w:beforeLines="0" w:afterLines="0"/>
        <w:ind w:left="63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三、支出决算情况说明</w:t>
      </w:r>
    </w:p>
    <w:p>
      <w:pPr>
        <w:numPr>
          <w:ilvl w:val="0"/>
          <w:numId w:val="0"/>
        </w:numPr>
        <w:spacing w:beforeLines="0" w:afterLines="0"/>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2021年度支出合计2573.43万元，其中：基本支出2224.8万元，占比86.45%。项目支出348.63万元，占比13.55%。</w:t>
      </w:r>
    </w:p>
    <w:p>
      <w:pPr>
        <w:numPr>
          <w:ilvl w:val="0"/>
          <w:numId w:val="0"/>
        </w:numPr>
        <w:spacing w:beforeLines="0" w:afterLines="0"/>
        <w:ind w:left="63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四、财政拨款收入支出决算总体情况表</w:t>
      </w:r>
    </w:p>
    <w:p>
      <w:pPr>
        <w:numPr>
          <w:ilvl w:val="0"/>
          <w:numId w:val="0"/>
        </w:numPr>
        <w:spacing w:beforeLines="0" w:afterLines="0"/>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2021年度财政拨款收入总计2664.29万元、支出总计2664.29万元。与上年相比，财政拨款收入总计增加306.99万元，增加13.02%。财政拨款支出总计增加306.99万元，增加13.02%,主要原因是项目经费增加。</w:t>
      </w:r>
    </w:p>
    <w:p>
      <w:pPr>
        <w:numPr>
          <w:ilvl w:val="0"/>
          <w:numId w:val="0"/>
        </w:numPr>
        <w:spacing w:beforeLines="0" w:afterLines="0"/>
        <w:ind w:left="630" w:leftChars="0"/>
        <w:rPr>
          <w:rFonts w:hint="eastAsia" w:ascii="仿宋" w:hAnsi="仿宋" w:eastAsia="仿宋" w:cs="仿宋"/>
          <w:b w:val="0"/>
          <w:bCs/>
          <w:sz w:val="32"/>
          <w:szCs w:val="24"/>
        </w:rPr>
      </w:pPr>
      <w:r>
        <w:rPr>
          <w:rFonts w:hint="eastAsia" w:ascii="仿宋" w:hAnsi="仿宋" w:eastAsia="仿宋" w:cs="仿宋"/>
          <w:b w:val="0"/>
          <w:bCs/>
          <w:sz w:val="32"/>
          <w:szCs w:val="24"/>
          <w:lang w:val="en-US" w:eastAsia="zh-CN"/>
        </w:rPr>
        <w:t>五、</w:t>
      </w:r>
      <w:r>
        <w:rPr>
          <w:rFonts w:hint="eastAsia" w:ascii="仿宋" w:hAnsi="仿宋" w:eastAsia="仿宋" w:cs="仿宋"/>
          <w:b w:val="0"/>
          <w:bCs/>
          <w:sz w:val="32"/>
          <w:szCs w:val="24"/>
        </w:rPr>
        <w:t>一般公共预算财政拨款</w:t>
      </w:r>
      <w:r>
        <w:rPr>
          <w:rFonts w:hint="eastAsia" w:ascii="仿宋" w:hAnsi="仿宋" w:eastAsia="仿宋" w:cs="仿宋"/>
          <w:b w:val="0"/>
          <w:bCs/>
          <w:sz w:val="32"/>
          <w:szCs w:val="24"/>
          <w:lang w:val="en-US" w:eastAsia="zh-CN"/>
        </w:rPr>
        <w:t>支出决算情况说明</w:t>
      </w:r>
    </w:p>
    <w:p>
      <w:pPr>
        <w:numPr>
          <w:ilvl w:val="0"/>
          <w:numId w:val="0"/>
        </w:numPr>
        <w:spacing w:beforeLines="0" w:afterLines="0"/>
        <w:ind w:left="570" w:leftChars="0"/>
        <w:rPr>
          <w:rFonts w:hint="eastAsia" w:ascii="仿宋" w:hAnsi="仿宋" w:eastAsia="仿宋" w:cs="仿宋"/>
          <w:b w:val="0"/>
          <w:bCs/>
          <w:sz w:val="32"/>
          <w:szCs w:val="24"/>
          <w:lang w:val="en-US"/>
        </w:rPr>
      </w:pPr>
      <w:r>
        <w:rPr>
          <w:rFonts w:hint="eastAsia" w:ascii="仿宋" w:hAnsi="仿宋" w:eastAsia="仿宋" w:cs="仿宋"/>
          <w:b w:val="0"/>
          <w:bCs/>
          <w:sz w:val="32"/>
          <w:szCs w:val="24"/>
          <w:lang w:val="en-US" w:eastAsia="zh-CN"/>
        </w:rPr>
        <w:t>（一）</w:t>
      </w:r>
      <w:r>
        <w:rPr>
          <w:rFonts w:hint="eastAsia" w:ascii="仿宋" w:hAnsi="仿宋" w:eastAsia="仿宋" w:cs="仿宋"/>
          <w:sz w:val="32"/>
          <w:szCs w:val="24"/>
          <w:lang w:val="en-US" w:eastAsia="zh-CN"/>
        </w:rPr>
        <w:t>财政拨款支出决算总体情况</w:t>
      </w:r>
    </w:p>
    <w:p>
      <w:pPr>
        <w:numPr>
          <w:ilvl w:val="0"/>
          <w:numId w:val="0"/>
        </w:numPr>
        <w:spacing w:beforeLines="0" w:afterLines="0"/>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rPr>
        <w:t>2021年度</w:t>
      </w:r>
      <w:r>
        <w:rPr>
          <w:rFonts w:hint="eastAsia" w:ascii="仿宋" w:hAnsi="仿宋" w:eastAsia="仿宋" w:cs="仿宋"/>
          <w:sz w:val="32"/>
          <w:szCs w:val="24"/>
          <w:lang w:val="en-US" w:eastAsia="zh-CN"/>
        </w:rPr>
        <w:t>支出2224.80</w:t>
      </w:r>
      <w:r>
        <w:rPr>
          <w:rFonts w:hint="eastAsia" w:ascii="仿宋" w:hAnsi="仿宋" w:eastAsia="仿宋" w:cs="仿宋"/>
          <w:sz w:val="32"/>
          <w:szCs w:val="24"/>
        </w:rPr>
        <w:t>万元，</w:t>
      </w:r>
      <w:r>
        <w:rPr>
          <w:rFonts w:hint="eastAsia" w:ascii="仿宋" w:hAnsi="仿宋" w:eastAsia="仿宋" w:cs="仿宋"/>
          <w:sz w:val="32"/>
          <w:szCs w:val="24"/>
          <w:lang w:val="en-US" w:eastAsia="zh-CN"/>
        </w:rPr>
        <w:t>占本年支出合计的86.45%。与上年相比，财政拨款支增加168.73万元，增加8.2%。其中人员经费2116.42，占比95.13%，日常公用经费108.39万元，占比4.87%。</w:t>
      </w:r>
    </w:p>
    <w:p>
      <w:pPr>
        <w:numPr>
          <w:ilvl w:val="0"/>
          <w:numId w:val="0"/>
        </w:numPr>
        <w:spacing w:beforeLines="0" w:afterLines="0"/>
        <w:ind w:leftChars="0"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（二）财政拨款支出决算结构情况</w:t>
      </w:r>
    </w:p>
    <w:p>
      <w:pPr>
        <w:numPr>
          <w:ilvl w:val="0"/>
          <w:numId w:val="0"/>
        </w:numPr>
        <w:spacing w:beforeLines="0" w:afterLines="0"/>
        <w:ind w:leftChars="0" w:firstLine="64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2021年度财政拨款支出2224.80</w:t>
      </w:r>
      <w:r>
        <w:rPr>
          <w:rFonts w:hint="eastAsia" w:ascii="仿宋" w:hAnsi="仿宋" w:eastAsia="仿宋" w:cs="仿宋"/>
          <w:sz w:val="32"/>
          <w:szCs w:val="24"/>
        </w:rPr>
        <w:t>万元</w:t>
      </w:r>
      <w:r>
        <w:rPr>
          <w:rFonts w:hint="eastAsia" w:ascii="仿宋" w:hAnsi="仿宋" w:eastAsia="仿宋" w:cs="仿宋"/>
          <w:sz w:val="32"/>
          <w:szCs w:val="24"/>
          <w:lang w:eastAsia="zh-CN"/>
        </w:rPr>
        <w:t>，</w:t>
      </w:r>
      <w:r>
        <w:rPr>
          <w:rFonts w:hint="eastAsia" w:ascii="仿宋" w:hAnsi="仿宋" w:eastAsia="仿宋" w:cs="仿宋"/>
          <w:sz w:val="32"/>
          <w:szCs w:val="24"/>
          <w:lang w:val="en-US" w:eastAsia="zh-CN"/>
        </w:rPr>
        <w:t>主要用于以下方面：公共安全支出1713.75万元，占比77.03%。社会保障和就业支出249.78万元，占比11.22%。卫生健康支出96.96万元，占比4.36%。住房保障支出164.31万元，占比7.39%。</w:t>
      </w:r>
    </w:p>
    <w:p>
      <w:pPr>
        <w:numPr>
          <w:ilvl w:val="0"/>
          <w:numId w:val="0"/>
        </w:numPr>
        <w:spacing w:beforeLines="0" w:afterLines="0"/>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(三)财政拨款支出决算具体情况</w:t>
      </w:r>
    </w:p>
    <w:p>
      <w:pPr>
        <w:numPr>
          <w:ilvl w:val="0"/>
          <w:numId w:val="0"/>
        </w:numPr>
        <w:spacing w:beforeLines="0" w:afterLines="0"/>
        <w:ind w:leftChars="0" w:firstLine="64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2021年度财政拨款支出年初预算2664.03万元，支出决算2573.43万元，完成年初预算的96.60%。</w:t>
      </w:r>
    </w:p>
    <w:p>
      <w:pPr>
        <w:numPr>
          <w:ilvl w:val="0"/>
          <w:numId w:val="0"/>
        </w:numPr>
        <w:spacing w:beforeLines="0" w:afterLines="0"/>
        <w:ind w:leftChars="0" w:firstLine="64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六、一般公共预算财政拨款基本支出决算情况说明</w:t>
      </w:r>
    </w:p>
    <w:p>
      <w:pPr>
        <w:numPr>
          <w:ilvl w:val="0"/>
          <w:numId w:val="0"/>
        </w:numPr>
        <w:spacing w:beforeLines="0" w:afterLines="0"/>
        <w:ind w:leftChars="0" w:firstLine="64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2021年度财政拨款基本支出2224.80万元，其中:人员经费2116.42万元，主要包括工资福利支出2093.91万元、对个人和家庭的补助22.51万元;公用经费108.39万元，主要包括商品服务支出。</w:t>
      </w:r>
    </w:p>
    <w:p>
      <w:pPr>
        <w:numPr>
          <w:ilvl w:val="0"/>
          <w:numId w:val="5"/>
        </w:numPr>
        <w:spacing w:beforeLines="0" w:afterLines="0"/>
        <w:ind w:leftChars="0" w:firstLine="64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一般公共预算财政拨款“三公”经费支出决算情况说明</w:t>
      </w:r>
    </w:p>
    <w:p>
      <w:pPr>
        <w:numPr>
          <w:ilvl w:val="0"/>
          <w:numId w:val="0"/>
        </w:numPr>
        <w:spacing w:beforeLines="0" w:afterLines="0"/>
        <w:ind w:left="64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(一)“三公”经费财政拨款支出决算总体情况说明。</w:t>
      </w:r>
    </w:p>
    <w:p>
      <w:pPr>
        <w:numPr>
          <w:ilvl w:val="0"/>
          <w:numId w:val="0"/>
        </w:numPr>
        <w:spacing w:beforeLines="0" w:afterLines="0"/>
        <w:ind w:leftChars="0" w:firstLine="64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2021年度“三公”经费财政拨款支出预算1.6万元，支出决算 1.15万元，完成预算的71.88%，比上年减少0.02万元。</w:t>
      </w:r>
    </w:p>
    <w:p>
      <w:pPr>
        <w:numPr>
          <w:ilvl w:val="0"/>
          <w:numId w:val="0"/>
        </w:numPr>
        <w:spacing w:beforeLines="0" w:afterLines="0"/>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（二）“三公”经费财政拨款支出决算具体情况说明。</w:t>
      </w:r>
    </w:p>
    <w:p>
      <w:pPr>
        <w:numPr>
          <w:ilvl w:val="0"/>
          <w:numId w:val="0"/>
        </w:numPr>
        <w:spacing w:beforeLines="0" w:afterLines="0"/>
        <w:ind w:firstLine="640" w:firstLineChars="200"/>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2021年度“三公”经费财政拨款支出预算1.6万元，支出决算 1.15万元，其中：公务用车运行维护费预算1.6万元，支出决算 1.15万元，比上年减少0.02万元，用于用公务用车燃料费、维修费、保险费用等支出。2021年年末公务用车保有1辆，其中：其他用车1辆，我单位把严格控制三公经费作为一项重要工作，认真贯彻落实中央、省、市各项要求，进一步从严控制“三公经费”开支。</w:t>
      </w:r>
    </w:p>
    <w:p>
      <w:pPr>
        <w:numPr>
          <w:ilvl w:val="0"/>
          <w:numId w:val="0"/>
        </w:numPr>
        <w:spacing w:beforeLines="0" w:afterLines="0"/>
        <w:ind w:left="64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八、其他重要事项情况说明</w:t>
      </w:r>
    </w:p>
    <w:p>
      <w:pPr>
        <w:numPr>
          <w:ilvl w:val="0"/>
          <w:numId w:val="0"/>
        </w:numPr>
        <w:spacing w:beforeLines="0" w:afterLines="0"/>
        <w:ind w:left="64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(一)机关运行经费支出情况说明</w:t>
      </w:r>
    </w:p>
    <w:p>
      <w:pPr>
        <w:numPr>
          <w:ilvl w:val="0"/>
          <w:numId w:val="0"/>
        </w:numPr>
        <w:spacing w:beforeLines="0" w:afterLine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我单位无机关运行经费。</w:t>
      </w:r>
    </w:p>
    <w:p>
      <w:pPr>
        <w:numPr>
          <w:ilvl w:val="0"/>
          <w:numId w:val="0"/>
        </w:numPr>
        <w:spacing w:beforeLines="0" w:afterLines="0"/>
        <w:ind w:left="64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(二)政府采购情况说明</w:t>
      </w:r>
    </w:p>
    <w:p>
      <w:pPr>
        <w:numPr>
          <w:ilvl w:val="0"/>
          <w:numId w:val="0"/>
        </w:numPr>
        <w:spacing w:beforeLines="0" w:afterLines="0"/>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2021年度政府采购支出总额无支出。</w:t>
      </w:r>
    </w:p>
    <w:p>
      <w:pPr>
        <w:numPr>
          <w:ilvl w:val="0"/>
          <w:numId w:val="0"/>
        </w:numPr>
        <w:spacing w:beforeLines="0" w:afterLines="0"/>
        <w:ind w:left="64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(三)国有资产占用情况说明</w:t>
      </w:r>
    </w:p>
    <w:p>
      <w:pPr>
        <w:numPr>
          <w:ilvl w:val="0"/>
          <w:numId w:val="0"/>
        </w:numPr>
        <w:spacing w:beforeLines="0" w:afterLines="0"/>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截至2021年12月31日，本部门共有车辆1辆。其中，其他用车1辆，单价50万元(含)以上的通用设备0台，单价100万元(含)以上专用设备0台。</w:t>
      </w:r>
    </w:p>
    <w:p>
      <w:pPr>
        <w:numPr>
          <w:ilvl w:val="0"/>
          <w:numId w:val="0"/>
        </w:numPr>
        <w:spacing w:beforeLines="0" w:afterLines="0"/>
        <w:ind w:left="64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(四)预算绩效情况说明</w:t>
      </w:r>
    </w:p>
    <w:p>
      <w:pPr>
        <w:numPr>
          <w:ilvl w:val="0"/>
          <w:numId w:val="0"/>
        </w:numPr>
        <w:spacing w:beforeLines="0" w:afterLines="0"/>
        <w:ind w:firstLine="640" w:firstLineChars="20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(1)预算绩效管理工作开展情况。根据预算绩效管理要求，我部门组织对2021年度市级财政预算安排的专项资金类3个项目支出全面开展绩效自评，涉及预算资金261.23万元，实际支出137.67万元，完成预算的52.7%。</w:t>
      </w:r>
      <w:r>
        <w:rPr>
          <w:rFonts w:hint="eastAsia" w:ascii="仿宋" w:hAnsi="仿宋" w:eastAsia="仿宋" w:cs="仿宋"/>
          <w:b w:val="0"/>
          <w:bCs w:val="0"/>
          <w:i w:val="0"/>
          <w:iCs w:val="0"/>
          <w:caps w:val="0"/>
          <w:color w:val="000000"/>
          <w:spacing w:val="0"/>
          <w:sz w:val="32"/>
          <w:szCs w:val="32"/>
          <w:shd w:val="clear" w:fill="FFFFFF"/>
          <w:lang w:val="en-US" w:eastAsia="zh-CN"/>
        </w:rPr>
        <w:t>以确保全市公安民警、辅警、保安、驾驶员各类培训，刑事勘察、检验鉴定、痕迹物证提取指导、身份证管理、警犬训练实战、公安系统等后勤保障工作。</w:t>
      </w:r>
    </w:p>
    <w:p>
      <w:pPr>
        <w:numPr>
          <w:ilvl w:val="0"/>
          <w:numId w:val="0"/>
        </w:numPr>
        <w:spacing w:beforeLines="0" w:afterLines="0"/>
        <w:rPr>
          <w:rFonts w:hint="eastAsia" w:ascii="仿宋" w:hAnsi="仿宋" w:eastAsia="仿宋" w:cs="仿宋"/>
          <w:sz w:val="32"/>
          <w:szCs w:val="24"/>
          <w:lang w:val="en-US" w:eastAsia="zh-CN"/>
        </w:rPr>
      </w:pPr>
    </w:p>
    <w:p>
      <w:pPr>
        <w:numPr>
          <w:ilvl w:val="0"/>
          <w:numId w:val="0"/>
        </w:numPr>
        <w:spacing w:beforeLines="0" w:afterLines="0"/>
        <w:ind w:left="640" w:leftChars="0"/>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（2）部门决算中项目绩效自评结果</w:t>
      </w:r>
    </w:p>
    <w:tbl>
      <w:tblPr>
        <w:tblStyle w:val="3"/>
        <w:tblW w:w="9089" w:type="dxa"/>
        <w:tblInd w:w="0" w:type="dxa"/>
        <w:tblLayout w:type="fixed"/>
        <w:tblCellMar>
          <w:top w:w="0" w:type="dxa"/>
          <w:left w:w="108" w:type="dxa"/>
          <w:bottom w:w="0" w:type="dxa"/>
          <w:right w:w="108" w:type="dxa"/>
        </w:tblCellMar>
      </w:tblPr>
      <w:tblGrid>
        <w:gridCol w:w="588"/>
        <w:gridCol w:w="632"/>
        <w:gridCol w:w="414"/>
        <w:gridCol w:w="329"/>
        <w:gridCol w:w="975"/>
        <w:gridCol w:w="709"/>
        <w:gridCol w:w="1268"/>
        <w:gridCol w:w="1897"/>
        <w:gridCol w:w="217"/>
        <w:gridCol w:w="436"/>
        <w:gridCol w:w="56"/>
        <w:gridCol w:w="558"/>
        <w:gridCol w:w="293"/>
        <w:gridCol w:w="708"/>
        <w:gridCol w:w="9"/>
      </w:tblGrid>
      <w:tr>
        <w:tblPrEx>
          <w:tblCellMar>
            <w:top w:w="0" w:type="dxa"/>
            <w:left w:w="108" w:type="dxa"/>
            <w:bottom w:w="0" w:type="dxa"/>
            <w:right w:w="108" w:type="dxa"/>
          </w:tblCellMar>
        </w:tblPrEx>
        <w:trPr>
          <w:gridAfter w:val="1"/>
          <w:wAfter w:w="9" w:type="dxa"/>
          <w:trHeight w:val="529" w:hRule="exact"/>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gridAfter w:val="1"/>
          <w:wAfter w:w="9" w:type="dxa"/>
          <w:trHeight w:val="201" w:hRule="atLeast"/>
        </w:trPr>
        <w:tc>
          <w:tcPr>
            <w:tcW w:w="9080" w:type="dxa"/>
            <w:gridSpan w:val="14"/>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gridAfter w:val="1"/>
          <w:wAfter w:w="9" w:type="dxa"/>
          <w:trHeight w:val="320" w:hRule="exact"/>
        </w:trPr>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86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公安专项培训费</w:t>
            </w:r>
          </w:p>
        </w:tc>
      </w:tr>
      <w:tr>
        <w:tblPrEx>
          <w:tblCellMar>
            <w:top w:w="0" w:type="dxa"/>
            <w:left w:w="108" w:type="dxa"/>
            <w:bottom w:w="0" w:type="dxa"/>
            <w:right w:w="108" w:type="dxa"/>
          </w:tblCellMar>
        </w:tblPrEx>
        <w:trPr>
          <w:gridAfter w:val="1"/>
          <w:wAfter w:w="9" w:type="dxa"/>
          <w:trHeight w:val="380" w:hRule="exact"/>
        </w:trPr>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69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大同市公安局</w:t>
            </w:r>
          </w:p>
        </w:tc>
        <w:tc>
          <w:tcPr>
            <w:tcW w:w="18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12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7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8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gridAfter w:val="1"/>
          <w:wAfter w:w="9" w:type="dxa"/>
          <w:trHeight w:val="300" w:hRule="exact"/>
        </w:trPr>
        <w:tc>
          <w:tcPr>
            <w:tcW w:w="12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213.31</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213.31</w:t>
            </w:r>
          </w:p>
        </w:tc>
        <w:tc>
          <w:tcPr>
            <w:tcW w:w="18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100.54</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gridAfter w:val="1"/>
          <w:wAfter w:w="9" w:type="dxa"/>
          <w:trHeight w:val="300" w:hRule="exact"/>
        </w:trPr>
        <w:tc>
          <w:tcPr>
            <w:tcW w:w="12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213.31</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213.31</w:t>
            </w:r>
          </w:p>
        </w:tc>
        <w:tc>
          <w:tcPr>
            <w:tcW w:w="189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100.54</w:t>
            </w: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9" w:type="dxa"/>
          <w:trHeight w:val="300" w:hRule="exact"/>
        </w:trPr>
        <w:tc>
          <w:tcPr>
            <w:tcW w:w="12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9" w:type="dxa"/>
          <w:trHeight w:val="300" w:hRule="exact"/>
        </w:trPr>
        <w:tc>
          <w:tcPr>
            <w:tcW w:w="12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7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9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9" w:type="dxa"/>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432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16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gridAfter w:val="1"/>
          <w:wAfter w:w="9" w:type="dxa"/>
          <w:trHeight w:val="597"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2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165"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533"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6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74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预计培训人数</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&gt;3121人</w:t>
            </w: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2300人</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培训参与率</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955"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培训时间</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≤1年</w:t>
            </w: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骨干培训、晋司培训、警务实战、执法监督5月，领导干部培训8月，民警岗前培训12月</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lang w:val="en-US" w:eastAsia="zh-CN"/>
              </w:rPr>
              <w:t>培训费</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200万元</w:t>
            </w: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88万元</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45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kern w:val="0"/>
                <w:sz w:val="18"/>
                <w:szCs w:val="18"/>
                <w:lang w:val="en-US" w:eastAsia="zh-CN"/>
              </w:rPr>
              <w:t>培训办公用品</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13.31万元</w:t>
            </w: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12.54万元</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19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提升业务素质执行能力</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提升</w:t>
            </w: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提升</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43"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相关人员满意度</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100%</w:t>
            </w: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98%</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3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43"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6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6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9" w:type="dxa"/>
          <w:trHeight w:val="300" w:hRule="exact"/>
        </w:trPr>
        <w:tc>
          <w:tcPr>
            <w:tcW w:w="70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1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87</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3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7126"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年初预算数</w:t>
            </w:r>
            <w:r>
              <w:rPr>
                <w:rFonts w:hint="eastAsia" w:ascii="宋体" w:hAnsi="宋体" w:eastAsia="宋体" w:cs="宋体"/>
                <w:kern w:val="0"/>
                <w:sz w:val="18"/>
                <w:szCs w:val="18"/>
                <w:lang w:val="en-US" w:eastAsia="zh-CN"/>
              </w:rPr>
              <w:t>213.31万元，实际支付100.54万元</w:t>
            </w:r>
          </w:p>
        </w:tc>
      </w:tr>
      <w:tr>
        <w:tblPrEx>
          <w:tblCellMar>
            <w:top w:w="0" w:type="dxa"/>
            <w:left w:w="108" w:type="dxa"/>
            <w:bottom w:w="0" w:type="dxa"/>
            <w:right w:w="108" w:type="dxa"/>
          </w:tblCellMar>
        </w:tblPrEx>
        <w:trPr>
          <w:trHeight w:val="1045"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3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7126"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保障资金按时拨付</w:t>
            </w:r>
          </w:p>
        </w:tc>
      </w:tr>
      <w:tr>
        <w:tblPrEx>
          <w:tblCellMar>
            <w:top w:w="0" w:type="dxa"/>
            <w:left w:w="108" w:type="dxa"/>
            <w:bottom w:w="0" w:type="dxa"/>
            <w:right w:w="108" w:type="dxa"/>
          </w:tblCellMar>
        </w:tblPrEx>
        <w:trPr>
          <w:trHeight w:val="1100"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3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7126"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提升业务素质执行能力</w:t>
            </w:r>
          </w:p>
        </w:tc>
      </w:tr>
      <w:tr>
        <w:tblPrEx>
          <w:tblCellMar>
            <w:top w:w="0" w:type="dxa"/>
            <w:left w:w="108" w:type="dxa"/>
            <w:bottom w:w="0" w:type="dxa"/>
            <w:right w:w="108" w:type="dxa"/>
          </w:tblCellMar>
        </w:tblPrEx>
        <w:trPr>
          <w:trHeight w:val="890"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3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7126"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单位人员较为满意</w:t>
            </w:r>
          </w:p>
        </w:tc>
      </w:tr>
      <w:tr>
        <w:tblPrEx>
          <w:tblCellMar>
            <w:top w:w="0" w:type="dxa"/>
            <w:left w:w="108" w:type="dxa"/>
            <w:bottom w:w="0" w:type="dxa"/>
            <w:right w:w="108" w:type="dxa"/>
          </w:tblCellMar>
        </w:tblPrEx>
        <w:trPr>
          <w:gridAfter w:val="1"/>
          <w:wAfter w:w="9" w:type="dxa"/>
          <w:trHeight w:val="2240"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711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根据财政相关规定，按进度支付</w:t>
            </w:r>
          </w:p>
        </w:tc>
      </w:tr>
      <w:tr>
        <w:tblPrEx>
          <w:tblCellMar>
            <w:top w:w="0" w:type="dxa"/>
            <w:left w:w="108" w:type="dxa"/>
            <w:bottom w:w="0" w:type="dxa"/>
            <w:right w:w="108" w:type="dxa"/>
          </w:tblCellMar>
        </w:tblPrEx>
        <w:trPr>
          <w:gridAfter w:val="1"/>
          <w:wAfter w:w="9" w:type="dxa"/>
          <w:trHeight w:val="4900"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711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对项目资金管理不到位，忽视了预算项目支出的绩效管理，从而造成财政资金运用效益低下、预算项目支出难以发挥预期的效果的问题。</w:t>
            </w:r>
          </w:p>
        </w:tc>
      </w:tr>
      <w:tr>
        <w:tblPrEx>
          <w:tblCellMar>
            <w:top w:w="0" w:type="dxa"/>
            <w:left w:w="108" w:type="dxa"/>
            <w:bottom w:w="0" w:type="dxa"/>
            <w:right w:w="108" w:type="dxa"/>
          </w:tblCellMar>
        </w:tblPrEx>
        <w:trPr>
          <w:gridAfter w:val="1"/>
          <w:wAfter w:w="9" w:type="dxa"/>
          <w:trHeight w:val="2020"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3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711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需要进一步加强财务管理，进一步深化预算项目支出管理，运用科学方法做好预算项目的编制工作</w:t>
            </w:r>
            <w:r>
              <w:rPr>
                <w:rFonts w:hint="eastAsia" w:ascii="宋体" w:hAnsi="宋体" w:eastAsia="宋体" w:cs="宋体"/>
                <w:kern w:val="0"/>
                <w:sz w:val="18"/>
                <w:szCs w:val="18"/>
                <w:lang w:eastAsia="zh-CN"/>
              </w:rPr>
              <w:t>，并严格按照预算要求组织实施，从而使单位的财务管理更加规范，从而进一步优化预算项目支出，保证支出的科学性，提高资金的使用效益。</w:t>
            </w:r>
          </w:p>
        </w:tc>
      </w:tr>
    </w:tbl>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公安专项培训费</w:t>
      </w:r>
      <w:r>
        <w:rPr>
          <w:rFonts w:hint="default" w:ascii="仿宋_GB2312" w:hAnsi="仿宋_GB2312" w:eastAsia="仿宋_GB2312"/>
          <w:sz w:val="32"/>
          <w:szCs w:val="24"/>
          <w:lang w:val="en-US" w:eastAsia="zh-CN"/>
        </w:rPr>
        <w:t>根据年初设定的绩效目标，项目自评得分为</w:t>
      </w:r>
      <w:r>
        <w:rPr>
          <w:rFonts w:hint="eastAsia" w:ascii="仿宋_GB2312" w:hAnsi="仿宋_GB2312" w:eastAsia="仿宋_GB2312"/>
          <w:sz w:val="32"/>
          <w:szCs w:val="24"/>
          <w:lang w:val="en-US" w:eastAsia="zh-CN"/>
        </w:rPr>
        <w:t>87</w:t>
      </w:r>
      <w:r>
        <w:rPr>
          <w:rFonts w:hint="default" w:ascii="仿宋_GB2312" w:hAnsi="仿宋_GB2312" w:eastAsia="仿宋_GB2312"/>
          <w:sz w:val="32"/>
          <w:szCs w:val="24"/>
          <w:lang w:val="en-US" w:eastAsia="zh-CN"/>
        </w:rPr>
        <w:t>分。全年预算数为</w:t>
      </w:r>
      <w:r>
        <w:rPr>
          <w:rFonts w:hint="eastAsia" w:ascii="仿宋_GB2312" w:hAnsi="仿宋_GB2312" w:eastAsia="仿宋_GB2312"/>
          <w:sz w:val="32"/>
          <w:szCs w:val="24"/>
          <w:lang w:val="en-US" w:eastAsia="zh-CN"/>
        </w:rPr>
        <w:t>213.31</w:t>
      </w:r>
      <w:r>
        <w:rPr>
          <w:rFonts w:hint="default" w:ascii="仿宋_GB2312" w:hAnsi="仿宋_GB2312" w:eastAsia="仿宋_GB2312"/>
          <w:sz w:val="32"/>
          <w:szCs w:val="24"/>
          <w:lang w:val="en-US" w:eastAsia="zh-CN"/>
        </w:rPr>
        <w:t>万元，执行数为</w:t>
      </w:r>
      <w:r>
        <w:rPr>
          <w:rFonts w:hint="eastAsia" w:ascii="仿宋_GB2312" w:hAnsi="仿宋_GB2312" w:eastAsia="仿宋_GB2312"/>
          <w:sz w:val="32"/>
          <w:szCs w:val="24"/>
          <w:lang w:val="en-US" w:eastAsia="zh-CN"/>
        </w:rPr>
        <w:t>100.54</w:t>
      </w:r>
      <w:r>
        <w:rPr>
          <w:rFonts w:hint="default" w:ascii="仿宋_GB2312" w:hAnsi="仿宋_GB2312" w:eastAsia="仿宋_GB2312"/>
          <w:sz w:val="32"/>
          <w:szCs w:val="24"/>
          <w:lang w:val="en-US" w:eastAsia="zh-CN"/>
        </w:rPr>
        <w:t>万元，完成预算的</w:t>
      </w:r>
      <w:r>
        <w:rPr>
          <w:rFonts w:hint="eastAsia" w:ascii="仿宋_GB2312" w:hAnsi="仿宋_GB2312" w:eastAsia="仿宋_GB2312"/>
          <w:sz w:val="32"/>
          <w:szCs w:val="24"/>
          <w:lang w:val="en-US" w:eastAsia="zh-CN"/>
        </w:rPr>
        <w:t>47.13</w:t>
      </w:r>
      <w:r>
        <w:rPr>
          <w:rFonts w:hint="default" w:ascii="仿宋_GB2312" w:hAnsi="仿宋_GB2312" w:eastAsia="仿宋_GB2312"/>
          <w:sz w:val="32"/>
          <w:szCs w:val="24"/>
          <w:lang w:val="en-US" w:eastAsia="zh-CN"/>
        </w:rPr>
        <w:t>%。</w:t>
      </w:r>
    </w:p>
    <w:tbl>
      <w:tblPr>
        <w:tblStyle w:val="3"/>
        <w:tblW w:w="9081" w:type="dxa"/>
        <w:tblInd w:w="0" w:type="dxa"/>
        <w:tblLayout w:type="fixed"/>
        <w:tblCellMar>
          <w:top w:w="0" w:type="dxa"/>
          <w:left w:w="108" w:type="dxa"/>
          <w:bottom w:w="0" w:type="dxa"/>
          <w:right w:w="108" w:type="dxa"/>
        </w:tblCellMar>
      </w:tblPr>
      <w:tblGrid>
        <w:gridCol w:w="588"/>
        <w:gridCol w:w="591"/>
        <w:gridCol w:w="455"/>
        <w:gridCol w:w="309"/>
        <w:gridCol w:w="572"/>
        <w:gridCol w:w="1228"/>
        <w:gridCol w:w="777"/>
        <w:gridCol w:w="2114"/>
        <w:gridCol w:w="888"/>
        <w:gridCol w:w="230"/>
        <w:gridCol w:w="463"/>
        <w:gridCol w:w="158"/>
        <w:gridCol w:w="707"/>
        <w:gridCol w:w="1"/>
      </w:tblGrid>
      <w:tr>
        <w:tblPrEx>
          <w:tblCellMar>
            <w:top w:w="0" w:type="dxa"/>
            <w:left w:w="108" w:type="dxa"/>
            <w:bottom w:w="0" w:type="dxa"/>
            <w:right w:w="108" w:type="dxa"/>
          </w:tblCellMar>
        </w:tblPrEx>
        <w:trPr>
          <w:gridAfter w:val="1"/>
          <w:wAfter w:w="1" w:type="dxa"/>
          <w:trHeight w:val="529" w:hRule="exact"/>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gridAfter w:val="1"/>
          <w:wAfter w:w="1" w:type="dxa"/>
          <w:trHeight w:val="201" w:hRule="atLeast"/>
        </w:trPr>
        <w:tc>
          <w:tcPr>
            <w:tcW w:w="9080" w:type="dxa"/>
            <w:gridSpan w:val="13"/>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gridAfter w:val="1"/>
          <w:wAfter w:w="1" w:type="dxa"/>
          <w:trHeight w:val="320" w:hRule="exact"/>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90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公安专项业务费</w:t>
            </w:r>
          </w:p>
        </w:tc>
      </w:tr>
      <w:tr>
        <w:tblPrEx>
          <w:tblCellMar>
            <w:top w:w="0" w:type="dxa"/>
            <w:left w:w="108" w:type="dxa"/>
            <w:bottom w:w="0" w:type="dxa"/>
            <w:right w:w="108" w:type="dxa"/>
          </w:tblCellMar>
        </w:tblPrEx>
        <w:trPr>
          <w:gridAfter w:val="1"/>
          <w:wAfter w:w="1" w:type="dxa"/>
          <w:trHeight w:val="380" w:hRule="exact"/>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334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大同市公安局</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44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trPr>
        <w:tc>
          <w:tcPr>
            <w:tcW w:w="11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3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8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trPr>
        <w:tc>
          <w:tcPr>
            <w:tcW w:w="11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2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33.92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33.92</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23.41</w:t>
            </w:r>
          </w:p>
        </w:tc>
        <w:tc>
          <w:tcPr>
            <w:tcW w:w="8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7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300" w:hRule="exact"/>
        </w:trPr>
        <w:tc>
          <w:tcPr>
            <w:tcW w:w="11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22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33.92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33.92</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23.41</w:t>
            </w:r>
          </w:p>
        </w:tc>
        <w:tc>
          <w:tcPr>
            <w:tcW w:w="8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1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2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trPr>
        <w:tc>
          <w:tcPr>
            <w:tcW w:w="11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3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2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 w:type="dxa"/>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39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456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gridAfter w:val="1"/>
          <w:wAfter w:w="1" w:type="dxa"/>
          <w:trHeight w:val="597" w:hRule="exact"/>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39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56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533" w:hRule="exact"/>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59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76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gridAfter w:val="1"/>
          <w:wAfter w:w="1" w:type="dxa"/>
          <w:trHeight w:val="491"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购置设备（桌椅、机器设备）</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40台</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5台</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178"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采购质量合格率</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204"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1023"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采购工作及时性</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12月前</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12月前</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设备购置成本</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15万元</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8.6万元</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val="en-US" w:eastAsia="zh-CN"/>
              </w:rPr>
              <w:t>其他办公费支出</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18.92万元</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14.81万元</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满足需求</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满足</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满足</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color w:val="000000"/>
                <w:kern w:val="0"/>
                <w:sz w:val="18"/>
                <w:szCs w:val="18"/>
                <w:lang w:val="en-US" w:eastAsia="zh-CN"/>
              </w:rPr>
              <w:t>提高工作效率</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提高</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提高</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14</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64"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相关人员满意度</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100%</w:t>
            </w: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98%</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9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6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0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300" w:hRule="exact"/>
        </w:trPr>
        <w:tc>
          <w:tcPr>
            <w:tcW w:w="6634"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111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6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88</w:t>
            </w:r>
          </w:p>
        </w:tc>
        <w:tc>
          <w:tcPr>
            <w:tcW w:w="86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 w:type="dxa"/>
          <w:trHeight w:val="1190" w:hRule="atLeast"/>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500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24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年初预算数</w:t>
            </w:r>
            <w:r>
              <w:rPr>
                <w:rFonts w:hint="eastAsia" w:ascii="宋体" w:hAnsi="宋体" w:eastAsia="宋体" w:cs="宋体"/>
                <w:kern w:val="0"/>
                <w:sz w:val="18"/>
                <w:szCs w:val="18"/>
                <w:lang w:val="en-US" w:eastAsia="zh-CN"/>
              </w:rPr>
              <w:t>33.92万元，实际支付23.41万元</w:t>
            </w:r>
          </w:p>
        </w:tc>
      </w:tr>
      <w:tr>
        <w:tblPrEx>
          <w:tblCellMar>
            <w:top w:w="0" w:type="dxa"/>
            <w:left w:w="108" w:type="dxa"/>
            <w:bottom w:w="0" w:type="dxa"/>
            <w:right w:w="108" w:type="dxa"/>
          </w:tblCellMar>
        </w:tblPrEx>
        <w:trPr>
          <w:gridAfter w:val="1"/>
          <w:wAfter w:w="1" w:type="dxa"/>
          <w:trHeight w:val="1045"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500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24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保障资金按时拨付</w:t>
            </w:r>
          </w:p>
        </w:tc>
      </w:tr>
      <w:tr>
        <w:tblPrEx>
          <w:tblCellMar>
            <w:top w:w="0" w:type="dxa"/>
            <w:left w:w="108" w:type="dxa"/>
            <w:bottom w:w="0" w:type="dxa"/>
            <w:right w:w="108" w:type="dxa"/>
          </w:tblCellMar>
        </w:tblPrEx>
        <w:trPr>
          <w:gridAfter w:val="1"/>
          <w:wAfter w:w="1" w:type="dxa"/>
          <w:trHeight w:val="1100"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500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24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提高工作效益</w:t>
            </w:r>
          </w:p>
        </w:tc>
      </w:tr>
      <w:tr>
        <w:tblPrEx>
          <w:tblCellMar>
            <w:top w:w="0" w:type="dxa"/>
            <w:left w:w="108" w:type="dxa"/>
            <w:bottom w:w="0" w:type="dxa"/>
            <w:right w:w="108" w:type="dxa"/>
          </w:tblCellMar>
        </w:tblPrEx>
        <w:trPr>
          <w:gridAfter w:val="1"/>
          <w:wAfter w:w="1" w:type="dxa"/>
          <w:trHeight w:val="890" w:hRule="atLeas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500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24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工作人员较为满意</w:t>
            </w:r>
          </w:p>
        </w:tc>
      </w:tr>
      <w:tr>
        <w:tblPrEx>
          <w:tblCellMar>
            <w:top w:w="0" w:type="dxa"/>
            <w:left w:w="108" w:type="dxa"/>
            <w:bottom w:w="0" w:type="dxa"/>
            <w:right w:w="108" w:type="dxa"/>
          </w:tblCellMar>
        </w:tblPrEx>
        <w:trPr>
          <w:gridAfter w:val="1"/>
          <w:wAfter w:w="1" w:type="dxa"/>
          <w:trHeight w:val="2240"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604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24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按照财政相关规定，按进度拨付。</w:t>
            </w:r>
          </w:p>
        </w:tc>
      </w:tr>
      <w:tr>
        <w:tblPrEx>
          <w:tblCellMar>
            <w:top w:w="0" w:type="dxa"/>
            <w:left w:w="108" w:type="dxa"/>
            <w:bottom w:w="0" w:type="dxa"/>
            <w:right w:w="108" w:type="dxa"/>
          </w:tblCellMar>
        </w:tblPrEx>
        <w:trPr>
          <w:gridAfter w:val="1"/>
          <w:wAfter w:w="1" w:type="dxa"/>
          <w:trHeight w:val="3019"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604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24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对项目资金管理不到位，忽视了预算项目支出的绩效管理，从而造成财政资金运用效益低下、预算项目支出难以发挥预期的效果的问题。</w:t>
            </w:r>
          </w:p>
        </w:tc>
      </w:tr>
      <w:tr>
        <w:tblPrEx>
          <w:tblCellMar>
            <w:top w:w="0" w:type="dxa"/>
            <w:left w:w="108" w:type="dxa"/>
            <w:bottom w:w="0" w:type="dxa"/>
            <w:right w:w="108" w:type="dxa"/>
          </w:tblCellMar>
        </w:tblPrEx>
        <w:trPr>
          <w:gridAfter w:val="1"/>
          <w:wAfter w:w="1" w:type="dxa"/>
          <w:trHeight w:val="3306" w:hRule="exact"/>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604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244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需要进一步加强财务管理，进一步深化预算项目支出管理，运用科学方法做好预算项目的编制工作</w:t>
            </w:r>
            <w:r>
              <w:rPr>
                <w:rFonts w:hint="eastAsia" w:ascii="宋体" w:hAnsi="宋体" w:eastAsia="宋体" w:cs="宋体"/>
                <w:kern w:val="0"/>
                <w:sz w:val="18"/>
                <w:szCs w:val="18"/>
                <w:lang w:eastAsia="zh-CN"/>
              </w:rPr>
              <w:t>，并严格按照预算要求组织实施，从而使单位的财务管理更加规范，从而进一步优化预算项目支出，保证支出的科学性，提高资金的使用效益。</w:t>
            </w:r>
          </w:p>
        </w:tc>
      </w:tr>
    </w:tbl>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eastAsia" w:ascii="仿宋" w:hAnsi="仿宋" w:eastAsia="仿宋" w:cs="仿宋"/>
          <w:kern w:val="0"/>
          <w:sz w:val="32"/>
          <w:szCs w:val="32"/>
          <w:lang w:val="en-US" w:eastAsia="zh-CN"/>
        </w:rPr>
        <w:t>公安专项业务费</w:t>
      </w:r>
      <w:r>
        <w:rPr>
          <w:rFonts w:hint="default" w:ascii="仿宋_GB2312" w:hAnsi="仿宋_GB2312" w:eastAsia="仿宋_GB2312"/>
          <w:sz w:val="32"/>
          <w:szCs w:val="24"/>
          <w:lang w:val="en-US" w:eastAsia="zh-CN"/>
        </w:rPr>
        <w:t>根据年初设定的绩效目标，项目自评得分为</w:t>
      </w:r>
      <w:r>
        <w:rPr>
          <w:rFonts w:hint="eastAsia" w:ascii="仿宋_GB2312" w:hAnsi="仿宋_GB2312" w:eastAsia="仿宋_GB2312"/>
          <w:sz w:val="32"/>
          <w:szCs w:val="24"/>
          <w:lang w:val="en-US" w:eastAsia="zh-CN"/>
        </w:rPr>
        <w:t>88</w:t>
      </w:r>
      <w:r>
        <w:rPr>
          <w:rFonts w:hint="default" w:ascii="仿宋_GB2312" w:hAnsi="仿宋_GB2312" w:eastAsia="仿宋_GB2312"/>
          <w:sz w:val="32"/>
          <w:szCs w:val="24"/>
          <w:lang w:val="en-US" w:eastAsia="zh-CN"/>
        </w:rPr>
        <w:t>分。全年预算数为</w:t>
      </w:r>
      <w:r>
        <w:rPr>
          <w:rFonts w:hint="eastAsia" w:ascii="仿宋_GB2312" w:hAnsi="仿宋_GB2312" w:eastAsia="仿宋_GB2312"/>
          <w:sz w:val="32"/>
          <w:szCs w:val="24"/>
          <w:lang w:val="en-US" w:eastAsia="zh-CN"/>
        </w:rPr>
        <w:t>33.92</w:t>
      </w:r>
      <w:r>
        <w:rPr>
          <w:rFonts w:hint="default" w:ascii="仿宋_GB2312" w:hAnsi="仿宋_GB2312" w:eastAsia="仿宋_GB2312"/>
          <w:sz w:val="32"/>
          <w:szCs w:val="24"/>
          <w:lang w:val="en-US" w:eastAsia="zh-CN"/>
        </w:rPr>
        <w:t>万元，执行数为</w:t>
      </w:r>
      <w:r>
        <w:rPr>
          <w:rFonts w:hint="eastAsia" w:ascii="仿宋_GB2312" w:hAnsi="仿宋_GB2312" w:eastAsia="仿宋_GB2312"/>
          <w:sz w:val="32"/>
          <w:szCs w:val="24"/>
          <w:lang w:val="en-US" w:eastAsia="zh-CN"/>
        </w:rPr>
        <w:t>23.41</w:t>
      </w:r>
      <w:r>
        <w:rPr>
          <w:rFonts w:hint="default" w:ascii="仿宋_GB2312" w:hAnsi="仿宋_GB2312" w:eastAsia="仿宋_GB2312"/>
          <w:sz w:val="32"/>
          <w:szCs w:val="24"/>
          <w:lang w:val="en-US" w:eastAsia="zh-CN"/>
        </w:rPr>
        <w:t>万元，完成预算的</w:t>
      </w:r>
      <w:r>
        <w:rPr>
          <w:rFonts w:hint="eastAsia" w:ascii="仿宋_GB2312" w:hAnsi="仿宋_GB2312" w:eastAsia="仿宋_GB2312"/>
          <w:sz w:val="32"/>
          <w:szCs w:val="24"/>
          <w:lang w:val="en-US" w:eastAsia="zh-CN"/>
        </w:rPr>
        <w:t>69.01</w:t>
      </w:r>
      <w:r>
        <w:rPr>
          <w:rFonts w:hint="default" w:ascii="仿宋_GB2312" w:hAnsi="仿宋_GB2312" w:eastAsia="仿宋_GB2312"/>
          <w:sz w:val="32"/>
          <w:szCs w:val="24"/>
          <w:lang w:val="en-US" w:eastAsia="zh-CN"/>
        </w:rPr>
        <w:t>%。</w:t>
      </w:r>
    </w:p>
    <w:tbl>
      <w:tblPr>
        <w:tblStyle w:val="3"/>
        <w:tblpPr w:leftFromText="180" w:rightFromText="180" w:vertAnchor="text" w:horzAnchor="page" w:tblpXSpec="center" w:tblpY="315"/>
        <w:tblOverlap w:val="never"/>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noWrap w:val="0"/>
            <w:vAlign w:val="center"/>
          </w:tcPr>
          <w:p>
            <w:pPr>
              <w:widowControl/>
              <w:spacing w:line="320" w:lineRule="exact"/>
              <w:jc w:val="center"/>
              <w:rPr>
                <w:rFonts w:ascii="宋体" w:hAnsi="宋体" w:eastAsia="宋体" w:cs="宋体"/>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noWrap w:val="0"/>
            <w:vAlign w:val="top"/>
          </w:tcPr>
          <w:p>
            <w:pPr>
              <w:widowControl/>
              <w:jc w:val="both"/>
              <w:rPr>
                <w:rFonts w:ascii="宋体" w:hAnsi="宋体" w:eastAsia="宋体" w:cs="宋体"/>
                <w:kern w:val="0"/>
                <w:sz w:val="22"/>
                <w:szCs w:val="22"/>
              </w:rPr>
            </w:pPr>
            <w:r>
              <w:rPr>
                <w:rFonts w:hint="eastAsia" w:ascii="宋体" w:hAnsi="宋体" w:eastAsia="宋体" w:cs="宋体"/>
                <w:kern w:val="0"/>
                <w:sz w:val="22"/>
                <w:szCs w:val="22"/>
              </w:rPr>
              <w:t>填列单位（公章）：</w:t>
            </w: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2021</w:t>
            </w:r>
            <w:r>
              <w:rPr>
                <w:rFonts w:hint="eastAsia" w:ascii="宋体" w:hAnsi="宋体" w:eastAsia="宋体" w:cs="宋体"/>
                <w:kern w:val="0"/>
                <w:sz w:val="22"/>
                <w:szCs w:val="22"/>
              </w:rPr>
              <w:t>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驻村人员帮扶经费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大同市公安局</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13.72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13.72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驻村人员数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3人</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驻村天数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&gt;22天</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22天</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驻村经费准确率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开工时间</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1年</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1-12月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驻村补助</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14万元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13.72万元万元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保障驻村人员正常工作开展</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保障</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保障</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p>
            <w:pPr>
              <w:widowControl/>
              <w:spacing w:line="240" w:lineRule="exact"/>
              <w:jc w:val="left"/>
              <w:rPr>
                <w:rFonts w:hint="eastAsia" w:ascii="宋体" w:hAnsi="宋体" w:eastAsia="宋体" w:cs="宋体"/>
                <w:color w:val="000000"/>
                <w:kern w:val="0"/>
                <w:sz w:val="18"/>
                <w:szCs w:val="18"/>
              </w:rPr>
            </w:pP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r>
              <w:rPr>
                <w:rFonts w:hint="eastAsia" w:ascii="宋体" w:hAnsi="宋体" w:eastAsia="宋体" w:cs="宋体"/>
                <w:color w:val="000000"/>
                <w:kern w:val="0"/>
                <w:sz w:val="18"/>
                <w:szCs w:val="18"/>
                <w:lang w:val="en-US" w:eastAsia="zh-CN"/>
              </w:rPr>
              <w:t>相关人员满意度</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100&amp;</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自评结果分析</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r>
              <w:rPr>
                <w:rFonts w:hint="eastAsia" w:ascii="宋体" w:hAnsi="宋体" w:eastAsia="宋体" w:cs="宋体"/>
                <w:kern w:val="0"/>
                <w:sz w:val="18"/>
                <w:szCs w:val="18"/>
                <w:lang w:val="en-US" w:eastAsia="zh-CN"/>
              </w:rPr>
              <w:t>14万元，实际支付13.72万元</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产出情况及分析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保障资金按时拨付</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效益情况及分析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保障驻村人员正常工作开展</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相关人员较为满意</w:t>
            </w:r>
          </w:p>
        </w:tc>
      </w:tr>
      <w:tr>
        <w:tblPrEx>
          <w:tblCellMar>
            <w:top w:w="0" w:type="dxa"/>
            <w:left w:w="108" w:type="dxa"/>
            <w:bottom w:w="0" w:type="dxa"/>
            <w:right w:w="108" w:type="dxa"/>
          </w:tblCellMar>
        </w:tblPrEx>
        <w:trPr>
          <w:trHeight w:val="224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主要经验做法</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Theme="majorEastAsia" w:hAnsiTheme="majorEastAsia" w:eastAsiaTheme="majorEastAsia" w:cstheme="majorEastAsia"/>
                <w:b w:val="0"/>
                <w:bCs w:val="0"/>
                <w:i w:val="0"/>
                <w:iCs w:val="0"/>
                <w:caps w:val="0"/>
                <w:color w:val="000000"/>
                <w:spacing w:val="0"/>
                <w:sz w:val="18"/>
                <w:szCs w:val="18"/>
                <w:shd w:val="clear" w:fill="F5FAFE"/>
              </w:rPr>
              <w:t>根据工作性质申报立项依据，做到立项依据充分，有资金管理办法且符合规范</w:t>
            </w:r>
          </w:p>
        </w:tc>
      </w:tr>
      <w:tr>
        <w:tblPrEx>
          <w:tblCellMar>
            <w:top w:w="0" w:type="dxa"/>
            <w:left w:w="108" w:type="dxa"/>
            <w:bottom w:w="0" w:type="dxa"/>
            <w:right w:w="108" w:type="dxa"/>
          </w:tblCellMar>
        </w:tblPrEx>
        <w:trPr>
          <w:trHeight w:val="49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项目管理中存在的</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对项目资金管理不到位，忽视了预算项目支出的绩效管理，从而造成财政资金运用效益低下、预算项目支出难以发挥预期的效果的问题。</w:t>
            </w:r>
          </w:p>
        </w:tc>
      </w:tr>
      <w:tr>
        <w:tblPrEx>
          <w:tblCellMar>
            <w:top w:w="0" w:type="dxa"/>
            <w:left w:w="108" w:type="dxa"/>
            <w:bottom w:w="0" w:type="dxa"/>
            <w:right w:w="108" w:type="dxa"/>
          </w:tblCellMar>
        </w:tblPrEx>
        <w:trPr>
          <w:trHeight w:val="202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下一步改进措施及</w:t>
            </w:r>
          </w:p>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管理建议</w:t>
            </w:r>
          </w:p>
        </w:tc>
        <w:tc>
          <w:tcPr>
            <w:tcW w:w="6400"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需要进一步加强财务管理，进一步深化预算项目支出管理，运用科学方法做好预算项目的编制工作</w:t>
            </w:r>
            <w:r>
              <w:rPr>
                <w:rFonts w:hint="eastAsia" w:ascii="宋体" w:hAnsi="宋体" w:eastAsia="宋体" w:cs="宋体"/>
                <w:kern w:val="0"/>
                <w:sz w:val="18"/>
                <w:szCs w:val="18"/>
                <w:lang w:eastAsia="zh-CN"/>
              </w:rPr>
              <w:t>，并严格按照预算要求组织实施，从而使单位的财务管理更加规范，从而进一步优化预算项目支出，保证支出的科学性，提高资金的使用效益。</w:t>
            </w:r>
          </w:p>
        </w:tc>
      </w:tr>
    </w:tbl>
    <w:p>
      <w:pPr>
        <w:numPr>
          <w:ilvl w:val="0"/>
          <w:numId w:val="0"/>
        </w:numPr>
        <w:spacing w:beforeLines="0" w:afterLines="0"/>
        <w:ind w:left="0" w:leftChars="0" w:firstLine="640" w:firstLineChars="200"/>
        <w:rPr>
          <w:rFonts w:hint="default" w:ascii="仿宋_GB2312" w:hAnsi="仿宋_GB2312" w:eastAsia="仿宋_GB2312"/>
          <w:sz w:val="32"/>
          <w:szCs w:val="24"/>
          <w:lang w:val="en-US" w:eastAsia="zh-CN"/>
        </w:rPr>
      </w:pPr>
      <w:r>
        <w:rPr>
          <w:rFonts w:hint="eastAsia" w:ascii="仿宋" w:hAnsi="仿宋" w:eastAsia="仿宋" w:cs="仿宋"/>
          <w:kern w:val="0"/>
          <w:sz w:val="32"/>
          <w:szCs w:val="32"/>
          <w:lang w:val="en-US" w:eastAsia="zh-CN"/>
        </w:rPr>
        <w:t>驻村人员帮扶经费</w:t>
      </w:r>
      <w:r>
        <w:rPr>
          <w:rFonts w:hint="default" w:ascii="仿宋_GB2312" w:hAnsi="仿宋_GB2312" w:eastAsia="仿宋_GB2312"/>
          <w:sz w:val="32"/>
          <w:szCs w:val="24"/>
          <w:lang w:val="en-US" w:eastAsia="zh-CN"/>
        </w:rPr>
        <w:t>根据年初设定的绩效目标，项目自评得分为</w:t>
      </w:r>
      <w:r>
        <w:rPr>
          <w:rFonts w:hint="eastAsia" w:ascii="仿宋_GB2312" w:hAnsi="仿宋_GB2312" w:eastAsia="仿宋_GB2312"/>
          <w:sz w:val="32"/>
          <w:szCs w:val="24"/>
          <w:lang w:val="en-US" w:eastAsia="zh-CN"/>
        </w:rPr>
        <w:t>90</w:t>
      </w:r>
      <w:r>
        <w:rPr>
          <w:rFonts w:hint="default" w:ascii="仿宋_GB2312" w:hAnsi="仿宋_GB2312" w:eastAsia="仿宋_GB2312"/>
          <w:sz w:val="32"/>
          <w:szCs w:val="24"/>
          <w:lang w:val="en-US" w:eastAsia="zh-CN"/>
        </w:rPr>
        <w:t>分。全年预算数为</w:t>
      </w:r>
      <w:r>
        <w:rPr>
          <w:rFonts w:hint="eastAsia" w:ascii="仿宋_GB2312" w:hAnsi="仿宋_GB2312" w:eastAsia="仿宋_GB2312"/>
          <w:sz w:val="32"/>
          <w:szCs w:val="24"/>
          <w:lang w:val="en-US" w:eastAsia="zh-CN"/>
        </w:rPr>
        <w:t>14</w:t>
      </w:r>
      <w:r>
        <w:rPr>
          <w:rFonts w:hint="default" w:ascii="仿宋_GB2312" w:hAnsi="仿宋_GB2312" w:eastAsia="仿宋_GB2312"/>
          <w:sz w:val="32"/>
          <w:szCs w:val="24"/>
          <w:lang w:val="en-US" w:eastAsia="zh-CN"/>
        </w:rPr>
        <w:t>万元，执行数为</w:t>
      </w:r>
      <w:r>
        <w:rPr>
          <w:rFonts w:hint="eastAsia" w:ascii="仿宋_GB2312" w:hAnsi="仿宋_GB2312" w:eastAsia="仿宋_GB2312"/>
          <w:sz w:val="32"/>
          <w:szCs w:val="24"/>
          <w:lang w:val="en-US" w:eastAsia="zh-CN"/>
        </w:rPr>
        <w:t>13.72</w:t>
      </w:r>
      <w:r>
        <w:rPr>
          <w:rFonts w:hint="default" w:ascii="仿宋_GB2312" w:hAnsi="仿宋_GB2312" w:eastAsia="仿宋_GB2312"/>
          <w:sz w:val="32"/>
          <w:szCs w:val="24"/>
          <w:lang w:val="en-US" w:eastAsia="zh-CN"/>
        </w:rPr>
        <w:t>万元，完成预算的</w:t>
      </w:r>
      <w:r>
        <w:rPr>
          <w:rFonts w:hint="eastAsia" w:ascii="仿宋_GB2312" w:hAnsi="仿宋_GB2312" w:eastAsia="仿宋_GB2312"/>
          <w:sz w:val="32"/>
          <w:szCs w:val="24"/>
          <w:lang w:val="en-US" w:eastAsia="zh-CN"/>
        </w:rPr>
        <w:t>98</w:t>
      </w:r>
      <w:r>
        <w:rPr>
          <w:rFonts w:hint="default" w:ascii="仿宋_GB2312" w:hAnsi="仿宋_GB2312" w:eastAsia="仿宋_GB2312"/>
          <w:sz w:val="32"/>
          <w:szCs w:val="24"/>
          <w:lang w:val="en-US" w:eastAsia="zh-CN"/>
        </w:rPr>
        <w:t>%。</w:t>
      </w:r>
    </w:p>
    <w:p>
      <w:pPr>
        <w:numPr>
          <w:ilvl w:val="0"/>
          <w:numId w:val="0"/>
        </w:numPr>
        <w:spacing w:beforeLines="0" w:afterLines="0"/>
        <w:ind w:left="640" w:leftChars="0"/>
        <w:jc w:val="center"/>
        <w:rPr>
          <w:rFonts w:hint="default" w:ascii="仿宋_GB2312" w:hAnsi="仿宋_GB2312" w:eastAsia="仿宋_GB2312"/>
          <w:sz w:val="32"/>
          <w:szCs w:val="24"/>
          <w:lang w:val="en-US" w:eastAsia="zh-CN"/>
        </w:rPr>
      </w:pPr>
      <w:r>
        <w:rPr>
          <w:rFonts w:hint="eastAsia" w:ascii="仿宋_GB2312" w:hAnsi="仿宋_GB2312" w:eastAsia="仿宋_GB2312"/>
          <w:b/>
          <w:bCs/>
          <w:sz w:val="32"/>
          <w:szCs w:val="24"/>
          <w:lang w:val="en-US" w:eastAsia="zh-CN"/>
        </w:rPr>
        <w:t>第四部分 名词解释</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一、财政拨款收入:指单位从同级财政部门取得的财政预算资金。</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二、事业收入:指事业单位开展专业业务活动及辅助活动取得的收入。</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三、经营收入:指事业单位在专业业务活动及其辅助活动之外开展非独立核算经营活动取得的收入。</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四、其他收入:指单位取得的除上述收入以外的各项收入。主要是事业单位固定资产出租收入、存款利息收入等。</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五、使用非财政拨款结余:指事业单位使用以前年度积累的非财政拨款结余弥补当年收支差额的金额。</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六、年初结转和结余:指单位以前年度尚未完成、结转到本年仍按原规定用途继续使用的资金，或项目已完成等产生的结余资金。</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七、结余分配:指事业单位按照会计制度规定缴纳的所得税、提取的专用结余以及转入非财政拨款结余的金额等。</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八、年末结转和结余:指单位按有关规定结转到下年或以后年度继续使用的资金，或项目已完成等产生的结余资金。</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九、基本支出:指为保障机构正常运转、完成日常工作任务而发生的人员支出和公用支出。</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十、项目支出:指在基本支出之外为完成特定行政任务和事业发展目标所发生的支出。</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十一、“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numPr>
          <w:ilvl w:val="0"/>
          <w:numId w:val="0"/>
        </w:numPr>
        <w:spacing w:beforeLines="0" w:afterLines="0"/>
        <w:ind w:firstLine="640" w:firstLineChars="200"/>
        <w:rPr>
          <w:rFonts w:hint="default" w:ascii="仿宋_GB2312" w:hAnsi="仿宋_GB2312" w:eastAsia="仿宋_GB2312"/>
          <w:sz w:val="32"/>
          <w:szCs w:val="24"/>
          <w:lang w:val="en-US" w:eastAsia="zh-CN"/>
        </w:rPr>
      </w:pPr>
      <w:r>
        <w:rPr>
          <w:rFonts w:hint="default" w:ascii="仿宋_GB2312" w:hAnsi="仿宋_GB2312" w:eastAsia="仿宋_GB2312"/>
          <w:sz w:val="32"/>
          <w:szCs w:val="24"/>
          <w:lang w:val="en-US" w:eastAsia="zh-CN"/>
        </w:rPr>
        <w:t>十二、机关运行经费:指行政单位和参照公务员法管理的事业单位使用一般公共预算安排的基本支出中的日常公用经费支出。</w:t>
      </w:r>
    </w:p>
    <w:p>
      <w:pPr>
        <w:numPr>
          <w:ilvl w:val="0"/>
          <w:numId w:val="0"/>
        </w:numPr>
        <w:spacing w:beforeLines="0" w:afterLines="0"/>
        <w:ind w:firstLine="643" w:firstLineChars="200"/>
        <w:jc w:val="center"/>
        <w:rPr>
          <w:rFonts w:hint="eastAsia" w:ascii="仿宋_GB2312" w:hAnsi="仿宋_GB2312" w:eastAsia="仿宋_GB2312"/>
          <w:b/>
          <w:bCs/>
          <w:sz w:val="32"/>
          <w:szCs w:val="24"/>
          <w:lang w:val="en-US" w:eastAsia="zh-CN"/>
        </w:rPr>
      </w:pPr>
      <w:r>
        <w:rPr>
          <w:rFonts w:hint="eastAsia" w:ascii="仿宋_GB2312" w:hAnsi="仿宋_GB2312" w:eastAsia="仿宋_GB2312"/>
          <w:b/>
          <w:bCs/>
          <w:sz w:val="32"/>
          <w:szCs w:val="24"/>
          <w:lang w:val="en-US" w:eastAsia="zh-CN"/>
        </w:rPr>
        <w:t>第五部分 附件</w:t>
      </w:r>
    </w:p>
    <w:p>
      <w:pPr>
        <w:numPr>
          <w:ilvl w:val="0"/>
          <w:numId w:val="0"/>
        </w:numPr>
        <w:spacing w:beforeLines="0" w:afterLines="0"/>
        <w:ind w:firstLine="640" w:firstLineChars="200"/>
        <w:jc w:val="left"/>
        <w:rPr>
          <w:rFonts w:hint="default" w:ascii="仿宋_GB2312" w:hAnsi="仿宋_GB2312" w:eastAsia="仿宋_GB2312"/>
          <w:b w:val="0"/>
          <w:bCs w:val="0"/>
          <w:sz w:val="32"/>
          <w:szCs w:val="24"/>
          <w:lang w:val="en-US" w:eastAsia="zh-CN"/>
        </w:rPr>
      </w:pPr>
      <w:r>
        <w:rPr>
          <w:rFonts w:hint="eastAsia" w:ascii="仿宋_GB2312" w:hAnsi="仿宋_GB2312" w:eastAsia="仿宋_GB2312"/>
          <w:b w:val="0"/>
          <w:bCs w:val="0"/>
          <w:sz w:val="32"/>
          <w:szCs w:val="24"/>
          <w:lang w:val="en-US" w:eastAsia="zh-CN"/>
        </w:rPr>
        <w:t>我单位无需要其他说明的事项</w:t>
      </w:r>
    </w:p>
    <w:p>
      <w:pPr>
        <w:numPr>
          <w:ilvl w:val="0"/>
          <w:numId w:val="0"/>
        </w:numPr>
        <w:spacing w:beforeLines="0" w:afterLines="0"/>
        <w:ind w:left="640" w:leftChars="0"/>
        <w:jc w:val="left"/>
        <w:rPr>
          <w:rFonts w:hint="default" w:ascii="仿宋_GB2312" w:hAnsi="仿宋_GB2312" w:eastAsia="仿宋_GB2312"/>
          <w:b w:val="0"/>
          <w:bCs w:val="0"/>
          <w:sz w:val="32"/>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                                        </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 xml:space="preserve">      </w:t>
      </w:r>
    </w:p>
    <w:p>
      <w:pPr>
        <w:rPr>
          <w:rFonts w:hint="eastAsia" w:eastAsia="微软雅黑"/>
          <w:lang w:eastAsia="zh-CN"/>
        </w:rPr>
      </w:pP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 xml:space="preserve">  </w:t>
      </w:r>
      <w:r>
        <w:rPr>
          <w:rFonts w:hint="eastAsia" w:ascii="微软雅黑" w:hAnsi="微软雅黑" w:eastAsia="微软雅黑" w:cs="微软雅黑"/>
          <w:b w:val="0"/>
          <w:bCs w:val="0"/>
          <w:i w:val="0"/>
          <w:iCs w:val="0"/>
          <w:caps w:val="0"/>
          <w:color w:val="000000"/>
          <w:spacing w:val="0"/>
          <w:sz w:val="21"/>
          <w:szCs w:val="21"/>
          <w:shd w:val="clear" w:fill="FFFFFF"/>
        </w:rPr>
        <w:t>  </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C2010"/>
    <w:multiLevelType w:val="singleLevel"/>
    <w:tmpl w:val="88AC2010"/>
    <w:lvl w:ilvl="0" w:tentative="0">
      <w:start w:val="2"/>
      <w:numFmt w:val="chineseCounting"/>
      <w:suff w:val="nothing"/>
      <w:lvlText w:val="%1、"/>
      <w:lvlJc w:val="left"/>
      <w:rPr>
        <w:rFonts w:hint="eastAsia"/>
      </w:rPr>
    </w:lvl>
  </w:abstractNum>
  <w:abstractNum w:abstractNumId="1">
    <w:nsid w:val="9284528A"/>
    <w:multiLevelType w:val="singleLevel"/>
    <w:tmpl w:val="9284528A"/>
    <w:lvl w:ilvl="0" w:tentative="0">
      <w:start w:val="1"/>
      <w:numFmt w:val="chineseCounting"/>
      <w:suff w:val="nothing"/>
      <w:lvlText w:val="%1、"/>
      <w:lvlJc w:val="left"/>
      <w:rPr>
        <w:rFonts w:hint="eastAsia"/>
      </w:rPr>
    </w:lvl>
  </w:abstractNum>
  <w:abstractNum w:abstractNumId="2">
    <w:nsid w:val="1247E1A7"/>
    <w:multiLevelType w:val="singleLevel"/>
    <w:tmpl w:val="1247E1A7"/>
    <w:lvl w:ilvl="0" w:tentative="0">
      <w:start w:val="1"/>
      <w:numFmt w:val="decimal"/>
      <w:suff w:val="nothing"/>
      <w:lvlText w:val="%1、"/>
      <w:lvlJc w:val="left"/>
    </w:lvl>
  </w:abstractNum>
  <w:abstractNum w:abstractNumId="3">
    <w:nsid w:val="24F3AB6E"/>
    <w:multiLevelType w:val="singleLevel"/>
    <w:tmpl w:val="24F3AB6E"/>
    <w:lvl w:ilvl="0" w:tentative="0">
      <w:start w:val="1"/>
      <w:numFmt w:val="chineseCounting"/>
      <w:suff w:val="space"/>
      <w:lvlText w:val="第%1部分"/>
      <w:lvlJc w:val="left"/>
      <w:rPr>
        <w:rFonts w:hint="eastAsia"/>
      </w:rPr>
    </w:lvl>
  </w:abstractNum>
  <w:abstractNum w:abstractNumId="4">
    <w:nsid w:val="270B168D"/>
    <w:multiLevelType w:val="singleLevel"/>
    <w:tmpl w:val="270B168D"/>
    <w:lvl w:ilvl="0" w:tentative="0">
      <w:start w:val="7"/>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mJkNjRmN2MxYWFiYTg1MjcwZDlmNmVhMDliODkifQ=="/>
  </w:docVars>
  <w:rsids>
    <w:rsidRoot w:val="00172A27"/>
    <w:rsid w:val="00755DF0"/>
    <w:rsid w:val="026511B0"/>
    <w:rsid w:val="06F36E97"/>
    <w:rsid w:val="070776ED"/>
    <w:rsid w:val="0712418F"/>
    <w:rsid w:val="07553069"/>
    <w:rsid w:val="07E3166A"/>
    <w:rsid w:val="0FEB34BF"/>
    <w:rsid w:val="166E4C22"/>
    <w:rsid w:val="17FE7BAA"/>
    <w:rsid w:val="19BB08C0"/>
    <w:rsid w:val="1B4D19EC"/>
    <w:rsid w:val="1B59213E"/>
    <w:rsid w:val="20653A87"/>
    <w:rsid w:val="224A27E1"/>
    <w:rsid w:val="23FE2403"/>
    <w:rsid w:val="25421DC3"/>
    <w:rsid w:val="2B724B56"/>
    <w:rsid w:val="3002294D"/>
    <w:rsid w:val="31EE5096"/>
    <w:rsid w:val="330B7C1C"/>
    <w:rsid w:val="33484B1B"/>
    <w:rsid w:val="334C527F"/>
    <w:rsid w:val="35094D00"/>
    <w:rsid w:val="35213305"/>
    <w:rsid w:val="37651908"/>
    <w:rsid w:val="37A32D17"/>
    <w:rsid w:val="38FB43DD"/>
    <w:rsid w:val="3A91667B"/>
    <w:rsid w:val="3ACA684B"/>
    <w:rsid w:val="3BEF7D64"/>
    <w:rsid w:val="3E166861"/>
    <w:rsid w:val="42A15FF5"/>
    <w:rsid w:val="46A74192"/>
    <w:rsid w:val="4CDF2EA2"/>
    <w:rsid w:val="4E4F65C6"/>
    <w:rsid w:val="50745689"/>
    <w:rsid w:val="52E25FC9"/>
    <w:rsid w:val="53466177"/>
    <w:rsid w:val="5452714F"/>
    <w:rsid w:val="5734389C"/>
    <w:rsid w:val="587D3EA9"/>
    <w:rsid w:val="58B1390B"/>
    <w:rsid w:val="593B4656"/>
    <w:rsid w:val="5B411025"/>
    <w:rsid w:val="5BF440A3"/>
    <w:rsid w:val="5CCE30DB"/>
    <w:rsid w:val="5F2A67B9"/>
    <w:rsid w:val="602E1515"/>
    <w:rsid w:val="646157DF"/>
    <w:rsid w:val="64D85CF3"/>
    <w:rsid w:val="69050CAC"/>
    <w:rsid w:val="6B2C4FEC"/>
    <w:rsid w:val="6BF362C2"/>
    <w:rsid w:val="6C784BC4"/>
    <w:rsid w:val="6CEE0E92"/>
    <w:rsid w:val="6EFB2A3A"/>
    <w:rsid w:val="6F1062E9"/>
    <w:rsid w:val="70912956"/>
    <w:rsid w:val="70E94540"/>
    <w:rsid w:val="741B7106"/>
    <w:rsid w:val="749E09B7"/>
    <w:rsid w:val="795D31F5"/>
    <w:rsid w:val="7BB81B25"/>
    <w:rsid w:val="7E124F4C"/>
    <w:rsid w:val="7EE03049"/>
    <w:rsid w:val="7F1C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8938</Words>
  <Characters>12638</Characters>
  <Lines>0</Lines>
  <Paragraphs>0</Paragraphs>
  <TotalTime>16</TotalTime>
  <ScaleCrop>false</ScaleCrop>
  <LinksUpToDate>false</LinksUpToDate>
  <CharactersWithSpaces>13070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2021-07-29T01:50:00Z</dcterms:created>
  <dc:creator>pc</dc:creator>
  <cp:lastModifiedBy>周昊</cp:lastModifiedBy>
  <cp:lastPrinted>2022-07-29T06:39:00Z</cp:lastPrinted>
  <dcterms:modified xsi:type="dcterms:W3CDTF">2023-10-03T02:43:35Z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DF09D25EC5394B5D8743A86934B5EFD7_13</vt:lpwstr>
  </property>
</Properties>
</file>