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40" w:lineRule="exact"/>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附件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p>
    <w:p>
      <w:pPr>
        <w:widowControl w:val="0"/>
        <w:wordWrap/>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中华人民共和国未成年人保护法</w:t>
      </w:r>
    </w:p>
    <w:p>
      <w:pPr>
        <w:widowControl w:val="0"/>
        <w:wordWrap/>
        <w:adjustRightInd/>
        <w:snapToGrid/>
        <w:spacing w:line="540" w:lineRule="exact"/>
        <w:ind w:firstLine="640" w:firstLineChars="200"/>
        <w:jc w:val="left"/>
        <w:textAlignment w:val="auto"/>
        <w:rPr>
          <w:rFonts w:hint="eastAsia" w:ascii="仿宋" w:hAnsi="仿宋" w:eastAsia="仿宋" w:cs="仿宋"/>
          <w:sz w:val="32"/>
          <w:szCs w:val="32"/>
          <w:lang w:eastAsia="zh-CN"/>
        </w:rPr>
      </w:pPr>
    </w:p>
    <w:p>
      <w:pPr>
        <w:widowControl w:val="0"/>
        <w:wordWrap/>
        <w:adjustRightInd/>
        <w:snapToGrid/>
        <w:spacing w:line="540" w:lineRule="exact"/>
        <w:ind w:firstLine="640"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第一章　总则</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第二条　本法所称未成年人是指未满十八周岁的公民。</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　国家保障未成年人的生存权、发展权、受保护权、参与权等权利。</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未成年人依法平等地享有各项权利，不因本人及其父母或者其他监护人的民族、种族、性别、户籍、职业、宗教信仰、教育程度、家庭状况、身心健康状况等受到歧视。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　保护未成年人，应当坚持最有利于未成年人的原则。处理涉及未成年人事项，应当符合下列要求：</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（一）给予未成年人特殊、优先保护；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（二）尊重未成年人人格尊严；</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（三）保护未成年人隐私权和个人信息；</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（四）适应未成年人身心健康发展的规律和特点；</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（五）听取未成年人的意见；</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（六）保护与教育相结合。</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　保护未成年人，是国家机关、武装力量、政党、人民团体、企业事业单位、社会组织、城乡基层群众性自治组织、未成年人的监护人以及其他成年人的共同责任。</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国家、社会、学校和家庭应当教育和帮助未成年人维护自身合法权益，增强自我保护的意识和能力。</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　未成年人的父母或者其他监护人依法对未成年人承担监护职责。</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国家采取措施指导、支持、帮助和监督未成年人的父母或者其他监护人履行监护职责。</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　县级以上人民政府应当将未成年人保护工作纳入国民经济和社会发展规划，相关经费纳入本级政府预算。</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第十一条　任何组织或者个人发现不利于未成年人身心健康或者侵犯未成年人合法权益的情形，都有权劝阻、制止或者向公安、民政、教育等有关部门提出检举、控告。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国家机关、居民委员会、村民委员会、密切接触未成年人的单位及其工作人员，在工作中发现未成年人身心健康受到侵害、疑似受到侵害或者面临其他危险情形的，应当立即向公安、民政、教育等有关部门报告。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有关部门接到涉及未成年人的检举、控告或者报告，应当依法及时受理、处置，并以适当方式将处理结果告知相关单位和人员。</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第十二条　国家鼓励和支持未成年人保护方面的科学研究，建设相关学科、设置相关专业，加强人才培养。</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第十三条　国家建立健全未成年人统计调查制度，开展未成年人健康、受教育等状况的统计、调查和分析，发布未成年人保护的有关信息。</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第十四条　国家对保护未成年人有显著成绩的组织和个人给予表彰和奖励。</w:t>
      </w:r>
    </w:p>
    <w:p>
      <w:pPr>
        <w:widowControl w:val="0"/>
        <w:wordWrap/>
        <w:adjustRightInd/>
        <w:snapToGrid/>
        <w:spacing w:line="540" w:lineRule="exact"/>
        <w:ind w:firstLine="640" w:firstLineChars="20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第二章　家庭保护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第十五条　未成年人的父母或者其他监护人应当学习家庭教育知识，接受家庭教育指导，创造良好、和睦、文明的家庭环境。</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共同生活的其他成年家庭成员应当协助未成年人的父母或者其他监护人抚养、教育和保护未成年人。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第十六条　未成年人的父母或者其他监护人应当履行下列监护职责：</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（一）为未成年人提供生活、健康、安全等方面的保障；</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（二）关注未成年人的生理、心理状况和情感需求；</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（三）教育和引导未成年人遵纪守法、勤俭节约，养成良好的思想品德和行为习惯；</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（四）对未成年人进行安全教育，提高未成年人的自我保护意识和能力；</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（五）尊重未成年人受教育的权利，保障适龄未成年人依法接受并完成义务教育；</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（六）保障未成年人休息、娱乐和体育锻炼的时间，引导未成年人进行有益身心健康的活动；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（七）妥善管理和保护未成年人的财产；</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（八）依法代理未成年人实施民事法律行为；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（九）预防和制止未成年人的不良行为和违法犯罪行为，并进行合理管教；</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（十）其他应当履行的监护职责。</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第十七条　未成年人的父母或者其他监护人不得实施下列行为：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（一）虐待、遗弃、非法送养未成年人或者对未成年人实施家庭暴力；</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（二）放任、教唆或者利用未成年人实施违法犯罪行为；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（三）放任、唆使未成年人参与邪教、迷信活动或者接受恐怖主义、分裂主义、极端主义等侵害；</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（四）放任、唆使未成年人吸烟（含电子烟，下同）、饮酒、赌博、流浪乞讨或者欺凌他人；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（五）放任或者迫使应当接受义务教育的未成年人失学、辍学；</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（六）放任未成年人沉迷网络，接触危害或者可能影响其身心健康的图书、报刊、电影、广播电视节目、音像制品、电子出版物和网络信息等；</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（七）放任未成年人进入营业性娱乐场所、酒吧、互联网上网服务营业场所等不适宜未成年人活动的场所；</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（八）允许或者迫使未成年人从事国家规定以外的劳动；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（九）允许、迫使未成年人结婚或者为未成年人订立婚约；</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（十）违法处分、侵吞未成年人的财产或者利用未成年人牟取不正当利益；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（十一）其他侵犯未成年人身心健康、财产权益或者不依法履行未成年人保护义务的行为。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第十九条　未成年人的父母或者其他监护人应当根据未成年人的年龄和智力发展状况，在作出与未成年人权益有关的决定前，听取未成年人的意见，充分考虑其真实意愿。</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第二十条　未成年人的父母或者其他监护人发现未成年人身心健康受到侵害、疑似受到侵害或者其他合法权益受到侵犯的，应当及时了解情况并采取保护措施；情况严重的，应当立即向公安、民政、教育等部门报告。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未成年人的父母或者其他监护人不得使未满十六周岁的未成年人脱离监护单独生活。</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第二十二条　未成年人的父母或者其他监护人因外出务工等原因在一定期限内不能完全履行监护职责的，应当委托具有照护能力的完全民事行为能力人代为照护；无正当理由的，不得委托他人代为照护。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未成年人的父母或者其他监护人在确定被委托人时，应当综合考虑其道德品质、家庭状况、身心健康状况、与未成年人生活情感上的联系等情况，并听取有表达意愿能力未成年人的意见。</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具有下列情形之一的，不得作为被委托人：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（一）曾实施性侵害、虐待、遗弃、拐卖、暴力伤害等违法犯罪行为；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（二）有吸毒、酗酒、赌博等恶习；</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（三）曾拒不履行或者长期怠于履行监护、照护职责；</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（四）其他不适宜担任被委托人的情形。</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未成年人的父母或者其他监护人接到被委托人、居民委员会、村民委员会、学校、幼儿园等关于未成年人心理、行为异常的通知后，应当及时采取干预措施。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第二十四条　未成年人的父母离婚时，应当妥善处理未成年子女的抚养、教育、探望、财产等事宜，听取有表达意愿能力未成年人的意见。不得以抢夺、藏匿未成年子女等方式争夺抚养权。</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widowControl w:val="0"/>
        <w:wordWrap/>
        <w:adjustRightInd/>
        <w:snapToGrid/>
        <w:spacing w:line="540" w:lineRule="exact"/>
        <w:ind w:firstLine="640" w:firstLineChars="20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第三章　学校保护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第二十五条　学校应当全面贯彻国家教育方针，坚持立德树人，实施素质教育，提高教育质量，注重培养未成年学生认知能力、合作能力、创新能力和实践能力，促进未成年学生全面发展。</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学校应当建立未成年学生保护工作制度，健全学生行为规范，培养未成年学生遵纪守法的良好行为习惯。</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第二十六条　幼儿园应当做好保育、教育工作，遵循幼儿身心发展规律，实施启蒙教育，促进幼儿在体质、智力、品德等方面和谐发展。</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第二十七条　学校、幼儿园的教职员工应当尊重未成年人人格尊严，不得对未成年人实施体罚、变相体罚或者其他侮辱人格尊严的行为。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第二十八条　学校应当保障未成年学生受教育的权利，不得违反国家规定开除、变相开除未成年学生。</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学校应当对尚未完成义务教育的辍学未成年学生进行登记并劝返复学；劝返无效的，应当及时向教育行政部门书面报告。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第二十九条　学校应当关心、爱护未成年学生，不得因家庭、身体、心理、学习能力等情况歧视学生。对家庭困难、身心有障碍的学生，应当提供关爱；对行为异常、学习有困难的学生，应当耐心帮助。</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学校应当配合政府有关部门建立留守未成年学生、困境未成年学生的信息档案，开展关爱帮扶工作。</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第三十条　学校应当根据未成年学生身心发展特点，进行社会生活指导、心理健康辅导、青春期教育和生命教育。</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第三十一条　学校应当组织未成年学生参加与其年龄相适应的日常生活劳动、生产劳动和服务性劳动，帮助未成年学生掌握必要的劳动知识和技能，养成良好的劳动习惯。</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第三十二条　学校、幼儿园应当开展勤俭节约、反对浪费、珍惜粮食、文明饮食等宣传教育活动，帮助未成年人树立浪费可耻、节约为荣的意识，养成文明健康、绿色环保的生活习惯。</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第三十三条　学校应当与未成年学生的父母或者其他监护人互相配合，合理安排未成年学生的学习时间，保障其休息、娱乐和体育锻炼的时间。</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学校不得占用国家法定节假日、休息日及寒暑假期，组织义务教育阶段的未成年学生集体补课，加重其学习负担。</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幼儿园、校外培训机构不得对学龄前未成年人进行小学课程教育。</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第三十四条　学校、幼儿园应当提供必要的卫生保健条件，协助卫生健康部门做好在校、在园未成年人的卫生保健工作。</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第三十五条　学校、幼儿园应当建立安全管理制度，对未成年人进行安全教育，完善安保设施、配备安保人员，保障未成年人在校、在园期间的人身和财产安全。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学校、幼儿园不得在危及未成年人人身安全、身心健康的校舍和其他设施、场所中进行教育教学活动。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学校、幼儿园安排未成年人参加文化娱乐、社会实践等集体活动，应当保护未成年人的身心健康，防止发生人身伤害事故。</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第三十七条　学校、幼儿园应当根据需要，制定应对自然灾害、事故灾难、公共卫生事件等突发事件和意外伤害的预案，配备相应设施并定期进行必要的演练。</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未成年人在校内、园内或者本校、本园组织的校外、园外活动中发生人身伤害事故的，学校、幼儿园应当立即救护，妥善处理，及时通知未成年人的父母或者其他监护人，并向有关部门报告。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第三十八条　学校、幼儿园不得安排未成年人参加商业性活动，不得向未成年人及其父母或者其他监护人推销或者要求其购买指定的商品和服务。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学校、幼儿园不得与校外培训机构合作为未成年人提供有偿课程辅导。</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第三十九条　学校应当建立学生欺凌防控工作制度，对教职员工、学生等开展防治学生欺凌的教育和培训。</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对实施欺凌的未成年学生，学校应当根据欺凌行为的性质和程度，依法加强管教。对严重的欺凌行为，学校不得隐瞒，应当及时向公安机关、教育行政部门报告，并配合相关部门依法处理。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第四十条　学校、幼儿园应当建立预防性侵害、性骚扰未成年人工作制度。对性侵害、性骚扰未成年人等违法犯罪行为，学校、幼儿园不得隐瞒，应当及时向公安机关、教育行政部门报告，并配合相关部门依法处理。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学校、幼儿园应当对未成年人开展适合其年龄的性教育，提高未成年人防范性侵害、性骚扰的自我保护意识和能力。对遭受性侵害、性骚扰的未成年人，学校、幼儿园应当及时采取相关的保护措施。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第四十一条　婴幼儿照护服务机构、早期教育服务机构、校外培训机构、校外托管机构等应当参照本章有关规定，根据不同年龄阶段未成年人的成长特点和规律，做好未成年人保护工作。</w:t>
      </w:r>
    </w:p>
    <w:p>
      <w:pPr>
        <w:widowControl w:val="0"/>
        <w:wordWrap/>
        <w:adjustRightInd/>
        <w:snapToGrid/>
        <w:spacing w:line="540" w:lineRule="exact"/>
        <w:ind w:firstLine="640" w:firstLineChars="20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第四章　社会保护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第四十二条　全社会应当树立关心、爱护未成年人的良好风尚。</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国家鼓励、支持和引导人民团体、企业事业单位、社会组织以及其他组织和个人，开展有利于未成年人健康成长的社会活动和服务。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国家鼓励爱国主义教育基地、博物馆、科技馆、美术馆等公共场馆开设未成年人专场，为未成年人提供有针对性的服务。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国家鼓励国家机关、企业事业单位、部队等开发自身教育资源，设立未成年人开放日，为未成年人主题教育、社会实践、职业体验等提供支持。</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国家鼓励科研机构和科技类社会组织对未成年人开展科学普及活动。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第四十五条　城市公共交通以及公路、铁路、水路、航空客运等应当按照有关规定对未成年人实施免费或者优惠票价。</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第四十六条　国家鼓励大型公共场所、公共交通工具、旅游景区景点等设置母婴室、婴儿护理台以及方便幼儿使用的坐便器、洗手台等卫生设施，为未成年人提供便利。</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第四十七条　任何组织或者个人不得违反有关规定，限制未成年人应当享有的照顾或者优惠</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第四十八条　国家鼓励创作、出版、制作和传播有利于未成年人健康成长的图书、报刊、电影、广播电视节目、舞台艺术作品、音像制品、电子出版物和网络信息等。</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第五十一条　任何组织或者个人出版、发布、传播的图书、报刊、电影、广播电视节目、舞台艺术作品、音像制品、电子出版物或者网络信息，包含可能影响未成年人身心健康内容的，应当以显著方式作出提示。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第五十二条　禁止制作、复制、发布、传播或者持有有关未成年人的淫秽色情物品和网络信息。</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第五十三条　任何组织或者个人不得刊登、播放、张贴或者散发含有危害未成年人身心健康内容的广告；不得在学校、幼儿园播放、张贴或者散发商业广告；不得利用校服、教材等发布或者变相发布商业广告。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第五十四条　禁止拐卖、绑架、虐待、非法收养未成年人，禁止对未成年人实施性侵害、性骚扰。</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禁止胁迫、引诱、教唆未成年人参加黑社会性质组织或者从事违法犯罪活动。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禁止胁迫、诱骗、利用未成年人乞讨。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公共场所发生突发事件时，应当优先救护未成年人。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任何人不得在学校、幼儿园和其他未成年人集中活动的公共场所吸烟、饮酒。</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第六十条　禁止向未成年人提供、销售管制刀具或者其他可能致人严重伤害的器具等物品。经营者难以判明购买者是否是未成年人的，应当要求其出示身份证件。</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第六十一条　任何组织或者个人不得招用未满十六周岁未成年人，国家另有规定的除外。</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营业性娱乐场所、酒吧、互联网上网服务营业场所等不适宜未成年人活动的场所不得招用已满十六周岁的未成年人。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招用已满十六周岁未成年人的单位和个人应当执行国家在工种、劳动时间、劳动强度和保护措施等方面的规定，不得安排其从事过重、有毒、有害等危害未成年人身心健康的劳动或者危险作业。</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第六十二条　密切接触未成年人的单位招聘工作人员时，应当向公安机关、人民检察院查询应聘者是否具有性侵害、虐待、拐卖、暴力伤害等违法犯罪记录；发现其具有前述行为记录的，不得录用。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密切接触未成年人的单位应当每年定期对工作人员是否具有上述违法犯罪记录进行查询。通过查询或者其他方式发现其工作人员具有上述行为的，应当及时解聘。</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第六十三条　任何组织或者个人不得隐匿、毁弃、非法删除未成年人的信件、日记、电子邮件或者其他网络通讯内容。</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除下列情形外，任何组织或者个人不得开拆、查阅未成年人的信件、日记、电子邮件或者其他网络通讯内容：</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（一）无民事行为能力未成年人的父母或者其他监护人代未成年人开拆、查阅；</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（二）因国家安全或者追查刑事犯罪依法进行检查；</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（三）紧急情况下为了保护未成年人本人的人身安全。</w:t>
      </w:r>
    </w:p>
    <w:p>
      <w:pPr>
        <w:widowControl w:val="0"/>
        <w:wordWrap/>
        <w:adjustRightInd/>
        <w:snapToGrid/>
        <w:spacing w:line="540" w:lineRule="exact"/>
        <w:ind w:firstLine="640" w:firstLineChars="20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第五章　网络保护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第六十四条　国家、社会、学校和家庭应当加强未成年人网络素养宣传教育，培养和提高未成年人的网络素养，增强未成年人科学、文明、安全、合理使用网络的意识和能力，保障未成年人在网络空间的合法权益。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第六十五条　国家鼓励和支持有利于未成年人健康成长的网络内容的创作与传播，鼓励和支持专门以未成年人为服务对象、适合未成年人身心健康特点的网络技术、产品、服务的研发、生产和使用。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第六十六条　网信部门及其他有关部门应当加强对未成年人网络保护工作的监督检查，依法惩处利用网络从事危害未成年人身心健康的活动，为未成年人提供安全、健康的网络环境。</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第六十七条　网信部门会同公安、文化和旅游、新闻出版、电影、广播电视等部门根据保护不同年龄阶段未成年人的需要，确定可能影响未成年人身心健康网络信息的种类、范围和判断标准。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任何组织或者个人不得以侵害未成年人身心健康的方式对未成年人沉迷网络进行干预。</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第六十九条　学校、社区、图书馆、文化馆、青少年宫等场所为未成年人提供的互联网上网服务设施，应当安装未成年人网络保护软件或者采取其他安全保护技术措施。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智能终端产品的制造者、销售者应当在产品上安装未成年人网络保护软件，或者以显著方式告知用户未成年人网络保护软件的安装渠道和方法。</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第七十条　学校应当合理使用网络开展教学活动。未经学校允许，未成年学生不得将手机等智能终端产品带入课堂，带入学校的应当统一管理。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学校发现未成年学生沉迷网络的，应当及时告知其父母或者其他监护人，共同对未成年学生进行教育和引导，帮助其恢复正常的学习生活。</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第七十一条　未成年人的父母或者其他监护人应当提高网络素养，规范自身使用网络的行为，加强对未成年人使用网络行为的引导和监督。</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未成年人、父母或者其他监护人要求信息处理者更正、删除未成年人个人信息的，信息处理者应当及时采取措施予以更正、删除，但法律、行政法规另有规定的除外。</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第七十三条　网络服务提供者发现未成年人通过网络发布私密信息的，应当及时提示，并采取必要的保护措施。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第七十四条　网络产品和服务提供者不得向未成年人提供诱导其沉迷的产品和服务。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网络游戏、网络直播、网络音视频、网络社交等网络服务提供者应当针对未成年人使用其服务设置相应的时间管理、权限管理、消费管理等功能。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以未成年人为服务对象的在线教育网络产品和服务，不得插入网络游戏链接，不得推送广告等与教学无关的信息。</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第七十五条　网络游戏经依法审批后方可运营。</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国家建立统一的未成年人网络游戏电子身份认证系统。网络游戏服务提供者应当要求未成年人以真实身份信息注册并登录网络游戏。</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网络游戏服务提供者应当按照国家有关规定和标准，对游戏产品进行分类，作出适龄提示，并采取技术措施，不得让未成年人接触不适宜的游戏或者游戏功能。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网络游戏服务提供者不得在每日二十二时至次日八时向未成年人提供网络游戏服务。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第七十七条　任何组织或者个人不得通过网络以文字、图片、音视频等形式，对未成年人实施侮辱、诽谤、威胁或者恶意损害形象等网络欺凌行为。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遭受网络欺凌的未成年人及其父母或者其他监护人有权通知网络服务提供者采取删除、屏蔽、断开链接等措施。网络服务提供者接到通知后，应当及时采取必要的措施制止网络欺凌行为，防止信息扩散。</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第七十八条　网络产品和服务提供者应当建立便捷、合理、有效的投诉和举报渠道，公开投诉、举报方式等信息，及时受理并处理涉及未成年人的投诉、举报。</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第七十九条　任何组织或者个人发现网络产品、服务含有危害未成年人身心健康的信息，有权向网络产品和服务提供者或者网信、公安等部门投诉、举报。</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第八十条　网络服务提供者发现用户发布、传播可能影响未成年人身心健康的信息且未作显著提示的，应当作出提示或者通知用户予以提示；未作出提示的，不得传输相关信息。</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网络服务提供者发现用户发布、传播含有危害未成年人身心健康内容的信息的，应当立即停止传输相关信息，采取删除、屏蔽、断开链接等处置措施，保存有关记录，并向网信、公安等部门报告。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网络服务提供者发现用户利用其网络服务对未成年人实施违法犯罪行为的，应当立即停止向该用户提供网络服务，保存有关记录，并向公安机关报告。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第六章　政府保护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第八十一条　县级以上人民政府承担未成年人保护协调机制具体工作的职能部门应当明确相关内设机构或者专门人员，负责承担未成年人保护工作。</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乡镇人民政府和街道办事处应当设立未成年人保护工作站或者指定专门人员，及时办理未成年人相关事务；支持、指导居民委员会、村民委员会设立专人专岗，做好未成年人保护工作。</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第八十二条　各级人民政府应当将家庭教育指导服务纳入城乡公共服务体系，开展家庭教育知识宣传，鼓励和支持有关人民团体、企业事业单位、社会组织开展家庭教育指导服务。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第八十三条　各级人民政府应当保障未成年人受教育的权利，并采取措施保障留守未成年人、困境未成年人、残疾未成年人接受义务教育。</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对尚未完成义务教育的辍学未成年学生，教育行政部门应当责令父母或者其他监护人将其送入学校接受义务教育。</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第八十四条　各级人民政府应当发展托育、学前教育事业，办好婴幼儿照护服务机构、幼儿园，支持社会力量依法兴办母婴室、婴幼儿照护服务机构、幼儿园。</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县级以上地方人民政府及其有关部门应当培养和培训婴幼儿照护服务机构、幼儿园的保教人员，提高其职业道德素质和业务能力。</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第八十五条　各级人民政府应当发展职业教育，保障未成年人接受职业教育或者职业技能培训，鼓励和支持人民团体、企业事业单位、社会组织为未成年人提供职业技能培训服务。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各级人民政府应当保障特殊教育学校、幼儿园的办学、办园条件，鼓励和支持社会力量举办特殊教育学校、幼儿园。</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第八十七条　地方人民政府及其有关部门应当保障校园安全，监督、指导学校、幼儿园等单位落实校园安全责任，建立突发事件的报告、处置和协调机制。</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第八十八条　公安机关和其他有关部门应当依法维护校园周边的治安和交通秩序，设置监控设备和交通安全设施，预防和制止侵害未成年人的违法犯罪行为。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第八十九条　地方人民政府应当建立和改善适合未成年人的活动场所和设施，支持公益性未成年人活动场所和设施的建设和运行，鼓励社会力量兴办适合未成年人的活动场所和设施，并加强管理。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地方人民政府应当采取措施，鼓励和支持学校在国家法定节假日、休息日及寒暑假期将文化体育设施对未成年人免费或者优惠开放。</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地方人民政府应当采取措施，防止任何组织或者个人侵占、破坏学校、幼儿园、婴幼儿照护服务机构等未成年人活动场所的场地、房屋和设施。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第九十条　各级人民政府及其有关部门应当对未成年人进行卫生保健和营养指导，提供卫生保健服务。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健康部门应当依法对未成年人的疫苗预防接种进行规范，防治未成年人常见病、多发病，加强传染病防治和监督管理，做好伤害预防和干预，指导和监督学校、幼儿园、婴幼儿照护服务机构开展卫生保健工作。</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教育行政部门应当加强未成年人的心理健康教育，建立未成年人心理问题的早期发现和及时干预机制。卫生健康部门应当做好未成年人心理治疗、心理危机干预以及精神障碍早期识别和诊断治疗等工作。</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第九十一条　各级人民政府及其有关部门对困境未成年人实施分类保障，采取措施满足其生活、教育、安全、医疗康复、住房等方面的基本需要。</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第九十二条　具有下列情形之一的，民政部门应当依法对未成年人进行临时监护：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（一）未成年人流浪乞讨或者身份不明，暂时查找不到父母或者其他监护人；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（二）监护人下落不明且无其他人可以担任监护人；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（三）监护人因自身客观原因或者因发生自然灾害、事故灾难、公共卫生事件等突发事件不能履行监护职责，导致未成年人监护缺失；</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（四）监护人拒绝或者怠于履行监护职责，导致未成年人处于无人照料的状态；</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（五）监护人教唆、利用未成年人实施违法犯罪行为，未成年人需要被带离安置；</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（六）未成年人遭受监护人严重伤害或者面临人身安全威胁，需要被紧急安置；</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（七）法律规定的其他情形。</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第九十三条　对临时监护的未成年人，民政部门可以采取委托亲属抚养、家庭寄养等方式进行安置，也可以交由未成年人救助保护机构或者儿童福利机构进行收留、抚养。</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临时监护期间，经民政部门评估，监护人重新具备履行监护职责条件的，民政部门可以将未成年人送回监护人抚养。</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第九十四条　具有下列情形之一的，民政部门应当依法对未成年人进行长期监护：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（一）查找不到未成年人的父母或者其他监护人；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（二）监护人死亡或者被宣告死亡且无其他人可以担任监护人；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（三）监护人丧失监护能力且无其他人可以担任监护人；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（四）人民法院判决撤销监护人资格并指定由民政部门担任监护人；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（五）法律规定的其他情形。</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第九十五条　民政部门进行收养评估后，可以依法将其长期监护的未成年人交由符合条件的申请人收养。收养关系成立后，民政部门与未成年人的监护关系终止。</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第九十六条　民政部门承担临时监护或者长期监护职责的，财政、教育、卫生健康、公安等部门应当根据各自职责予以配合。</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县级以上人民政府及其民政部门应当根据需要设立未成年人救助保护机构、儿童福利机构，负责收留、抚养由民政部门监护的未成年人。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第九十八条　国家建立性侵害、虐待、拐卖、暴力伤害等违法犯罪人员信息查询系统，向密切接触未成年人的单位提供免费查询服务。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第九十九条　地方人民政府应当培育、引导和规范有关社会组织、社会工作者参与未成年人保护工作，开展家庭教育指导服务，为未成年人的心理辅导、康复救助、监护及收养评估等提供专业服务。</w:t>
      </w:r>
    </w:p>
    <w:p>
      <w:pPr>
        <w:widowControl w:val="0"/>
        <w:wordWrap/>
        <w:adjustRightInd/>
        <w:snapToGrid/>
        <w:spacing w:line="540" w:lineRule="exact"/>
        <w:ind w:firstLine="640" w:firstLineChars="20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第七章　司法保护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第一百条　公安机关、人民检察院、人民法院和司法行政部门应当依法履行职责，保障未成年人合法权益。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公安机关、人民检察院、人民法院和司法行政部门应当对上述机构和人员实行与未成年人保护工作相适应的评价考核标准。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第一百零二条　公安机关、人民检察院、人民法院和司法行政部门办理涉及未成年人案件，应当考虑未成年人身心特点和健康成长的需要，使用未成年人能够理解的语言和表达方式，听取未成年人的意见。</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第一百零四条　对需要法律援助或者司法救助的未成年人，法律援助机构或者公安机关、人民检察院、人民法院和司法行政部门应当给予帮助，依法为其提供法律援助或者司法救助。</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法律援助机构应当指派熟悉未成年人身心特点的律师为未成年人提供法律援助服务。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法律援助机构和律师协会应当对办理未成年人法律援助案件的律师进行指导和培训。</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第一百零五条　人民检察院通过行使检察权，对涉及未成年人的诉讼活动等依法进行监督。</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第一百零六条　未成年人合法权益受到侵犯，相关组织和个人未代为提起诉讼的，人民检察院可以督促、支持其提起诉讼；涉及公共利益的，人民检察院有权提起公益诉讼。</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第一百零七条　人民法院审理继承案件，应当依法保护未成年人的继承权和受遗赠权。</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人民法院审理离婚案件，涉及未成年子女抚养问题的，应当尊重已满八周岁未成年子女的真实意愿，根据双方具体情况，按照最有利于未成年子女的原则依法处理。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第一百零八条　未成年人的父母或者其他监护人不依法履行监护职责或者严重侵犯被监护的未成年人合法权益的，人民法院可以根据有关人员或者单位的申请，依法作出人身安全保护令或者撤销监护人资格。</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被撤销监护人资格的父母或者其他监护人应当依法继续负担抚养费用。</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第一百零九条　人民法院审理离婚、抚养、收养、监护、探望等案件涉及未成年人的，可以自行或者委托社会组织对未成年人的相关情况进行社会调查。</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人民法院开庭审理涉及未成年人案件，未成年被害人、证人一般不出庭作证；必须出庭的，应当采取保护其隐私的技术手段和心理干预等保护措施。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第一百一十三条　对违法犯罪的未成年人，实行教育、感化、挽救的方针，坚持教育为主、惩罚为辅的原则。</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对违法犯罪的未成年人依法处罚后，在升学、就业等方面不得歧视。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第一百一十四条　公安机关、人民检察院、人民法院和司法行政部门发现有关单位未尽到未成年人教育、管理、救助、看护等保护职责的，应当向该单位提出建议。被建议单位应当在一个月内作出书面回复。</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第一百一十五条　公安机关、人民检察院、人民法院和司法行政部门应当结合实际，根据涉及未成年人案件的特点，开展未成年人法治宣传教育工作。</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第一百一十六条　国家鼓励和支持社会组织、社会工作者参与涉及未成年人案件中未成年人的心理干预、法律援助、社会调查、社会观护、教育矫治、社区矫正等工作。</w:t>
      </w:r>
    </w:p>
    <w:p>
      <w:pPr>
        <w:widowControl w:val="0"/>
        <w:wordWrap/>
        <w:adjustRightInd/>
        <w:snapToGrid/>
        <w:spacing w:line="540" w:lineRule="exact"/>
        <w:ind w:firstLine="640" w:firstLineChars="20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第八章　法律责任</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第一百一十七条　违反本法第十一条第二款规定，未履行报告义务造成严重后果的，由上级主管部门或者所在单位对直接负责的主管人员和其他直接责任人员依法给予处分。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公安机关接到报告或者公安机关、人民检察院、人民法院在办理案件过程中发现未成年人的父母或者其他监护人存在上述情形的，应当予以训诫，并可以责令其接受家庭教育指导。</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第一百二十三条　相关经营者违反本法第五十八条、第五十九条第一款、第六十条规定的，由文化和旅游、市场监督管理、烟草专卖、公安等部门按照职责分工责令限期改正，给予警告，</w:t>
      </w:r>
      <w:bookmarkStart w:id="0" w:name="_GoBack"/>
      <w:bookmarkEnd w:id="0"/>
      <w:r>
        <w:rPr>
          <w:rFonts w:hint="eastAsia" w:ascii="仿宋_GB2312" w:hAnsi="仿宋_GB2312" w:eastAsia="仿宋_GB2312" w:cs="仿宋_GB2312"/>
          <w:sz w:val="32"/>
          <w:szCs w:val="32"/>
          <w:lang w:eastAsia="zh-CN"/>
        </w:rPr>
        <w:t>没收违法所得，可以并处五万元以下罚款；拒不改正或者情节严重的，责令停业整顿或者吊销营业执照、吊销相关许可证，可以并处五万元以上五十万元以下罚款。</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第一百二十八条　国家机关工作人员玩忽职守、滥用职权、徇私舞弊，损害未成年人合法权益的，依法给予处分。</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第一百二十九条　违反本法规定，侵犯未成年人合法权益，造成人身、财产或者其他损害的，依法承担民事责任。</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违反本法规定，构成违反治安管理行为的，依法给予治安管理处罚；构成犯罪的，依法追究刑事责任。</w:t>
      </w:r>
    </w:p>
    <w:p>
      <w:pPr>
        <w:widowControl w:val="0"/>
        <w:wordWrap/>
        <w:adjustRightInd/>
        <w:snapToGrid/>
        <w:spacing w:line="540" w:lineRule="exact"/>
        <w:ind w:firstLine="643" w:firstLineChars="20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第九章　附则</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第一百三十条　本法中下列用语的含义：</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（二）学校，是指普通中小学、特殊教育学校、中等职业学校、专门学校。</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（三）学生欺凌，是指发生在学生之间，一方蓄意或者恶意通过肢体、语言及网络等手段实施欺压、侮辱，造成另一方人身伤害、财产损失或者精神损害的行为。</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第一百三十一条　对中国境内未满十八周岁的外国人、无国籍人，依照本法有关规定予以保护。</w:t>
      </w:r>
    </w:p>
    <w:p>
      <w:pPr>
        <w:widowControl w:val="0"/>
        <w:wordWrap/>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第一百三十二条　本法自2021年6月1日起施行。</w:t>
      </w:r>
    </w:p>
    <w:sectPr>
      <w:pgSz w:w="11906" w:h="16838"/>
      <w:pgMar w:top="2098" w:right="1474" w:bottom="1928" w:left="1587" w:header="851" w:footer="992" w:gutter="0"/>
      <w:paperSrc w:first="0" w:oth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繁综艺">
    <w:panose1 w:val="00000000000000000000"/>
    <w:charset w:val="00"/>
    <w:family w:val="auto"/>
    <w:pitch w:val="default"/>
    <w:sig w:usb0="00000000" w:usb1="00000000" w:usb2="00000000" w:usb3="00000000" w:csb0="00000000" w:csb1="00000000"/>
  </w:font>
  <w:font w:name="微软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文鼎中楷简">
    <w:panose1 w:val="02010609010101010101"/>
    <w:charset w:val="00"/>
    <w:family w:val="auto"/>
    <w:pitch w:val="default"/>
    <w:sig w:usb0="00000000" w:usb1="00000000" w:usb2="00000000" w:usb3="00000000" w:csb0="00000000" w:csb1="00000000"/>
  </w:font>
  <w:font w:name="方正中倩简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中隶书简">
    <w:panose1 w:val="02010609000101010101"/>
    <w:charset w:val="86"/>
    <w:family w:val="auto"/>
    <w:pitch w:val="default"/>
    <w:sig w:usb0="00000001" w:usb1="080E0800" w:usb2="00000002" w:usb3="00000000" w:csb0="00040000" w:csb1="00000000"/>
  </w:font>
  <w:font w:name="汉仪菱心体简">
    <w:panose1 w:val="02010609000101010101"/>
    <w:charset w:val="86"/>
    <w:family w:val="auto"/>
    <w:pitch w:val="default"/>
    <w:sig w:usb0="00000001" w:usb1="080E0800" w:usb2="00000002" w:usb3="00000000" w:csb0="00040000" w:csb1="00000000"/>
  </w:font>
  <w:font w:name="汉鼎繁大黑">
    <w:panose1 w:val="02010609010101010101"/>
    <w:charset w:val="00"/>
    <w:family w:val="auto"/>
    <w:pitch w:val="default"/>
    <w:sig w:usb0="00000000" w:usb1="00000000" w:usb2="00000000" w:usb3="00000000" w:csb0="00000000" w:csb1="00000000"/>
  </w:font>
  <w:font w:name="经典行书简">
    <w:panose1 w:val="02010609010101010101"/>
    <w:charset w:val="86"/>
    <w:family w:val="auto"/>
    <w:pitch w:val="default"/>
    <w:sig w:usb0="A1007AEF" w:usb1="F9DF7CFB" w:usb2="0000001E" w:usb3="00000000" w:csb0="2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EU-BZ">
    <w:panose1 w:val="03000509000000000000"/>
    <w:charset w:val="86"/>
    <w:family w:val="auto"/>
    <w:pitch w:val="default"/>
    <w:sig w:usb0="00000001" w:usb1="080E0000" w:usb2="00000000" w:usb3="00000000" w:csb0="00040000" w:csb1="00000000"/>
  </w:font>
  <w:font w:name="EU-FZ">
    <w:panose1 w:val="03000509000000000000"/>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Ruehl">
    <w:panose1 w:val="020E0503060101010101"/>
    <w:charset w:val="00"/>
    <w:family w:val="auto"/>
    <w:pitch w:val="default"/>
    <w:sig w:usb0="00000801" w:usb1="00000000" w:usb2="00000000" w:usb3="00000000" w:csb0="00000020" w:csb1="00200000"/>
  </w:font>
  <w:font w:name="Georgia">
    <w:panose1 w:val="02040502050405020303"/>
    <w:charset w:val="00"/>
    <w:family w:val="auto"/>
    <w:pitch w:val="default"/>
    <w:sig w:usb0="00000287" w:usb1="00000000" w:usb2="00000000" w:usb3="00000000" w:csb0="2000009F" w:csb1="00000000"/>
  </w:font>
  <w:font w:name="Kartika">
    <w:panose1 w:val="02020503030404060203"/>
    <w:charset w:val="00"/>
    <w:family w:val="auto"/>
    <w:pitch w:val="default"/>
    <w:sig w:usb0="008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tha">
    <w:panose1 w:val="020B0604020202020204"/>
    <w:charset w:val="00"/>
    <w:family w:val="auto"/>
    <w:pitch w:val="default"/>
    <w:sig w:usb0="00100003"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Rod">
    <w:panose1 w:val="02030509050101010101"/>
    <w:charset w:val="00"/>
    <w:family w:val="auto"/>
    <w:pitch w:val="default"/>
    <w:sig w:usb0="00000801" w:usb1="00000000" w:usb2="00000000" w:usb3="00000000" w:csb0="00000020" w:csb1="00200000"/>
  </w:font>
  <w:font w:name="Shruti">
    <w:panose1 w:val="020B0502040204020203"/>
    <w:charset w:val="00"/>
    <w:family w:val="auto"/>
    <w:pitch w:val="default"/>
    <w:sig w:usb0="0004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C283FA2"/>
    <w:rsid w:val="1F7053AE"/>
    <w:rsid w:val="49A60655"/>
    <w:rsid w:val="4CC20752"/>
    <w:rsid w:val="60D0442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专业版_9.1.0.5154_F1E327BC-269C-435d-A152-05C5408002CA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2021-08-04T03:04:00Z</dcterms:created>
  <dc:creator>Administrator</dc:creator>
  <cp:lastModifiedBy>王慧萍</cp:lastModifiedBy>
  <dcterms:modified xsi:type="dcterms:W3CDTF">2021-08-09T09:50:57Z</dcterms:modified>
  <dc:title>附件：5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2052-9.1.0.5154</vt:lpwstr>
  </property>
</Properties>
</file>