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5C84">
      <w:pPr>
        <w:pStyle w:val="4"/>
        <w:keepNext w:val="0"/>
        <w:keepLines w:val="0"/>
        <w:pageBreakBefore w:val="0"/>
        <w:widowControl w:val="0"/>
        <w:kinsoku/>
        <w:wordWrap/>
        <w:overflowPunct/>
        <w:topLinePunct w:val="0"/>
        <w:autoSpaceDE/>
        <w:autoSpaceDN/>
        <w:bidi w:val="0"/>
        <w:adjustRightInd/>
        <w:snapToGrid/>
        <w:spacing w:afterLines="0" w:line="660" w:lineRule="exact"/>
        <w:jc w:val="left"/>
        <w:textAlignment w:val="auto"/>
        <w:rPr>
          <w:rFonts w:hint="default" w:ascii="宋体" w:hAnsi="宋体" w:eastAsia="宋体" w:cs="宋体"/>
          <w:color w:val="auto"/>
          <w:sz w:val="32"/>
          <w:szCs w:val="32"/>
          <w:highlight w:val="none"/>
          <w:lang w:val="en-US" w:eastAsia="zh-CN"/>
        </w:rPr>
      </w:pPr>
      <w:r>
        <w:rPr>
          <w:rFonts w:hint="eastAsia" w:ascii="宋体" w:eastAsia="宋体" w:cs="宋体"/>
          <w:color w:val="auto"/>
          <w:sz w:val="32"/>
          <w:szCs w:val="32"/>
          <w:highlight w:val="none"/>
          <w:lang w:val="en-US" w:eastAsia="zh-CN"/>
        </w:rPr>
        <w:t>附件</w:t>
      </w:r>
    </w:p>
    <w:p w14:paraId="2EEBAD64">
      <w:pPr>
        <w:pStyle w:val="4"/>
        <w:keepNext w:val="0"/>
        <w:keepLines w:val="0"/>
        <w:pageBreakBefore w:val="0"/>
        <w:widowControl w:val="0"/>
        <w:kinsoku/>
        <w:wordWrap/>
        <w:overflowPunct/>
        <w:topLinePunct w:val="0"/>
        <w:autoSpaceDE/>
        <w:autoSpaceDN/>
        <w:bidi w:val="0"/>
        <w:adjustRightInd/>
        <w:snapToGrid/>
        <w:spacing w:afterLines="0" w:line="660" w:lineRule="exact"/>
        <w:textAlignment w:val="auto"/>
        <w:rPr>
          <w:rFonts w:hint="eastAsia" w:ascii="宋体" w:hAnsi="宋体" w:eastAsia="宋体" w:cs="宋体"/>
          <w:color w:val="auto"/>
          <w:szCs w:val="44"/>
          <w:highlight w:val="none"/>
          <w:lang w:val="en-US" w:eastAsia="zh-CN"/>
        </w:rPr>
      </w:pPr>
      <w:r>
        <w:rPr>
          <w:rFonts w:hint="eastAsia" w:ascii="宋体" w:eastAsia="宋体" w:cs="宋体"/>
          <w:color w:val="auto"/>
          <w:szCs w:val="44"/>
          <w:highlight w:val="none"/>
          <w:lang w:val="en-US" w:eastAsia="zh-CN"/>
        </w:rPr>
        <w:t>大同市</w:t>
      </w:r>
      <w:r>
        <w:rPr>
          <w:rFonts w:hint="eastAsia" w:ascii="宋体" w:hAnsi="宋体" w:eastAsia="宋体" w:cs="宋体"/>
          <w:color w:val="auto"/>
          <w:szCs w:val="44"/>
          <w:highlight w:val="none"/>
          <w:lang w:val="en-US" w:eastAsia="zh-CN"/>
        </w:rPr>
        <w:t>新能源商用车产业链企业补助</w:t>
      </w:r>
    </w:p>
    <w:p w14:paraId="584DC756">
      <w:pPr>
        <w:pStyle w:val="4"/>
        <w:keepNext w:val="0"/>
        <w:keepLines w:val="0"/>
        <w:pageBreakBefore w:val="0"/>
        <w:widowControl w:val="0"/>
        <w:kinsoku/>
        <w:wordWrap/>
        <w:overflowPunct/>
        <w:topLinePunct w:val="0"/>
        <w:autoSpaceDE/>
        <w:autoSpaceDN/>
        <w:bidi w:val="0"/>
        <w:adjustRightInd/>
        <w:snapToGrid/>
        <w:spacing w:afterLines="0" w:line="660" w:lineRule="exact"/>
        <w:textAlignment w:val="auto"/>
        <w:rPr>
          <w:rFonts w:hint="eastAsia" w:ascii="宋体" w:hAnsi="宋体" w:eastAsia="宋体" w:cs="宋体"/>
          <w:color w:val="auto"/>
          <w:szCs w:val="44"/>
          <w:highlight w:val="none"/>
          <w:lang w:val="en-US" w:eastAsia="zh-CN"/>
        </w:rPr>
      </w:pPr>
      <w:r>
        <w:rPr>
          <w:rFonts w:hint="eastAsia" w:ascii="宋体" w:hAnsi="宋体" w:eastAsia="宋体" w:cs="宋体"/>
          <w:color w:val="auto"/>
          <w:szCs w:val="44"/>
          <w:highlight w:val="none"/>
          <w:lang w:val="en-US" w:eastAsia="zh-CN"/>
        </w:rPr>
        <w:t>实施细则</w:t>
      </w:r>
    </w:p>
    <w:p w14:paraId="3AA37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p>
    <w:p w14:paraId="7C830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highlight w:val="none"/>
          <w:lang w:val="en-US" w:eastAsia="zh-CN"/>
        </w:rPr>
        <w:t>放大财政资金撬动作用，吸引和鼓励更多社会资本投入</w:t>
      </w:r>
      <w:r>
        <w:rPr>
          <w:rFonts w:hint="eastAsia" w:ascii="Times New Roman" w:hAnsi="Times New Roman" w:eastAsia="仿宋_GB2312" w:cs="Times New Roman"/>
          <w:color w:val="auto"/>
          <w:sz w:val="32"/>
          <w:szCs w:val="32"/>
          <w:highlight w:val="none"/>
          <w:lang w:val="en-US" w:eastAsia="zh-CN"/>
        </w:rPr>
        <w:t>新能源商用车产业发展</w:t>
      </w:r>
      <w:r>
        <w:rPr>
          <w:rFonts w:hint="eastAsia" w:ascii="Times New Roman" w:hAnsi="Times New Roman" w:eastAsia="仿宋_GB2312" w:cs="Times New Roman"/>
          <w:color w:val="auto"/>
          <w:sz w:val="32"/>
          <w:szCs w:val="32"/>
          <w:lang w:val="en-US" w:eastAsia="zh-CN"/>
        </w:rPr>
        <w:t>，</w:t>
      </w:r>
      <w:r>
        <w:rPr>
          <w:rFonts w:hint="eastAsia" w:eastAsia="方正仿宋_GBK"/>
          <w:sz w:val="32"/>
          <w:szCs w:val="32"/>
        </w:rPr>
        <w:t>根据《大同市人民政府关于印发&lt;</w:t>
      </w:r>
      <w:r>
        <w:rPr>
          <w:rFonts w:hint="eastAsia" w:ascii="仿宋_GB2312" w:hAnsi="仿宋_GB2312" w:eastAsia="仿宋_GB2312" w:cs="仿宋_GB2312"/>
          <w:sz w:val="32"/>
          <w:szCs w:val="32"/>
          <w:lang w:val="en" w:eastAsia="zh-CN"/>
        </w:rPr>
        <w:t>进一步加快新能源商用车互通互换生态建设若干措施</w:t>
      </w:r>
      <w:r>
        <w:rPr>
          <w:rFonts w:hint="eastAsia" w:eastAsia="方正仿宋_GBK"/>
          <w:sz w:val="32"/>
          <w:szCs w:val="32"/>
        </w:rPr>
        <w:t>&gt;的通知</w:t>
      </w:r>
      <w:r>
        <w:rPr>
          <w:rFonts w:hint="eastAsia" w:eastAsia="方正仿宋_GBK"/>
          <w:sz w:val="32"/>
          <w:szCs w:val="32"/>
          <w:lang w:eastAsia="zh-CN"/>
        </w:rPr>
        <w:t>（</w:t>
      </w:r>
      <w:r>
        <w:rPr>
          <w:rFonts w:hint="eastAsia" w:eastAsia="方正仿宋_GBK"/>
          <w:sz w:val="32"/>
          <w:szCs w:val="32"/>
          <w:lang w:val="en-US" w:eastAsia="zh-CN"/>
        </w:rPr>
        <w:t>试行</w:t>
      </w:r>
      <w:r>
        <w:rPr>
          <w:rFonts w:hint="eastAsia" w:eastAsia="方正仿宋_GBK"/>
          <w:sz w:val="32"/>
          <w:szCs w:val="32"/>
          <w:lang w:eastAsia="zh-CN"/>
        </w:rPr>
        <w:t>）</w:t>
      </w:r>
      <w:r>
        <w:rPr>
          <w:rFonts w:hint="eastAsia" w:eastAsia="方正仿宋_GBK"/>
          <w:sz w:val="32"/>
          <w:szCs w:val="32"/>
        </w:rPr>
        <w:t>》（同政规〔202</w:t>
      </w: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2</w:t>
      </w:r>
      <w:r>
        <w:rPr>
          <w:rFonts w:hint="eastAsia" w:eastAsia="方正仿宋_GBK"/>
          <w:sz w:val="32"/>
          <w:szCs w:val="32"/>
        </w:rPr>
        <w:t>号），</w:t>
      </w:r>
      <w:r>
        <w:rPr>
          <w:rFonts w:hint="eastAsia" w:ascii="Times New Roman" w:hAnsi="Times New Roman" w:eastAsia="仿宋_GB2312" w:cs="Times New Roman"/>
          <w:color w:val="auto"/>
          <w:sz w:val="32"/>
          <w:szCs w:val="32"/>
          <w:lang w:val="en-US" w:eastAsia="zh-CN"/>
        </w:rPr>
        <w:t>制定本实施细则。</w:t>
      </w:r>
    </w:p>
    <w:p w14:paraId="658DC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一、支持对象条件及奖励类型</w:t>
      </w:r>
    </w:p>
    <w:p w14:paraId="7EC2E20A">
      <w:pPr>
        <w:widowControl w:val="0"/>
        <w:spacing w:line="604" w:lineRule="atLeast"/>
        <w:ind w:firstLine="639" w:firstLineChars="0"/>
        <w:rPr>
          <w:rFonts w:hint="eastAsia" w:eastAsia="方正仿宋_GBK"/>
          <w:sz w:val="32"/>
          <w:szCs w:val="32"/>
          <w:lang w:val="en-US" w:eastAsia="zh-CN"/>
        </w:rPr>
      </w:pPr>
      <w:r>
        <w:rPr>
          <w:rFonts w:hint="eastAsia" w:eastAsia="方正仿宋_GBK"/>
          <w:sz w:val="32"/>
          <w:szCs w:val="32"/>
        </w:rPr>
        <w:t>奖励申报须</w:t>
      </w:r>
      <w:r>
        <w:rPr>
          <w:rFonts w:hint="eastAsia" w:eastAsia="方正仿宋_GBK"/>
          <w:sz w:val="32"/>
          <w:szCs w:val="32"/>
          <w:lang w:val="en-US" w:eastAsia="zh-CN"/>
        </w:rPr>
        <w:t>为以下三类：</w:t>
      </w:r>
    </w:p>
    <w:p w14:paraId="3BE2F2E1">
      <w:pPr>
        <w:widowControl w:val="0"/>
        <w:numPr>
          <w:ilvl w:val="0"/>
          <w:numId w:val="1"/>
        </w:numPr>
        <w:spacing w:line="604" w:lineRule="atLeast"/>
        <w:ind w:firstLine="639" w:firstLineChars="0"/>
        <w:rPr>
          <w:rFonts w:hint="eastAsia" w:ascii="仿宋" w:hAnsi="仿宋" w:eastAsia="仿宋" w:cs="仿宋"/>
          <w:sz w:val="32"/>
          <w:szCs w:val="32"/>
          <w:lang w:val="en-US" w:eastAsia="zh-CN"/>
        </w:rPr>
      </w:pPr>
      <w:r>
        <w:rPr>
          <w:rFonts w:hint="eastAsia" w:eastAsia="方正仿宋_GBK"/>
          <w:sz w:val="32"/>
          <w:szCs w:val="32"/>
          <w:lang w:val="en-US" w:eastAsia="zh-CN"/>
        </w:rPr>
        <w:t>新能源商用车生产企业，该类企业</w:t>
      </w:r>
      <w:r>
        <w:rPr>
          <w:rFonts w:hint="eastAsia" w:ascii="仿宋" w:hAnsi="仿宋" w:eastAsia="仿宋" w:cs="仿宋"/>
          <w:sz w:val="32"/>
          <w:szCs w:val="32"/>
          <w:lang w:val="en-US" w:eastAsia="zh-CN"/>
        </w:rPr>
        <w:t>开发的</w:t>
      </w:r>
      <w:r>
        <w:rPr>
          <w:rFonts w:hint="eastAsia" w:ascii="仿宋" w:hAnsi="仿宋" w:eastAsia="仿宋" w:cs="仿宋"/>
          <w:sz w:val="32"/>
          <w:szCs w:val="32"/>
        </w:rPr>
        <w:t>新车</w:t>
      </w:r>
      <w:r>
        <w:rPr>
          <w:rFonts w:hint="eastAsia" w:ascii="仿宋" w:hAnsi="仿宋" w:eastAsia="仿宋" w:cs="仿宋"/>
          <w:sz w:val="32"/>
          <w:szCs w:val="32"/>
          <w:lang w:val="en-US" w:eastAsia="zh-CN"/>
        </w:rPr>
        <w:t>型，</w:t>
      </w:r>
      <w:r>
        <w:rPr>
          <w:rFonts w:hint="eastAsia" w:ascii="仿宋" w:hAnsi="仿宋" w:eastAsia="仿宋" w:cs="仿宋"/>
          <w:sz w:val="32"/>
          <w:szCs w:val="32"/>
        </w:rPr>
        <w:t>获得工信部《道路机动车辆生产企业及产品公告》</w:t>
      </w:r>
      <w:r>
        <w:rPr>
          <w:rFonts w:hint="eastAsia" w:ascii="仿宋" w:hAnsi="仿宋" w:eastAsia="仿宋" w:cs="仿宋"/>
          <w:sz w:val="32"/>
          <w:szCs w:val="32"/>
          <w:lang w:val="en-US" w:eastAsia="zh-CN"/>
        </w:rPr>
        <w:t>后，给予500万元一次性新产品开发奖励，1个市场主体只享受1次奖励。</w:t>
      </w:r>
    </w:p>
    <w:p w14:paraId="309E346A">
      <w:pPr>
        <w:widowControl w:val="0"/>
        <w:numPr>
          <w:ilvl w:val="0"/>
          <w:numId w:val="1"/>
        </w:numPr>
        <w:spacing w:line="604" w:lineRule="atLeast"/>
        <w:ind w:firstLine="639" w:firstLineChars="0"/>
        <w:rPr>
          <w:rFonts w:hint="eastAsia" w:eastAsia="方正仿宋_GBK"/>
          <w:sz w:val="32"/>
          <w:szCs w:val="32"/>
          <w:lang w:val="en-US" w:eastAsia="zh-CN"/>
        </w:rPr>
      </w:pPr>
      <w:r>
        <w:rPr>
          <w:rFonts w:hint="eastAsia" w:eastAsia="方正仿宋_GBK"/>
          <w:sz w:val="32"/>
          <w:szCs w:val="32"/>
          <w:lang w:val="en-US" w:eastAsia="zh-CN"/>
        </w:rPr>
        <w:t>新能源商用车零部件配套企业，该类企业投资额度达到2000万元，给予100万元一次性稳链补链奖励。</w:t>
      </w:r>
    </w:p>
    <w:p w14:paraId="64555A23">
      <w:pPr>
        <w:widowControl w:val="0"/>
        <w:numPr>
          <w:ilvl w:val="0"/>
          <w:numId w:val="1"/>
        </w:numPr>
        <w:spacing w:line="604" w:lineRule="atLeast"/>
        <w:ind w:firstLine="639" w:firstLineChars="0"/>
        <w:rPr>
          <w:rFonts w:hint="eastAsia" w:eastAsia="方正仿宋_GBK"/>
          <w:sz w:val="32"/>
          <w:szCs w:val="32"/>
          <w:lang w:val="en-US" w:eastAsia="zh-CN"/>
        </w:rPr>
      </w:pPr>
      <w:r>
        <w:rPr>
          <w:rFonts w:hint="eastAsia" w:eastAsia="方正仿宋_GBK"/>
          <w:sz w:val="32"/>
          <w:szCs w:val="32"/>
          <w:lang w:val="en-US" w:eastAsia="zh-CN"/>
        </w:rPr>
        <w:t>新能源商用车产业链企业，对该类企业在政策有效期内的贷款或融资租贷产生的利息支出给予贴息补助，贴息标准按照利息支出的50%给予补助，且贴息额最高为贷款本金的3%（含），计算贴息时以支持期内贷款实际计息天数作为计算依据，每个支持对象年贴息额最高100万元。</w:t>
      </w:r>
    </w:p>
    <w:p w14:paraId="45F2C2A9">
      <w:pPr>
        <w:widowControl w:val="0"/>
        <w:spacing w:line="604" w:lineRule="atLeast"/>
        <w:ind w:firstLine="639" w:firstLineChars="0"/>
        <w:rPr>
          <w:rFonts w:hint="eastAsia" w:ascii="方正黑体简体" w:hAnsi="方正黑体简体" w:eastAsia="方正黑体简体"/>
          <w:sz w:val="32"/>
          <w:szCs w:val="32"/>
        </w:rPr>
      </w:pPr>
      <w:r>
        <w:rPr>
          <w:rFonts w:hint="eastAsia" w:ascii="方正黑体简体" w:hAnsi="方正黑体简体" w:eastAsia="方正黑体简体"/>
          <w:sz w:val="32"/>
          <w:szCs w:val="32"/>
        </w:rPr>
        <w:t>二、申报类型</w:t>
      </w:r>
    </w:p>
    <w:p w14:paraId="200BF009">
      <w:pPr>
        <w:widowControl w:val="0"/>
        <w:spacing w:line="604" w:lineRule="atLeast"/>
        <w:ind w:firstLine="639" w:firstLineChars="0"/>
        <w:rPr>
          <w:rFonts w:hint="eastAsia" w:eastAsia="方正仿宋_GBK"/>
          <w:sz w:val="32"/>
          <w:szCs w:val="32"/>
        </w:rPr>
      </w:pPr>
      <w:r>
        <w:rPr>
          <w:rFonts w:hint="eastAsia" w:ascii="方正楷体简体" w:hAnsi="方正楷体简体" w:eastAsia="方正楷体简体"/>
          <w:sz w:val="32"/>
          <w:szCs w:val="32"/>
        </w:rPr>
        <w:t>（一）年度申报。</w:t>
      </w:r>
      <w:r>
        <w:rPr>
          <w:rFonts w:hint="eastAsia" w:ascii="方正楷体简体" w:hAnsi="方正楷体简体" w:eastAsia="方正楷体简体"/>
          <w:sz w:val="32"/>
          <w:szCs w:val="32"/>
          <w:lang w:eastAsia="zh-CN"/>
        </w:rPr>
        <w:t>贴息</w:t>
      </w:r>
      <w:r>
        <w:rPr>
          <w:rFonts w:hint="eastAsia" w:eastAsia="方正仿宋_GBK"/>
          <w:sz w:val="32"/>
          <w:szCs w:val="32"/>
        </w:rPr>
        <w:t>申报时间为每年1月，2月底前完成评审。</w:t>
      </w:r>
      <w:r>
        <w:rPr>
          <w:rFonts w:hint="eastAsia" w:eastAsia="方正仿宋_GBK"/>
          <w:sz w:val="32"/>
          <w:szCs w:val="32"/>
          <w:lang w:eastAsia="zh-CN"/>
        </w:rPr>
        <w:t>起息时间</w:t>
      </w:r>
      <w:r>
        <w:rPr>
          <w:rFonts w:hint="eastAsia" w:eastAsia="方正仿宋_GBK"/>
          <w:sz w:val="32"/>
          <w:szCs w:val="32"/>
          <w:lang w:val="en-US" w:eastAsia="zh-CN"/>
        </w:rPr>
        <w:t>为2025年4月12日</w:t>
      </w:r>
      <w:r>
        <w:rPr>
          <w:rFonts w:hint="eastAsia" w:eastAsia="方正仿宋_GBK"/>
          <w:sz w:val="32"/>
          <w:szCs w:val="32"/>
        </w:rPr>
        <w:t>。</w:t>
      </w:r>
    </w:p>
    <w:p w14:paraId="51E85137">
      <w:pPr>
        <w:widowControl w:val="0"/>
        <w:spacing w:line="604" w:lineRule="atLeast"/>
        <w:ind w:firstLine="639" w:firstLineChars="0"/>
        <w:rPr>
          <w:rFonts w:hint="eastAsia" w:eastAsia="方正仿宋_GBK"/>
          <w:sz w:val="32"/>
          <w:szCs w:val="32"/>
        </w:rPr>
      </w:pPr>
      <w:r>
        <w:rPr>
          <w:rFonts w:hint="eastAsia" w:ascii="方正楷体简体" w:hAnsi="方正楷体简体" w:eastAsia="方正楷体简体"/>
          <w:sz w:val="32"/>
          <w:szCs w:val="32"/>
        </w:rPr>
        <w:t>（二）免申即享。</w:t>
      </w:r>
      <w:r>
        <w:rPr>
          <w:rFonts w:hint="eastAsia" w:ascii="仿宋" w:hAnsi="仿宋" w:eastAsia="仿宋" w:cs="仿宋"/>
          <w:sz w:val="32"/>
          <w:szCs w:val="32"/>
          <w:lang w:eastAsia="zh-CN"/>
        </w:rPr>
        <w:t>新能源</w:t>
      </w:r>
      <w:r>
        <w:rPr>
          <w:rFonts w:hint="eastAsia" w:ascii="仿宋" w:hAnsi="仿宋" w:eastAsia="仿宋" w:cs="仿宋"/>
          <w:sz w:val="32"/>
          <w:szCs w:val="32"/>
          <w:lang w:val="en-US" w:eastAsia="zh-CN"/>
        </w:rPr>
        <w:t>商用车</w:t>
      </w:r>
      <w:r>
        <w:rPr>
          <w:rFonts w:hint="eastAsia" w:ascii="仿宋" w:hAnsi="仿宋" w:eastAsia="仿宋" w:cs="仿宋"/>
          <w:sz w:val="32"/>
          <w:szCs w:val="32"/>
        </w:rPr>
        <w:t>生产企业</w:t>
      </w:r>
      <w:r>
        <w:rPr>
          <w:rFonts w:hint="eastAsia" w:ascii="仿宋" w:hAnsi="仿宋" w:eastAsia="仿宋" w:cs="仿宋"/>
          <w:sz w:val="32"/>
          <w:szCs w:val="32"/>
          <w:lang w:val="en-US" w:eastAsia="zh-CN"/>
        </w:rPr>
        <w:t>开发的</w:t>
      </w:r>
      <w:r>
        <w:rPr>
          <w:rFonts w:hint="eastAsia" w:ascii="仿宋" w:hAnsi="仿宋" w:eastAsia="仿宋" w:cs="仿宋"/>
          <w:sz w:val="32"/>
          <w:szCs w:val="32"/>
        </w:rPr>
        <w:t>新车</w:t>
      </w:r>
      <w:r>
        <w:rPr>
          <w:rFonts w:hint="eastAsia" w:ascii="仿宋" w:hAnsi="仿宋" w:eastAsia="仿宋" w:cs="仿宋"/>
          <w:sz w:val="32"/>
          <w:szCs w:val="32"/>
          <w:lang w:val="en-US" w:eastAsia="zh-CN"/>
        </w:rPr>
        <w:t>型，</w:t>
      </w:r>
      <w:r>
        <w:rPr>
          <w:rFonts w:hint="eastAsia" w:ascii="仿宋" w:hAnsi="仿宋" w:eastAsia="仿宋" w:cs="仿宋"/>
          <w:sz w:val="32"/>
          <w:szCs w:val="32"/>
        </w:rPr>
        <w:t>获得工信部《道路机动车辆生产企业及产品公告》</w:t>
      </w:r>
      <w:r>
        <w:rPr>
          <w:rFonts w:hint="eastAsia" w:ascii="仿宋" w:hAnsi="仿宋" w:eastAsia="仿宋" w:cs="仿宋"/>
          <w:sz w:val="32"/>
          <w:szCs w:val="32"/>
          <w:lang w:val="en-US" w:eastAsia="zh-CN"/>
        </w:rPr>
        <w:t>后，</w:t>
      </w:r>
      <w:r>
        <w:rPr>
          <w:rFonts w:hint="eastAsia" w:eastAsia="方正仿宋_GBK"/>
          <w:sz w:val="32"/>
          <w:szCs w:val="32"/>
        </w:rPr>
        <w:t>由市工信局负责申请奖励，无需企业申报。</w:t>
      </w:r>
    </w:p>
    <w:p w14:paraId="42D92B2D">
      <w:pPr>
        <w:widowControl w:val="0"/>
        <w:spacing w:line="604" w:lineRule="atLeast"/>
        <w:ind w:firstLine="639" w:firstLineChars="0"/>
        <w:rPr>
          <w:rFonts w:hint="eastAsia" w:eastAsia="方正仿宋_GBK"/>
          <w:sz w:val="32"/>
          <w:szCs w:val="32"/>
        </w:rPr>
      </w:pPr>
      <w:r>
        <w:rPr>
          <w:rFonts w:hint="eastAsia" w:ascii="方正楷体简体" w:hAnsi="方正楷体简体" w:eastAsia="方正楷体简体"/>
          <w:sz w:val="32"/>
          <w:szCs w:val="32"/>
        </w:rPr>
        <w:t>（三）即申即享。</w:t>
      </w:r>
      <w:r>
        <w:rPr>
          <w:rFonts w:hint="eastAsia" w:eastAsia="方正仿宋_GBK"/>
          <w:sz w:val="32"/>
          <w:szCs w:val="32"/>
        </w:rPr>
        <w:t>新建、改建、扩建的</w:t>
      </w:r>
      <w:r>
        <w:rPr>
          <w:rFonts w:hint="eastAsia" w:eastAsia="方正仿宋_GBK"/>
          <w:sz w:val="32"/>
          <w:szCs w:val="32"/>
          <w:lang w:val="en-US" w:eastAsia="zh-CN"/>
        </w:rPr>
        <w:t>新能源商用车零部件配套企业</w:t>
      </w:r>
      <w:r>
        <w:rPr>
          <w:rFonts w:hint="eastAsia" w:eastAsia="方正仿宋_GBK"/>
          <w:sz w:val="32"/>
          <w:szCs w:val="32"/>
        </w:rPr>
        <w:t>项目申报投资额奖励通常在年度申报完成，项目完全投产后可在年内随时申报。</w:t>
      </w:r>
    </w:p>
    <w:p w14:paraId="55AEDC53">
      <w:pPr>
        <w:widowControl w:val="0"/>
        <w:spacing w:line="604" w:lineRule="atLeast"/>
        <w:ind w:firstLine="639" w:firstLineChars="0"/>
        <w:rPr>
          <w:rFonts w:hint="eastAsia" w:ascii="方正黑体简体" w:hAnsi="方正黑体简体" w:eastAsia="方正黑体简体"/>
          <w:sz w:val="32"/>
          <w:szCs w:val="32"/>
        </w:rPr>
      </w:pPr>
      <w:r>
        <w:rPr>
          <w:rFonts w:hint="eastAsia" w:ascii="方正黑体简体" w:hAnsi="方正黑体简体" w:eastAsia="方正黑体简体"/>
          <w:sz w:val="32"/>
          <w:szCs w:val="32"/>
        </w:rPr>
        <w:t>三、申报要求</w:t>
      </w:r>
    </w:p>
    <w:p w14:paraId="2885D90F">
      <w:pPr>
        <w:widowControl w:val="0"/>
        <w:spacing w:line="604" w:lineRule="atLeast"/>
        <w:ind w:firstLine="639" w:firstLineChars="0"/>
        <w:rPr>
          <w:rFonts w:hint="eastAsia" w:eastAsia="方正仿宋_GBK"/>
          <w:sz w:val="32"/>
          <w:szCs w:val="32"/>
        </w:rPr>
      </w:pPr>
      <w:r>
        <w:rPr>
          <w:rFonts w:hint="eastAsia" w:eastAsia="方正仿宋_GBK"/>
          <w:sz w:val="32"/>
          <w:szCs w:val="32"/>
        </w:rPr>
        <w:t>（一）项目企业符合《大同市人民政府关于印发&lt;</w:t>
      </w:r>
      <w:r>
        <w:rPr>
          <w:rFonts w:hint="eastAsia" w:ascii="仿宋_GB2312" w:hAnsi="仿宋_GB2312" w:eastAsia="仿宋_GB2312" w:cs="仿宋_GB2312"/>
          <w:sz w:val="32"/>
          <w:szCs w:val="32"/>
          <w:lang w:val="en" w:eastAsia="zh-CN"/>
        </w:rPr>
        <w:t>进一步加快新能源商用车互通互换生态建设若干措施</w:t>
      </w:r>
      <w:r>
        <w:rPr>
          <w:rFonts w:hint="eastAsia" w:eastAsia="方正仿宋_GBK"/>
          <w:sz w:val="32"/>
          <w:szCs w:val="32"/>
        </w:rPr>
        <w:t>&gt;的通知</w:t>
      </w:r>
      <w:r>
        <w:rPr>
          <w:rFonts w:hint="eastAsia" w:eastAsia="方正仿宋_GBK"/>
          <w:sz w:val="32"/>
          <w:szCs w:val="32"/>
          <w:lang w:eastAsia="zh-CN"/>
        </w:rPr>
        <w:t>（</w:t>
      </w:r>
      <w:r>
        <w:rPr>
          <w:rFonts w:hint="eastAsia" w:eastAsia="方正仿宋_GBK"/>
          <w:sz w:val="32"/>
          <w:szCs w:val="32"/>
          <w:lang w:val="en-US" w:eastAsia="zh-CN"/>
        </w:rPr>
        <w:t>试行</w:t>
      </w:r>
      <w:r>
        <w:rPr>
          <w:rFonts w:hint="eastAsia" w:eastAsia="方正仿宋_GBK"/>
          <w:sz w:val="32"/>
          <w:szCs w:val="32"/>
          <w:lang w:eastAsia="zh-CN"/>
        </w:rPr>
        <w:t>）</w:t>
      </w:r>
      <w:r>
        <w:rPr>
          <w:rFonts w:hint="eastAsia" w:eastAsia="方正仿宋_GBK"/>
          <w:sz w:val="32"/>
          <w:szCs w:val="32"/>
        </w:rPr>
        <w:t>》。</w:t>
      </w:r>
    </w:p>
    <w:p w14:paraId="745476C2">
      <w:pPr>
        <w:widowControl w:val="0"/>
        <w:spacing w:line="604" w:lineRule="atLeast"/>
        <w:ind w:firstLine="639" w:firstLineChars="0"/>
        <w:rPr>
          <w:rFonts w:hint="eastAsia" w:eastAsia="方正仿宋_GBK"/>
          <w:sz w:val="32"/>
          <w:szCs w:val="32"/>
        </w:rPr>
      </w:pPr>
      <w:r>
        <w:rPr>
          <w:rFonts w:hint="eastAsia" w:eastAsia="方正仿宋_GBK"/>
          <w:sz w:val="32"/>
          <w:szCs w:val="32"/>
        </w:rPr>
        <w:t>（二）项目申报奖励须出具审计报告，投资额不应包含土地购置费，投资额统计截止日期应在专家评审前。</w:t>
      </w:r>
    </w:p>
    <w:p w14:paraId="676643CD">
      <w:pPr>
        <w:widowControl w:val="0"/>
        <w:spacing w:line="604" w:lineRule="atLeast"/>
        <w:ind w:firstLine="639" w:firstLineChars="0"/>
        <w:rPr>
          <w:rFonts w:hint="eastAsia" w:eastAsia="方正仿宋_GBK"/>
          <w:sz w:val="32"/>
          <w:szCs w:val="32"/>
        </w:rPr>
      </w:pPr>
      <w:r>
        <w:rPr>
          <w:rFonts w:hint="eastAsia" w:eastAsia="方正仿宋_GBK"/>
          <w:sz w:val="32"/>
          <w:szCs w:val="32"/>
        </w:rPr>
        <w:t>（三）企业申报</w:t>
      </w:r>
      <w:r>
        <w:rPr>
          <w:rFonts w:hint="eastAsia" w:eastAsia="方正仿宋_GBK"/>
          <w:sz w:val="32"/>
          <w:szCs w:val="32"/>
          <w:lang w:val="en-US" w:eastAsia="zh-CN"/>
        </w:rPr>
        <w:t>投资额度</w:t>
      </w:r>
      <w:r>
        <w:rPr>
          <w:rFonts w:hint="eastAsia" w:eastAsia="方正仿宋_GBK"/>
          <w:sz w:val="32"/>
          <w:szCs w:val="32"/>
        </w:rPr>
        <w:t>统计须以发票为准。</w:t>
      </w:r>
    </w:p>
    <w:p w14:paraId="185D5DA9">
      <w:pPr>
        <w:widowControl w:val="0"/>
        <w:spacing w:line="604" w:lineRule="atLeast"/>
        <w:ind w:firstLine="639" w:firstLineChars="0"/>
        <w:rPr>
          <w:rFonts w:hint="eastAsia" w:ascii="方正黑体简体" w:hAnsi="方正黑体简体" w:eastAsia="方正黑体简体"/>
          <w:sz w:val="32"/>
          <w:szCs w:val="32"/>
        </w:rPr>
      </w:pPr>
      <w:r>
        <w:rPr>
          <w:rFonts w:hint="eastAsia" w:ascii="方正黑体简体" w:hAnsi="方正黑体简体" w:eastAsia="方正黑体简体"/>
          <w:sz w:val="32"/>
          <w:szCs w:val="32"/>
        </w:rPr>
        <w:t>四、评审组织</w:t>
      </w:r>
    </w:p>
    <w:p w14:paraId="55566E82">
      <w:pPr>
        <w:widowControl w:val="0"/>
        <w:spacing w:line="604" w:lineRule="atLeast"/>
        <w:ind w:firstLine="639" w:firstLineChars="0"/>
        <w:rPr>
          <w:rFonts w:hint="eastAsia" w:eastAsia="方正仿宋_GBK"/>
          <w:sz w:val="32"/>
          <w:szCs w:val="32"/>
        </w:rPr>
      </w:pPr>
      <w:r>
        <w:rPr>
          <w:rFonts w:hint="eastAsia" w:eastAsia="方正仿宋_GBK"/>
          <w:sz w:val="32"/>
          <w:szCs w:val="32"/>
        </w:rPr>
        <w:t>（一）评审由大同市工业和信息化局负责组织实施。由企业自主申报，经开区经济运行部、各县（区）工信局出具推荐申报文件，由市工信局组织专家组现场评审并出具评审意见表。</w:t>
      </w:r>
    </w:p>
    <w:p w14:paraId="749472D0">
      <w:pPr>
        <w:widowControl w:val="0"/>
        <w:spacing w:line="604" w:lineRule="atLeast"/>
        <w:ind w:firstLine="639" w:firstLineChars="0"/>
        <w:rPr>
          <w:rFonts w:hint="eastAsia" w:eastAsia="方正仿宋_GBK"/>
          <w:sz w:val="32"/>
          <w:szCs w:val="32"/>
        </w:rPr>
      </w:pPr>
      <w:r>
        <w:rPr>
          <w:rFonts w:hint="eastAsia" w:eastAsia="方正仿宋_GBK"/>
          <w:sz w:val="32"/>
          <w:szCs w:val="32"/>
        </w:rPr>
        <w:t>（二）项目评审后，由大同市工业和信息化局行文上报市政府申请资金，配合市财政局完成资金拨付。</w:t>
      </w:r>
    </w:p>
    <w:p w14:paraId="77699CD8">
      <w:pPr>
        <w:widowControl w:val="0"/>
        <w:spacing w:line="604" w:lineRule="atLeast"/>
        <w:ind w:firstLine="639" w:firstLineChars="0"/>
        <w:rPr>
          <w:rFonts w:hint="eastAsia" w:ascii="方正黑体简体" w:hAnsi="方正黑体简体" w:eastAsia="方正黑体简体"/>
          <w:sz w:val="32"/>
          <w:szCs w:val="32"/>
        </w:rPr>
      </w:pPr>
      <w:r>
        <w:rPr>
          <w:rFonts w:hint="eastAsia" w:ascii="方正黑体简体" w:hAnsi="方正黑体简体" w:eastAsia="方正黑体简体"/>
          <w:sz w:val="32"/>
          <w:szCs w:val="32"/>
        </w:rPr>
        <w:t>五、监督管理</w:t>
      </w:r>
    </w:p>
    <w:p w14:paraId="013614E9">
      <w:pPr>
        <w:widowControl w:val="0"/>
        <w:spacing w:line="604" w:lineRule="atLeast"/>
        <w:ind w:firstLine="639" w:firstLineChars="0"/>
        <w:rPr>
          <w:rFonts w:hint="eastAsia" w:eastAsia="方正仿宋_GBK"/>
          <w:sz w:val="32"/>
          <w:szCs w:val="32"/>
        </w:rPr>
      </w:pPr>
      <w:r>
        <w:rPr>
          <w:rFonts w:hint="eastAsia" w:eastAsia="方正仿宋_GBK"/>
          <w:sz w:val="32"/>
          <w:szCs w:val="32"/>
        </w:rPr>
        <w:t>（一）项目企业对申报事项的真实性、合规性和资金使用负责。对违反国家、本省市有关规定，违反承诺事项，弄虚作假、骗取资金的，3年内不得申报</w:t>
      </w:r>
      <w:r>
        <w:rPr>
          <w:rFonts w:hint="eastAsia" w:eastAsia="方正仿宋_GBK"/>
          <w:sz w:val="32"/>
          <w:szCs w:val="32"/>
          <w:lang w:val="en-US" w:eastAsia="zh-CN"/>
        </w:rPr>
        <w:t>相关</w:t>
      </w:r>
      <w:r>
        <w:rPr>
          <w:rFonts w:hint="eastAsia" w:eastAsia="方正仿宋_GBK"/>
          <w:sz w:val="32"/>
          <w:szCs w:val="32"/>
        </w:rPr>
        <w:t>政策</w:t>
      </w:r>
      <w:r>
        <w:rPr>
          <w:rFonts w:hint="eastAsia" w:eastAsia="方正仿宋_GBK"/>
          <w:sz w:val="32"/>
          <w:szCs w:val="32"/>
          <w:lang w:val="en-US" w:eastAsia="zh-CN"/>
        </w:rPr>
        <w:t>奖励</w:t>
      </w:r>
      <w:r>
        <w:rPr>
          <w:rFonts w:hint="eastAsia" w:eastAsia="方正仿宋_GBK"/>
          <w:sz w:val="32"/>
          <w:szCs w:val="32"/>
        </w:rPr>
        <w:t>项目，并承担相关</w:t>
      </w:r>
      <w:r>
        <w:rPr>
          <w:rFonts w:hint="eastAsia" w:eastAsia="方正仿宋_GBK"/>
          <w:sz w:val="32"/>
          <w:szCs w:val="32"/>
          <w:lang w:val="en-US" w:eastAsia="zh-CN"/>
        </w:rPr>
        <w:t>法律</w:t>
      </w:r>
      <w:r>
        <w:rPr>
          <w:rFonts w:hint="eastAsia" w:eastAsia="方正仿宋_GBK"/>
          <w:sz w:val="32"/>
          <w:szCs w:val="32"/>
        </w:rPr>
        <w:t>责任。</w:t>
      </w:r>
    </w:p>
    <w:p w14:paraId="1502569A">
      <w:pPr>
        <w:widowControl w:val="0"/>
        <w:spacing w:line="604" w:lineRule="atLeast"/>
        <w:ind w:firstLine="639" w:firstLineChars="0"/>
        <w:rPr>
          <w:rFonts w:hint="eastAsia" w:eastAsia="方正仿宋_GBK"/>
          <w:sz w:val="32"/>
          <w:szCs w:val="32"/>
        </w:rPr>
      </w:pPr>
      <w:r>
        <w:rPr>
          <w:rFonts w:hint="eastAsia" w:eastAsia="方正仿宋_GBK"/>
          <w:sz w:val="32"/>
          <w:szCs w:val="32"/>
        </w:rPr>
        <w:t>（二）市工信局负责组织实施本细则，市财政局加强资金监管。其他相关单位根据职能做好相关工作，建立动态信息反馈与共享机制。</w:t>
      </w:r>
    </w:p>
    <w:p w14:paraId="663F018F">
      <w:pPr>
        <w:widowControl w:val="0"/>
        <w:spacing w:line="604" w:lineRule="atLeast"/>
        <w:ind w:firstLine="639" w:firstLineChars="0"/>
        <w:rPr>
          <w:rFonts w:hint="default" w:ascii="Times New Roman" w:hAnsi="Times New Roman" w:eastAsia="方正仿宋简体" w:cs="Times New Roman"/>
          <w:color w:val="auto"/>
          <w:sz w:val="32"/>
          <w:szCs w:val="32"/>
          <w:lang w:val="en-US" w:eastAsia="zh-CN"/>
        </w:rPr>
      </w:pPr>
      <w:r>
        <w:rPr>
          <w:rFonts w:hint="eastAsia" w:eastAsia="方正仿宋_GBK"/>
          <w:sz w:val="32"/>
          <w:szCs w:val="32"/>
        </w:rPr>
        <w:t>本细则自</w:t>
      </w:r>
      <w:r>
        <w:rPr>
          <w:rFonts w:hint="eastAsia" w:eastAsia="方正仿宋_GBK"/>
          <w:sz w:val="32"/>
          <w:szCs w:val="32"/>
          <w:lang w:val="en-US" w:eastAsia="zh-CN"/>
        </w:rPr>
        <w:t>印发之日起实行，有效期至2027年4月12日。根据国家、省、市政策调整和全市新能源商用车互通互换生态建设发展情况，适时调整本细则相关内容</w:t>
      </w:r>
      <w:r>
        <w:rPr>
          <w:rFonts w:hint="eastAsia" w:eastAsia="方正仿宋_GBK"/>
          <w:sz w:val="32"/>
          <w:szCs w:val="32"/>
        </w:rPr>
        <w:t>。本细则</w:t>
      </w:r>
      <w:r>
        <w:rPr>
          <w:rFonts w:hint="eastAsia" w:eastAsia="方正仿宋_GBK"/>
          <w:sz w:val="32"/>
          <w:szCs w:val="32"/>
          <w:lang w:val="en-US" w:eastAsia="zh-CN"/>
        </w:rPr>
        <w:t>具体解释工作由</w:t>
      </w:r>
      <w:r>
        <w:rPr>
          <w:rFonts w:hint="eastAsia" w:eastAsia="方正仿宋_GBK"/>
          <w:sz w:val="32"/>
          <w:szCs w:val="32"/>
        </w:rPr>
        <w:t>市工信局</w:t>
      </w:r>
      <w:r>
        <w:rPr>
          <w:rFonts w:hint="eastAsia" w:eastAsia="方正仿宋_GBK"/>
          <w:sz w:val="32"/>
          <w:szCs w:val="32"/>
          <w:lang w:val="en-US" w:eastAsia="zh-CN"/>
        </w:rPr>
        <w:t>负责</w:t>
      </w:r>
      <w:r>
        <w:rPr>
          <w:rFonts w:hint="eastAsia" w:eastAsia="方正仿宋_GBK"/>
          <w:sz w:val="32"/>
          <w:szCs w:val="32"/>
        </w:rPr>
        <w:t>。</w:t>
      </w:r>
    </w:p>
    <w:p w14:paraId="2ACC1F6B">
      <w:bookmarkStart w:id="0" w:name="_GoBack"/>
      <w:bookmarkEnd w:id="0"/>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方正楷体简体">
    <w:altName w:val="宋体"/>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830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824E2">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8E824E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8D058"/>
    <w:multiLevelType w:val="singleLevel"/>
    <w:tmpl w:val="1A08D0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5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after="120" w:line="480" w:lineRule="auto"/>
      <w:ind w:left="200" w:leftChars="200"/>
      <w:jc w:val="left"/>
    </w:pPr>
    <w:rPr>
      <w:rFonts w:ascii="仿宋_GB2312" w:hAnsi="仿宋_GB2312" w:eastAsia="楷体_GB2312" w:cs="Times New Roman"/>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next w:val="1"/>
    <w:qFormat/>
    <w:uiPriority w:val="0"/>
    <w:pPr>
      <w:spacing w:line="660" w:lineRule="exact"/>
      <w:ind w:firstLine="0" w:firstLineChars="0"/>
      <w:jc w:val="center"/>
    </w:pPr>
    <w:rPr>
      <w:rFonts w:ascii="方正小标宋_GBK" w:hAnsi="宋体" w:eastAsia="方正小标宋_GBK" w:cs="宋体"/>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2025-09-29T01:59:23Z</dcterms:created>
  <dc:creator>hp</dc:creator>
  <cp:lastModifiedBy>听风吹来的方向ye</cp:lastModifiedBy>
  <dcterms:modified xsi:type="dcterms:W3CDTF">2025-09-29T01:59:51Z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eyJoZGlkIjoiMGI5ZmJiZTAzOWY1MWQzNTk5MDhhNjMzMDAyODU4MTMiLCJ1c2VySWQiOiIzNTExMDgxOTcifQ==</vt:lpwstr>
  </property>
  <property fmtid="{D5CDD505-2E9C-101B-9397-08002B2CF9AE}" pid="4" name="ICV">
    <vt:lpwstr>FD40F123B4134EBCB153CE9CFA4A0CD8_12</vt:lpwstr>
  </property>
</Properties>
</file>