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p>
      <w:pPr>
        <w:jc w:val="center"/>
        <w:rPr>
          <w:rFonts w:ascii="宋体" w:hAnsi="宋体" w:cs="华文中宋"/>
          <w:b/>
          <w:bCs/>
          <w:color w:val="000000" w:themeColor="text1"/>
          <w:sz w:val="44"/>
          <w:szCs w:val="44"/>
          <w14:textFill>
            <w14:solidFill>
              <w14:schemeClr w14:val="tx1"/>
            </w14:solidFill>
          </w14:textFill>
        </w:rPr>
      </w:pPr>
      <w:r>
        <w:rPr>
          <w:rFonts w:hint="eastAsia" w:ascii="宋体" w:hAnsi="宋体" w:cs="华文中宋"/>
          <w:b/>
          <w:bCs/>
          <w:color w:val="000000" w:themeColor="text1"/>
          <w:sz w:val="44"/>
          <w:szCs w:val="44"/>
          <w14:textFill>
            <w14:solidFill>
              <w14:schemeClr w14:val="tx1"/>
            </w14:solidFill>
          </w14:textFill>
        </w:rPr>
        <w:t>山西省</w:t>
      </w:r>
      <w:bookmarkStart w:id="0" w:name="_GoBack"/>
      <w:r>
        <w:rPr>
          <w:rFonts w:hint="eastAsia" w:ascii="宋体" w:hAnsi="宋体" w:cs="华文中宋"/>
          <w:b/>
          <w:bCs/>
          <w:color w:val="000000" w:themeColor="text1"/>
          <w:sz w:val="44"/>
          <w:szCs w:val="44"/>
          <w14:textFill>
            <w14:solidFill>
              <w14:schemeClr w14:val="tx1"/>
            </w14:solidFill>
          </w14:textFill>
        </w:rPr>
        <w:t>大同市第十三中学校</w:t>
      </w:r>
    </w:p>
    <w:p>
      <w:pPr>
        <w:jc w:val="center"/>
        <w:rPr>
          <w:rFonts w:ascii="宋体" w:hAnsi="宋体" w:cs="华文中宋"/>
          <w:b/>
          <w:bCs/>
          <w:color w:val="000000" w:themeColor="text1"/>
          <w:sz w:val="44"/>
          <w:szCs w:val="44"/>
          <w14:textFill>
            <w14:solidFill>
              <w14:schemeClr w14:val="tx1"/>
            </w14:solidFill>
          </w14:textFill>
        </w:rPr>
      </w:pPr>
      <w:r>
        <w:rPr>
          <w:rFonts w:hint="eastAsia" w:ascii="宋体" w:hAnsi="宋体" w:cs="华文中宋"/>
          <w:b/>
          <w:bCs/>
          <w:color w:val="000000" w:themeColor="text1"/>
          <w:sz w:val="44"/>
          <w:szCs w:val="44"/>
          <w14:textFill>
            <w14:solidFill>
              <w14:schemeClr w14:val="tx1"/>
            </w14:solidFill>
          </w14:textFill>
        </w:rPr>
        <w:t>2022年度单位预算</w:t>
      </w:r>
    </w:p>
    <w:bookmarkEnd w:id="0"/>
    <w:p>
      <w:pPr>
        <w:jc w:val="center"/>
        <w:rPr>
          <w:rFonts w:ascii="宋体" w:hAnsi="宋体"/>
          <w:b/>
          <w:bCs/>
          <w:color w:val="000000" w:themeColor="text1"/>
          <w:sz w:val="44"/>
          <w:szCs w:val="44"/>
          <w14:textFill>
            <w14:solidFill>
              <w14:schemeClr w14:val="tx1"/>
            </w14:solidFill>
          </w14:textFill>
        </w:rPr>
      </w:pPr>
    </w:p>
    <w:p>
      <w:pPr>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目    录</w:t>
      </w:r>
    </w:p>
    <w:p>
      <w:pPr>
        <w:jc w:val="center"/>
        <w:rPr>
          <w:rFonts w:ascii="宋体" w:hAnsi="宋体"/>
          <w:color w:val="000000" w:themeColor="text1"/>
          <w:sz w:val="32"/>
          <w:szCs w:val="32"/>
          <w14:textFill>
            <w14:solidFill>
              <w14:schemeClr w14:val="tx1"/>
            </w14:solidFill>
          </w14:textFill>
        </w:rPr>
      </w:pPr>
    </w:p>
    <w:p>
      <w:pPr>
        <w:ind w:firstLine="640" w:firstLineChars="20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第一部分  概况</w:t>
      </w:r>
      <w:r>
        <w:rPr>
          <w:rFonts w:hint="eastAsia" w:ascii="宋体" w:hAnsi="宋体"/>
          <w:color w:val="000000" w:themeColor="text1"/>
          <w:sz w:val="32"/>
          <w:szCs w:val="32"/>
          <w:lang w:val="en-US" w:eastAsia="zh-CN"/>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w:t>
      </w:r>
      <w:r>
        <w:rPr>
          <w:rFonts w:ascii="宋体" w:hAnsi="宋体"/>
          <w:color w:val="000000" w:themeColor="text1"/>
          <w:sz w:val="32"/>
          <w:szCs w:val="32"/>
          <w14:textFill>
            <w14:solidFill>
              <w14:schemeClr w14:val="tx1"/>
            </w14:solidFill>
          </w14:textFill>
        </w:rPr>
        <w:t>1</w:t>
      </w:r>
    </w:p>
    <w:p>
      <w:pPr>
        <w:ind w:firstLine="960" w:firstLineChars="30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一、本部门（单位）职责…………………………………………</w:t>
      </w:r>
      <w:r>
        <w:rPr>
          <w:rFonts w:ascii="宋体" w:hAnsi="宋体"/>
          <w:color w:val="000000" w:themeColor="text1"/>
          <w:sz w:val="32"/>
          <w:szCs w:val="32"/>
          <w14:textFill>
            <w14:solidFill>
              <w14:schemeClr w14:val="tx1"/>
            </w14:solidFill>
          </w14:textFill>
        </w:rPr>
        <w:t>1</w:t>
      </w:r>
    </w:p>
    <w:p>
      <w:pPr>
        <w:ind w:firstLine="960" w:firstLineChars="30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二、机构设置情况…………………………………………………</w:t>
      </w:r>
      <w:r>
        <w:rPr>
          <w:rFonts w:ascii="宋体" w:hAnsi="宋体"/>
          <w:color w:val="000000" w:themeColor="text1"/>
          <w:sz w:val="32"/>
          <w:szCs w:val="32"/>
          <w14:textFill>
            <w14:solidFill>
              <w14:schemeClr w14:val="tx1"/>
            </w14:solidFill>
          </w14:textFill>
        </w:rPr>
        <w:t>1</w:t>
      </w:r>
    </w:p>
    <w:p>
      <w:pPr>
        <w:ind w:firstLine="640" w:firstLineChars="20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第二部分  2022年度部门（单位）预算报表</w:t>
      </w:r>
      <w:r>
        <w:rPr>
          <w:rFonts w:hint="eastAsia" w:ascii="宋体" w:hAnsi="宋体"/>
          <w:color w:val="000000" w:themeColor="text1"/>
          <w:sz w:val="32"/>
          <w:szCs w:val="32"/>
          <w:lang w:val="en-US" w:eastAsia="zh-CN"/>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w:t>
      </w:r>
      <w:r>
        <w:rPr>
          <w:rFonts w:ascii="宋体" w:hAnsi="宋体"/>
          <w:color w:val="000000" w:themeColor="text1"/>
          <w:sz w:val="32"/>
          <w:szCs w:val="32"/>
          <w14:textFill>
            <w14:solidFill>
              <w14:schemeClr w14:val="tx1"/>
            </w14:solidFill>
          </w14:textFill>
        </w:rPr>
        <w:t>8</w:t>
      </w:r>
    </w:p>
    <w:p>
      <w:pPr>
        <w:ind w:firstLine="960" w:firstLineChars="30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一、2022年预算收支总表</w:t>
      </w:r>
      <w:r>
        <w:rPr>
          <w:rFonts w:hint="eastAsia" w:ascii="宋体" w:hAnsi="宋体"/>
          <w:color w:val="000000" w:themeColor="text1"/>
          <w:sz w:val="32"/>
          <w:szCs w:val="32"/>
          <w:lang w:val="en-US" w:eastAsia="zh-CN"/>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w:t>
      </w:r>
      <w:r>
        <w:rPr>
          <w:rFonts w:ascii="宋体" w:hAnsi="宋体"/>
          <w:color w:val="000000" w:themeColor="text1"/>
          <w:sz w:val="32"/>
          <w:szCs w:val="32"/>
          <w14:textFill>
            <w14:solidFill>
              <w14:schemeClr w14:val="tx1"/>
            </w14:solidFill>
          </w14:textFill>
        </w:rPr>
        <w:t>8</w:t>
      </w:r>
    </w:p>
    <w:p>
      <w:pPr>
        <w:ind w:firstLine="960" w:firstLineChars="30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二、2022年预算收入总表</w:t>
      </w:r>
      <w:r>
        <w:rPr>
          <w:rFonts w:hint="eastAsia" w:ascii="宋体" w:hAnsi="宋体"/>
          <w:color w:val="000000" w:themeColor="text1"/>
          <w:sz w:val="32"/>
          <w:szCs w:val="32"/>
          <w:lang w:val="en-US" w:eastAsia="zh-CN"/>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w:t>
      </w:r>
      <w:r>
        <w:rPr>
          <w:rFonts w:ascii="宋体" w:hAnsi="宋体"/>
          <w:color w:val="000000" w:themeColor="text1"/>
          <w:sz w:val="32"/>
          <w:szCs w:val="32"/>
          <w14:textFill>
            <w14:solidFill>
              <w14:schemeClr w14:val="tx1"/>
            </w14:solidFill>
          </w14:textFill>
        </w:rPr>
        <w:t>9</w:t>
      </w:r>
    </w:p>
    <w:p>
      <w:pPr>
        <w:ind w:firstLine="960" w:firstLineChars="30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三、2022年预算支出总表</w:t>
      </w:r>
      <w:r>
        <w:rPr>
          <w:rFonts w:hint="eastAsia" w:ascii="宋体" w:hAnsi="宋体"/>
          <w:color w:val="000000" w:themeColor="text1"/>
          <w:sz w:val="32"/>
          <w:szCs w:val="32"/>
          <w:lang w:val="en-US" w:eastAsia="zh-CN"/>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w:t>
      </w:r>
      <w:r>
        <w:rPr>
          <w:rFonts w:ascii="宋体" w:hAnsi="宋体"/>
          <w:color w:val="000000" w:themeColor="text1"/>
          <w:sz w:val="32"/>
          <w:szCs w:val="32"/>
          <w14:textFill>
            <w14:solidFill>
              <w14:schemeClr w14:val="tx1"/>
            </w14:solidFill>
          </w14:textFill>
        </w:rPr>
        <w:t>9</w:t>
      </w:r>
    </w:p>
    <w:p>
      <w:pPr>
        <w:ind w:firstLine="960" w:firstLineChars="30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四、2022年财政拨款收支总表…………………………………</w:t>
      </w:r>
      <w:r>
        <w:rPr>
          <w:rFonts w:ascii="宋体" w:hAnsi="宋体"/>
          <w:color w:val="000000" w:themeColor="text1"/>
          <w:sz w:val="32"/>
          <w:szCs w:val="32"/>
          <w14:textFill>
            <w14:solidFill>
              <w14:schemeClr w14:val="tx1"/>
            </w14:solidFill>
          </w14:textFill>
        </w:rPr>
        <w:t>10</w:t>
      </w:r>
    </w:p>
    <w:p>
      <w:pPr>
        <w:ind w:firstLine="960" w:firstLineChars="30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五、2022年一般公共预算支出预算表…………………………</w:t>
      </w:r>
      <w:r>
        <w:rPr>
          <w:rFonts w:ascii="宋体" w:hAnsi="宋体"/>
          <w:color w:val="000000" w:themeColor="text1"/>
          <w:sz w:val="32"/>
          <w:szCs w:val="32"/>
          <w14:textFill>
            <w14:solidFill>
              <w14:schemeClr w14:val="tx1"/>
            </w14:solidFill>
          </w14:textFill>
        </w:rPr>
        <w:t>11</w:t>
      </w:r>
    </w:p>
    <w:p>
      <w:pPr>
        <w:ind w:firstLine="960" w:firstLineChars="30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六、2022年一般公共预算安排基本支出分经济科目…………</w:t>
      </w:r>
      <w:r>
        <w:rPr>
          <w:rFonts w:ascii="宋体" w:hAnsi="宋体"/>
          <w:color w:val="000000" w:themeColor="text1"/>
          <w:sz w:val="32"/>
          <w:szCs w:val="32"/>
          <w14:textFill>
            <w14:solidFill>
              <w14:schemeClr w14:val="tx1"/>
            </w14:solidFill>
          </w14:textFill>
        </w:rPr>
        <w:t>12</w:t>
      </w:r>
    </w:p>
    <w:p>
      <w:pPr>
        <w:ind w:firstLine="960" w:firstLineChars="30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七、2022年政府性基金预算收入预算表………………………</w:t>
      </w:r>
      <w:r>
        <w:rPr>
          <w:rFonts w:ascii="宋体" w:hAnsi="宋体"/>
          <w:color w:val="000000" w:themeColor="text1"/>
          <w:sz w:val="32"/>
          <w:szCs w:val="32"/>
          <w14:textFill>
            <w14:solidFill>
              <w14:schemeClr w14:val="tx1"/>
            </w14:solidFill>
          </w14:textFill>
        </w:rPr>
        <w:t>12</w:t>
      </w:r>
    </w:p>
    <w:p>
      <w:pPr>
        <w:ind w:firstLine="960" w:firstLineChars="30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八、2022年政府性基金预算支出预算表………………………1</w:t>
      </w:r>
      <w:r>
        <w:rPr>
          <w:rFonts w:ascii="宋体" w:hAnsi="宋体"/>
          <w:color w:val="000000" w:themeColor="text1"/>
          <w:sz w:val="32"/>
          <w:szCs w:val="32"/>
          <w14:textFill>
            <w14:solidFill>
              <w14:schemeClr w14:val="tx1"/>
            </w14:solidFill>
          </w14:textFill>
        </w:rPr>
        <w:t>3</w:t>
      </w:r>
    </w:p>
    <w:p>
      <w:pPr>
        <w:ind w:firstLine="960" w:firstLineChars="30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九、2022年国有资本经营预算收支预算表……………………1</w:t>
      </w:r>
      <w:r>
        <w:rPr>
          <w:rFonts w:ascii="宋体" w:hAnsi="宋体"/>
          <w:color w:val="000000" w:themeColor="text1"/>
          <w:sz w:val="32"/>
          <w:szCs w:val="32"/>
          <w14:textFill>
            <w14:solidFill>
              <w14:schemeClr w14:val="tx1"/>
            </w14:solidFill>
          </w14:textFill>
        </w:rPr>
        <w:t>3</w:t>
      </w:r>
      <w:r>
        <w:rPr>
          <w:rFonts w:hint="eastAsia" w:ascii="宋体" w:hAnsi="宋体"/>
          <w:color w:val="000000" w:themeColor="text1"/>
          <w:sz w:val="32"/>
          <w:szCs w:val="32"/>
          <w14:textFill>
            <w14:solidFill>
              <w14:schemeClr w14:val="tx1"/>
            </w14:solidFill>
          </w14:textFill>
        </w:rPr>
        <w:t xml:space="preserve">         </w:t>
      </w:r>
    </w:p>
    <w:p>
      <w:pPr>
        <w:ind w:firstLine="960" w:firstLineChars="30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十、2022年“三公”经费支出预算表…………………………1</w:t>
      </w:r>
      <w:r>
        <w:rPr>
          <w:rFonts w:ascii="宋体" w:hAnsi="宋体"/>
          <w:color w:val="000000" w:themeColor="text1"/>
          <w:sz w:val="32"/>
          <w:szCs w:val="32"/>
          <w14:textFill>
            <w14:solidFill>
              <w14:schemeClr w14:val="tx1"/>
            </w14:solidFill>
          </w14:textFill>
        </w:rPr>
        <w:t>4</w:t>
      </w:r>
    </w:p>
    <w:p>
      <w:pPr>
        <w:ind w:left="991" w:leftChars="431" w:hanging="86" w:hangingChars="27"/>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十一、2022年机关运行经费预算财政拨款情况表…………………………………………………………………1</w:t>
      </w:r>
      <w:r>
        <w:rPr>
          <w:rFonts w:ascii="宋体" w:hAnsi="宋体"/>
          <w:color w:val="000000" w:themeColor="text1"/>
          <w:sz w:val="32"/>
          <w:szCs w:val="32"/>
          <w14:textFill>
            <w14:solidFill>
              <w14:schemeClr w14:val="tx1"/>
            </w14:solidFill>
          </w14:textFill>
        </w:rPr>
        <w:t>4</w:t>
      </w:r>
    </w:p>
    <w:p>
      <w:pPr>
        <w:ind w:firstLine="640" w:firstLineChars="20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第三部分  2022年度部门（单位）预算情况说明………………1</w:t>
      </w:r>
      <w:r>
        <w:rPr>
          <w:rFonts w:ascii="宋体" w:hAnsi="宋体"/>
          <w:color w:val="000000" w:themeColor="text1"/>
          <w:sz w:val="32"/>
          <w:szCs w:val="32"/>
          <w14:textFill>
            <w14:solidFill>
              <w14:schemeClr w14:val="tx1"/>
            </w14:solidFill>
          </w14:textFill>
        </w:rPr>
        <w:t>4</w:t>
      </w:r>
    </w:p>
    <w:p>
      <w:pPr>
        <w:ind w:firstLine="960" w:firstLineChars="30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一、2022年度预算数据变动情况及原因………………………1</w:t>
      </w:r>
      <w:r>
        <w:rPr>
          <w:rFonts w:ascii="宋体" w:hAnsi="宋体"/>
          <w:color w:val="000000" w:themeColor="text1"/>
          <w:sz w:val="32"/>
          <w:szCs w:val="32"/>
          <w14:textFill>
            <w14:solidFill>
              <w14:schemeClr w14:val="tx1"/>
            </w14:solidFill>
          </w14:textFill>
        </w:rPr>
        <w:t>4</w:t>
      </w:r>
    </w:p>
    <w:p>
      <w:pPr>
        <w:ind w:firstLine="1120" w:firstLineChars="35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二、“三公”经费增减变动原因说明………………………1</w:t>
      </w:r>
      <w:r>
        <w:rPr>
          <w:rFonts w:ascii="宋体" w:hAnsi="宋体"/>
          <w:color w:val="000000" w:themeColor="text1"/>
          <w:sz w:val="32"/>
          <w:szCs w:val="32"/>
          <w14:textFill>
            <w14:solidFill>
              <w14:schemeClr w14:val="tx1"/>
            </w14:solidFill>
          </w14:textFill>
        </w:rPr>
        <w:t>5</w:t>
      </w:r>
    </w:p>
    <w:p>
      <w:pPr>
        <w:ind w:firstLine="1120" w:firstLineChars="35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三、机关运行经费增减变动原因说明………………………1</w:t>
      </w:r>
      <w:r>
        <w:rPr>
          <w:rFonts w:ascii="宋体" w:hAnsi="宋体"/>
          <w:color w:val="000000" w:themeColor="text1"/>
          <w:sz w:val="32"/>
          <w:szCs w:val="32"/>
          <w14:textFill>
            <w14:solidFill>
              <w14:schemeClr w14:val="tx1"/>
            </w14:solidFill>
          </w14:textFill>
        </w:rPr>
        <w:t>5</w:t>
      </w:r>
    </w:p>
    <w:p>
      <w:pPr>
        <w:ind w:firstLine="1120" w:firstLineChars="35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四、政府采购情况……………………………………………1</w:t>
      </w:r>
      <w:r>
        <w:rPr>
          <w:rFonts w:ascii="宋体" w:hAnsi="宋体"/>
          <w:color w:val="000000" w:themeColor="text1"/>
          <w:sz w:val="32"/>
          <w:szCs w:val="32"/>
          <w14:textFill>
            <w14:solidFill>
              <w14:schemeClr w14:val="tx1"/>
            </w14:solidFill>
          </w14:textFill>
        </w:rPr>
        <w:t>6</w:t>
      </w:r>
    </w:p>
    <w:p>
      <w:pPr>
        <w:ind w:firstLine="1120" w:firstLineChars="35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五、绩效管理情况……………………………………………1</w:t>
      </w:r>
      <w:r>
        <w:rPr>
          <w:rFonts w:ascii="宋体" w:hAnsi="宋体"/>
          <w:color w:val="000000" w:themeColor="text1"/>
          <w:sz w:val="32"/>
          <w:szCs w:val="32"/>
          <w14:textFill>
            <w14:solidFill>
              <w14:schemeClr w14:val="tx1"/>
            </w14:solidFill>
          </w14:textFill>
        </w:rPr>
        <w:t>6</w:t>
      </w:r>
    </w:p>
    <w:p>
      <w:pPr>
        <w:ind w:firstLine="1120" w:firstLineChars="35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六、国有资产占有使用情况…………………………………</w:t>
      </w:r>
      <w:r>
        <w:rPr>
          <w:rFonts w:ascii="宋体" w:hAnsi="宋体"/>
          <w:color w:val="000000" w:themeColor="text1"/>
          <w:sz w:val="32"/>
          <w:szCs w:val="32"/>
          <w14:textFill>
            <w14:solidFill>
              <w14:schemeClr w14:val="tx1"/>
            </w14:solidFill>
          </w14:textFill>
        </w:rPr>
        <w:t>21</w:t>
      </w:r>
    </w:p>
    <w:p>
      <w:pPr>
        <w:ind w:firstLine="1120" w:firstLineChars="35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七、其他说明…………………………………………………</w:t>
      </w:r>
      <w:r>
        <w:rPr>
          <w:rFonts w:ascii="宋体" w:hAnsi="宋体"/>
          <w:color w:val="000000" w:themeColor="text1"/>
          <w:sz w:val="32"/>
          <w:szCs w:val="32"/>
          <w14:textFill>
            <w14:solidFill>
              <w14:schemeClr w14:val="tx1"/>
            </w14:solidFill>
          </w14:textFill>
        </w:rPr>
        <w:t>23</w:t>
      </w:r>
    </w:p>
    <w:p>
      <w:pPr>
        <w:ind w:firstLine="640" w:firstLineChars="200"/>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第四部分  名词解释………………………………………………</w:t>
      </w:r>
      <w:r>
        <w:rPr>
          <w:rFonts w:ascii="宋体" w:hAnsi="宋体"/>
          <w:color w:val="000000" w:themeColor="text1"/>
          <w:sz w:val="32"/>
          <w:szCs w:val="32"/>
          <w14:textFill>
            <w14:solidFill>
              <w14:schemeClr w14:val="tx1"/>
            </w14:solidFill>
          </w14:textFill>
        </w:rPr>
        <w:t>23</w:t>
      </w:r>
    </w:p>
    <w:p>
      <w:pPr>
        <w:ind w:firstLine="640" w:firstLineChars="200"/>
        <w:jc w:val="left"/>
        <w:rPr>
          <w:rFonts w:ascii="宋体" w:hAnsi="宋体"/>
          <w:color w:val="000000" w:themeColor="text1"/>
          <w:sz w:val="32"/>
          <w:szCs w:val="32"/>
          <w14:textFill>
            <w14:solidFill>
              <w14:schemeClr w14:val="tx1"/>
            </w14:solidFill>
          </w14:textFill>
        </w:rPr>
        <w:sectPr>
          <w:footerReference r:id="rId3" w:type="even"/>
          <w:pgSz w:w="11906" w:h="16838"/>
          <w:pgMar w:top="567" w:right="1134" w:bottom="567" w:left="1134" w:header="851" w:footer="992" w:gutter="0"/>
          <w:cols w:space="720" w:num="1"/>
          <w:docGrid w:type="lines" w:linePitch="312" w:charSpace="0"/>
        </w:sectPr>
      </w:pPr>
      <w:r>
        <w:rPr>
          <w:rFonts w:ascii="宋体" w:hAnsi="宋体"/>
          <w:color w:val="000000" w:themeColor="text1"/>
          <w:sz w:val="32"/>
          <w:szCs w:val="32"/>
          <w14:textFill>
            <w14:solidFill>
              <w14:schemeClr w14:val="tx1"/>
            </w14:solidFill>
          </w14:textFill>
        </w:rPr>
        <w:br w:type="page"/>
      </w:r>
    </w:p>
    <w:p>
      <w:pPr>
        <w:pStyle w:val="6"/>
        <w:shd w:val="clear" w:color="auto" w:fill="FFFFFF"/>
        <w:spacing w:before="0" w:beforeAutospacing="0" w:after="0" w:afterAutospacing="0"/>
        <w:jc w:val="center"/>
        <w:rPr>
          <w:b/>
          <w:bCs/>
          <w:color w:val="000000" w:themeColor="text1"/>
          <w:sz w:val="36"/>
          <w:szCs w:val="36"/>
          <w:shd w:val="clear" w:color="auto" w:fill="FFFFFF"/>
          <w14:textFill>
            <w14:solidFill>
              <w14:schemeClr w14:val="tx1"/>
            </w14:solidFill>
          </w14:textFill>
        </w:rPr>
      </w:pPr>
      <w:r>
        <w:rPr>
          <w:rFonts w:hint="eastAsia"/>
          <w:b/>
          <w:bCs/>
          <w:color w:val="000000" w:themeColor="text1"/>
          <w:sz w:val="36"/>
          <w:szCs w:val="36"/>
          <w14:textFill>
            <w14:solidFill>
              <w14:schemeClr w14:val="tx1"/>
            </w14:solidFill>
          </w14:textFill>
        </w:rPr>
        <w:t>第一部分  概况</w:t>
      </w:r>
    </w:p>
    <w:p>
      <w:pPr>
        <w:pStyle w:val="6"/>
        <w:shd w:val="clear" w:color="auto" w:fill="FFFFFF"/>
        <w:spacing w:before="0" w:beforeAutospacing="0" w:after="0" w:afterAutospacing="0"/>
        <w:ind w:left="640"/>
        <w:jc w:val="both"/>
        <w:rPr>
          <w:color w:val="000000" w:themeColor="text1"/>
          <w:sz w:val="32"/>
          <w:szCs w:val="32"/>
          <w:shd w:val="clear" w:color="auto" w:fill="FFFFFF"/>
          <w14:textFill>
            <w14:solidFill>
              <w14:schemeClr w14:val="tx1"/>
            </w14:solidFill>
          </w14:textFill>
        </w:rPr>
      </w:pPr>
    </w:p>
    <w:p>
      <w:pPr>
        <w:numPr>
          <w:ilvl w:val="0"/>
          <w:numId w:val="1"/>
        </w:numPr>
        <w:spacing w:before="156" w:beforeLines="50"/>
        <w:ind w:firstLine="640" w:firstLineChars="200"/>
        <w:rPr>
          <w:rFonts w:hint="eastAsia" w:ascii="黑体" w:hAnsi="黑体" w:eastAsia="黑体"/>
          <w:sz w:val="32"/>
          <w:szCs w:val="32"/>
        </w:rPr>
      </w:pPr>
      <w:r>
        <w:rPr>
          <w:rFonts w:hint="eastAsia" w:ascii="黑体" w:hAnsi="黑体" w:eastAsia="黑体"/>
          <w:sz w:val="32"/>
          <w:szCs w:val="32"/>
        </w:rPr>
        <w:t>本部门（单位）职责</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主要职责:</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1.实施初中教育,全面促进基础教育创新发展。</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2.承担初中教学任务,为国家建设培养劳动后备力量。</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3、学校概况：我校现有正式教职工110人。退休职工171人，按师生比配备教职员工应为127人，现有学生640人。</w:t>
      </w:r>
    </w:p>
    <w:p>
      <w:pPr>
        <w:ind w:firstLine="640" w:firstLineChars="200"/>
        <w:rPr>
          <w:color w:val="000000" w:themeColor="text1"/>
          <w:sz w:val="32"/>
          <w:szCs w:val="32"/>
          <w14:textFill>
            <w14:solidFill>
              <w14:schemeClr w14:val="tx1"/>
            </w14:solidFill>
          </w14:textFill>
        </w:rPr>
      </w:pPr>
      <w:r>
        <w:rPr>
          <w:rFonts w:hint="eastAsia" w:ascii="黑体" w:hAnsi="黑体" w:eastAsia="黑体"/>
          <w:sz w:val="32"/>
          <w:szCs w:val="32"/>
        </w:rPr>
        <w:t>二、机构设置情况</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1.办公室</w:t>
      </w:r>
      <w:r>
        <w:rPr>
          <w:rFonts w:hint="eastAsia" w:ascii="仿宋_GB2312" w:hAnsi="楷体" w:eastAsia="仿宋_GB2312"/>
          <w:sz w:val="32"/>
          <w:szCs w:val="32"/>
        </w:rPr>
        <w:tab/>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(1)负责校行政会议、校长办公会及教职工大会等重大会议的筹备招集工作,并做好会议记录,整理形成会议纪要或会议简报,并督促检查学校重要决议、重大工作部署的贯彻落实情况。</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(2)负责上级机关下发的各类文件的分发、传阅、清退、催办、督办工作。负责学校行政公文的起草、印发，以学校名义上报的行政公文、公函等。负责起草学校各类综合性文件材料编写工作。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(3)围绕学校中心工作，协助校领导开展调查研究，拟定学校中长期发展规划,制定学期工作计划、撰写学期工作总结。</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(4)负责学校法律事务工作,代表学校参与仲裁或诉讼，会同法律顾问为学校重大决策、管理行为、合同行为、校内公文等方面涉及的法律问题进行法律论证,提出法律意见。</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(5)协助校长做好人事管理工作, 做好新教师的招聘工作。负责办理教职工报到、离校手续和教职工岗位设置、合同签订(续订)工作，按上级有关规定办理教职工劳动保障等事宜。负责草拟有关任免文件，负责教职工的考核、转正、定级等工作，负责教职工工资变动审批工作。负责办理教职工退休手续，办理教职工医疗保险、大病保险、公积金等缴存事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(6)负责学校机要文件管理、干部人事档案和各类文书。负责学校综合数据的统计整理和审核上报工作。组织档案的管理，负责填报各种行政报表,开展校情分析,为领导决策提供参考。</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(7)负责处理日常行政事务,包括行政通告、对外联络、接待外单位人员来访,校内师生、家长的来电、来信、来访和咨询,做好处理情况的记录并负责及时沟通和反馈。</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(8)负责组织和协调学校各处室建立健全相应的各项规章制度，负责学校无纸化办公系统、校长信箱与校务公开栏的管理工作，负责学校微信公众号的管理和消息推送工作。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（9)负责学校印章,领导印章、介绍信的管理与使用，为师生员工开具相关证明。负责学校会议室、接待室的管理使用，负责教职工职称晋升考核推荐，评选先进集体和优秀个人的有关工作。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(10)在校长的领导下,适时修订健全管理制度。</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2、党总支办公室</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（1）认真贯彻、落实党的</w:t>
      </w:r>
      <w:r>
        <w:rPr>
          <w:rFonts w:hint="eastAsia" w:ascii="仿宋_GB2312" w:hAnsi="楷体" w:eastAsia="仿宋_GB2312"/>
          <w:sz w:val="32"/>
          <w:szCs w:val="32"/>
        </w:rPr>
        <w:fldChar w:fldCharType="begin"/>
      </w:r>
      <w:r>
        <w:rPr>
          <w:rFonts w:hint="eastAsia" w:ascii="仿宋_GB2312" w:hAnsi="楷体" w:eastAsia="仿宋_GB2312"/>
          <w:sz w:val="32"/>
          <w:szCs w:val="32"/>
        </w:rPr>
        <w:instrText xml:space="preserve"> HYPERLINK "http://www.unjs.com/Special/lu/" \t "_blank" </w:instrText>
      </w:r>
      <w:r>
        <w:rPr>
          <w:rFonts w:hint="eastAsia" w:ascii="仿宋_GB2312" w:hAnsi="楷体" w:eastAsia="仿宋_GB2312"/>
          <w:sz w:val="32"/>
          <w:szCs w:val="32"/>
        </w:rPr>
        <w:fldChar w:fldCharType="separate"/>
      </w:r>
      <w:r>
        <w:rPr>
          <w:rFonts w:hint="eastAsia" w:ascii="仿宋_GB2312" w:hAnsi="楷体" w:eastAsia="仿宋_GB2312"/>
          <w:sz w:val="32"/>
          <w:szCs w:val="32"/>
        </w:rPr>
        <w:t>路</w:t>
      </w:r>
      <w:r>
        <w:rPr>
          <w:rFonts w:hint="eastAsia" w:ascii="仿宋_GB2312" w:hAnsi="楷体" w:eastAsia="仿宋_GB2312"/>
          <w:sz w:val="32"/>
          <w:szCs w:val="32"/>
        </w:rPr>
        <w:fldChar w:fldCharType="end"/>
      </w:r>
      <w:r>
        <w:rPr>
          <w:rFonts w:hint="eastAsia" w:ascii="仿宋_GB2312" w:hAnsi="楷体" w:eastAsia="仿宋_GB2312"/>
          <w:sz w:val="32"/>
          <w:szCs w:val="32"/>
        </w:rPr>
        <w:t>线、方针、政策，抓好政治理论和党章的学习。</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（2）负责制定党总支工作</w:t>
      </w:r>
      <w:r>
        <w:rPr>
          <w:rFonts w:hint="eastAsia" w:ascii="仿宋_GB2312" w:hAnsi="楷体" w:eastAsia="仿宋_GB2312"/>
          <w:sz w:val="32"/>
          <w:szCs w:val="32"/>
        </w:rPr>
        <w:fldChar w:fldCharType="begin"/>
      </w:r>
      <w:r>
        <w:rPr>
          <w:rFonts w:hint="eastAsia" w:ascii="仿宋_GB2312" w:hAnsi="楷体" w:eastAsia="仿宋_GB2312"/>
          <w:sz w:val="32"/>
          <w:szCs w:val="32"/>
        </w:rPr>
        <w:instrText xml:space="preserve"> HYPERLINK "http://www.unjs.com/fanwenwang/gzjh/" \t "_blank" </w:instrText>
      </w:r>
      <w:r>
        <w:rPr>
          <w:rFonts w:hint="eastAsia" w:ascii="仿宋_GB2312" w:hAnsi="楷体" w:eastAsia="仿宋_GB2312"/>
          <w:sz w:val="32"/>
          <w:szCs w:val="32"/>
        </w:rPr>
        <w:fldChar w:fldCharType="separate"/>
      </w:r>
      <w:r>
        <w:rPr>
          <w:rFonts w:hint="eastAsia" w:ascii="仿宋_GB2312" w:hAnsi="楷体" w:eastAsia="仿宋_GB2312"/>
          <w:sz w:val="32"/>
          <w:szCs w:val="32"/>
        </w:rPr>
        <w:t>计划</w:t>
      </w:r>
      <w:r>
        <w:rPr>
          <w:rFonts w:hint="eastAsia" w:ascii="仿宋_GB2312" w:hAnsi="楷体" w:eastAsia="仿宋_GB2312"/>
          <w:sz w:val="32"/>
          <w:szCs w:val="32"/>
        </w:rPr>
        <w:fldChar w:fldCharType="end"/>
      </w:r>
      <w:r>
        <w:rPr>
          <w:rFonts w:hint="eastAsia" w:ascii="仿宋_GB2312" w:hAnsi="楷体" w:eastAsia="仿宋_GB2312"/>
          <w:sz w:val="32"/>
          <w:szCs w:val="32"/>
        </w:rPr>
        <w:t>，做好总结工作，负责党内文件的收发、管理。</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（3）负责党员的教育和管理，做好经常性的党员发展工作，保证发展党员的质量和结构。制定并落实相关规章制度，促进</w:t>
      </w:r>
      <w:r>
        <w:rPr>
          <w:rFonts w:hint="eastAsia" w:ascii="仿宋_GB2312" w:hAnsi="楷体" w:eastAsia="仿宋_GB2312"/>
          <w:sz w:val="32"/>
          <w:szCs w:val="32"/>
        </w:rPr>
        <w:fldChar w:fldCharType="begin"/>
      </w:r>
      <w:r>
        <w:rPr>
          <w:rFonts w:hint="eastAsia" w:ascii="仿宋_GB2312" w:hAnsi="楷体" w:eastAsia="仿宋_GB2312"/>
          <w:sz w:val="32"/>
          <w:szCs w:val="32"/>
        </w:rPr>
        <w:instrText xml:space="preserve"> HYPERLINK "http://www.unjs.com/Special/tuanjie/" \t "_blank" </w:instrText>
      </w:r>
      <w:r>
        <w:rPr>
          <w:rFonts w:hint="eastAsia" w:ascii="仿宋_GB2312" w:hAnsi="楷体" w:eastAsia="仿宋_GB2312"/>
          <w:sz w:val="32"/>
          <w:szCs w:val="32"/>
        </w:rPr>
        <w:fldChar w:fldCharType="separate"/>
      </w:r>
      <w:r>
        <w:rPr>
          <w:rFonts w:hint="eastAsia" w:ascii="仿宋_GB2312" w:hAnsi="楷体" w:eastAsia="仿宋_GB2312"/>
          <w:sz w:val="32"/>
          <w:szCs w:val="32"/>
        </w:rPr>
        <w:t>团结</w:t>
      </w:r>
      <w:r>
        <w:rPr>
          <w:rFonts w:hint="eastAsia" w:ascii="仿宋_GB2312" w:hAnsi="楷体" w:eastAsia="仿宋_GB2312"/>
          <w:sz w:val="32"/>
          <w:szCs w:val="32"/>
        </w:rPr>
        <w:fldChar w:fldCharType="end"/>
      </w:r>
      <w:r>
        <w:rPr>
          <w:rFonts w:hint="eastAsia" w:ascii="仿宋_GB2312" w:hAnsi="楷体" w:eastAsia="仿宋_GB2312"/>
          <w:sz w:val="32"/>
          <w:szCs w:val="32"/>
        </w:rPr>
        <w:t>、务实、高效、</w:t>
      </w:r>
      <w:r>
        <w:rPr>
          <w:rFonts w:hint="eastAsia" w:ascii="仿宋_GB2312" w:hAnsi="楷体" w:eastAsia="仿宋_GB2312"/>
          <w:sz w:val="32"/>
          <w:szCs w:val="32"/>
        </w:rPr>
        <w:fldChar w:fldCharType="begin"/>
      </w:r>
      <w:r>
        <w:rPr>
          <w:rFonts w:hint="eastAsia" w:ascii="仿宋_GB2312" w:hAnsi="楷体" w:eastAsia="仿宋_GB2312"/>
          <w:sz w:val="32"/>
          <w:szCs w:val="32"/>
        </w:rPr>
        <w:instrText xml:space="preserve"> HYPERLINK "http://www.unjs.com/Special/lianjiezilvshuzhibaogao/" \t "_blank" </w:instrText>
      </w:r>
      <w:r>
        <w:rPr>
          <w:rFonts w:hint="eastAsia" w:ascii="仿宋_GB2312" w:hAnsi="楷体" w:eastAsia="仿宋_GB2312"/>
          <w:sz w:val="32"/>
          <w:szCs w:val="32"/>
        </w:rPr>
        <w:fldChar w:fldCharType="separate"/>
      </w:r>
      <w:r>
        <w:rPr>
          <w:rFonts w:hint="eastAsia" w:ascii="仿宋_GB2312" w:hAnsi="楷体" w:eastAsia="仿宋_GB2312"/>
          <w:sz w:val="32"/>
          <w:szCs w:val="32"/>
        </w:rPr>
        <w:t>廉洁</w:t>
      </w:r>
      <w:r>
        <w:rPr>
          <w:rFonts w:hint="eastAsia" w:ascii="仿宋_GB2312" w:hAnsi="楷体" w:eastAsia="仿宋_GB2312"/>
          <w:sz w:val="32"/>
          <w:szCs w:val="32"/>
        </w:rPr>
        <w:fldChar w:fldCharType="end"/>
      </w:r>
      <w:r>
        <w:rPr>
          <w:rFonts w:hint="eastAsia" w:ascii="仿宋_GB2312" w:hAnsi="楷体" w:eastAsia="仿宋_GB2312"/>
          <w:sz w:val="32"/>
          <w:szCs w:val="32"/>
        </w:rPr>
        <w:t>、创新局面的形成。</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(4)健全党的组织</w:t>
      </w:r>
      <w:r>
        <w:rPr>
          <w:rFonts w:hint="eastAsia" w:ascii="仿宋_GB2312" w:hAnsi="楷体" w:eastAsia="仿宋_GB2312"/>
          <w:sz w:val="32"/>
          <w:szCs w:val="32"/>
        </w:rPr>
        <w:fldChar w:fldCharType="begin"/>
      </w:r>
      <w:r>
        <w:rPr>
          <w:rFonts w:hint="eastAsia" w:ascii="仿宋_GB2312" w:hAnsi="楷体" w:eastAsia="仿宋_GB2312"/>
          <w:sz w:val="32"/>
          <w:szCs w:val="32"/>
        </w:rPr>
        <w:instrText xml:space="preserve"> HYPERLINK "http://www.unjs.com/zuowendaquan/shenghuozuowen/" \t "_blank" </w:instrText>
      </w:r>
      <w:r>
        <w:rPr>
          <w:rFonts w:hint="eastAsia" w:ascii="仿宋_GB2312" w:hAnsi="楷体" w:eastAsia="仿宋_GB2312"/>
          <w:sz w:val="32"/>
          <w:szCs w:val="32"/>
        </w:rPr>
        <w:fldChar w:fldCharType="separate"/>
      </w:r>
      <w:r>
        <w:rPr>
          <w:rFonts w:hint="eastAsia" w:ascii="仿宋_GB2312" w:hAnsi="楷体" w:eastAsia="仿宋_GB2312"/>
          <w:sz w:val="32"/>
          <w:szCs w:val="32"/>
        </w:rPr>
        <w:t>生活</w:t>
      </w:r>
      <w:r>
        <w:rPr>
          <w:rFonts w:hint="eastAsia" w:ascii="仿宋_GB2312" w:hAnsi="楷体" w:eastAsia="仿宋_GB2312"/>
          <w:sz w:val="32"/>
          <w:szCs w:val="32"/>
        </w:rPr>
        <w:fldChar w:fldCharType="end"/>
      </w:r>
      <w:r>
        <w:rPr>
          <w:rFonts w:hint="eastAsia" w:ascii="仿宋_GB2312" w:hAnsi="楷体" w:eastAsia="仿宋_GB2312"/>
          <w:sz w:val="32"/>
          <w:szCs w:val="32"/>
        </w:rPr>
        <w:t>等管理形式，做好党费收缴、党员组织关系接转、党的文件传递、材料的建档、统计等工作。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(5)协助做好纪检、监察、勤政廉洁和纠风方面的具体工作。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（6）根据党总支安排，为召开党务会议做好准备工作与会议记录，并负责决议和议定事项的督办和落实。</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3.教务处</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全面贯彻党的教育方针，执行国家课程标准计划,积极实施素质教育和新课程改革，培养德智体美等全面发展的社会主义事业的建设者和接班人。负责组织全校教学工作,努力完成教学工作任务。组织教师学习有关教学工作的指导性文件,明确学校学期教学工作重点目标和具体要求,制订切实可行的教学工作计划,并认真组织实施。</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(2)协助校长制定学校教学发展近期及长期发展规划，提出教学改革意见，师资队伍建设规划等。指导各年级教学，为校长当好教学参谋，促进教学质量的提高。</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(3) 制定教学常规，开展教学常规检查，做好日常教学运行管理和监督考评，对教师的教学质量进行检查和监督，做好教学信息数据的采集和管理工作，期中期末月考等考试后对各年级教学质量进行评估。布置任课教师写工作计划工作总结并督促其执行。</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(4)从学校实际出发,全面安排教学工作,建立正常的教学秩序。组织好排课、调课、代课。负责编排各个学期课程安排，组织安排全校各种教学活动、科技活动等工作。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(5)负责初、高中招生与编班工作。承办学生录取通知书发放，会同年级主任，班主任搞好分班工作。负责学籍管理工作。办理学生的学籍，承办学生的转学，休学，复学等手续，承办与发放学历证明毕业证等工作，对学生学籍进行存档。</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(6)参加与组织校内外各种有关教学方面的会议，活动。负责各种教学档案资料的搜集，整理与管理工作。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(7) 负责各年级的各种教材、教参和资料的征订发放与管理工作，做好教科书、教参及其他教学资料的订购发放和管理工作。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(8) 深入课堂,了解教师教学,掌握教学情况,帮助教师改进教学,提高质量。召开学生座谈会,了解分析学生学习态度,学习素质,学习效果,分析学生知识、能力、发展情况,指导学生端正学习态度,改进学习方法,提高学习效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 xml:space="preserve"> (9) 组织协调各年级各种考试工作，组织好质量分析与考核评价，做好试题及答案的收集整理。组织学校承担的各类社会考试。对阅卷系统进行统一管理。每次考试后组织阅卷，扫卡，登分。</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(10) 每个月对各年级教师的工作量进行审核。推进信息化手段的运用，对教学手段、内容进行整合。</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(11) 负责与上级有关主管部门沟通协调及时完成各项教学统计报表和资料的上报及有关教学文件材料的收集保管整理归档工作。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(12) 负责教师和教务辅助工作人员的常规目标管理(计划、总结、教案、上课、作业、辅导等),并制订相应的评价方案,进行过程评价。</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(13)对教务处财产设备的使用进行管理，确保固定资产不丢失。</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 xml:space="preserve">   （14）负责学校网络、广播系统维护，对学校网络舆情进行监管。做好信息技术等相关学科的教学与辅导工作，初高中机房的维护工作；协调各部门完成初三信息技术测试和高中信息技术会考。</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（15）配合科任教师完成实验课程的教学；日常仪器、药品的上账、使用、记录和管理；完成初三实验测试的准备和管理工作。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（16）制定阅览室开放计划，统计年级和阅览室报刊的征订，负责图书室阅览室的日常管理。</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（17）实施电教设备管理制度，熟悉各种电教设备的功能与性能特点，掌握使用、维修的基本知识和技能，加强电教设备的管理、维修和保养。</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（18）管理好学校各类专用教室和录播教室，做好教具的登记、管理和维护。</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(19) 负责教师评先评优与职称评定的相应量化考核工作。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4、教研室</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(1)协助校长做好学校教科研工作顶层设计。</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(2)负责学校教科研队伍管理，积极推动教学改革，抓好改革试验。</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（3）负责教学研究活动的策划与组织。</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（4）负责校本教材和资源开发工作及校本培训、校本考试命题、试卷评估审核工作。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（5）负责教师的专业发展及青年教师培训工作，组织并指导教师业务进修，抓好以老带新，师徒结对，培养青年教师。</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（6）负责课题、论文等教科研成果的评比及教师课堂教学的指导与评价。</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（7）负责各类教学竞赛活动的组织工作。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（8）做好名师工作室建设和教科研对外联络，负责科研活动的校外交流、联络与展示。</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（9）做好“导师制”工作的设计、指导、督促和考核工作。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（10）负责教师评先评优与职称评定的相应量化考核工作。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5、政教处</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推进完成学校学生德育目标的职能机构，完成学校的各项德育工作任务,确保学生全面素质的提高,起好导向和保证作用。</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（1）协助校长对学校德育工作一体化的整体策划和指导。</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（2）负责校园文化建设工作（含班级文化建设）。</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（3）负责各年级德育工作指导、开展和整体评价工作。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（4）负责心理健康教育工作（辅导、咨询、讲座和课题研究）。</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（5）负责家长委员会的组建、运行和管理工作。沟通学校与家长的联系，达成教育共识。听取家长的意见，争取家长的帮助。</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（6）会同共青团指导学生会和学生社团开展工作，做好高中军训和初中社会实践活动。</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（7）负责学生体育、艺术工作的整体策划，做好两操组织，会同团委搞好升旗活动。</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（8）负责校服的订购和发放工作。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（9）负责学校的卫生教育与保健工作，管理好医务室，做好疾病防控工作，做好学生体检工作。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（10）负责学生的安全教育管理及处理学生重大违纪事件。</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（11）制定应急预案，组织实施各类应急演练。</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（12）负责班主任的选拔、培训及评优评先工作。制定班主任工作职责，领导各年级班主任。组织班主任学习，加强班主任师德建设，提高班主任工作水平，检查和评价班主任工作。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（13）负责全校性学生的评优表彰，国家助学金的管理。</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（14）负责学校的对外宣传工作。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（15）负责教师评先评优与职称评定的相应量化考核工作。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6、总务处</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是学校设施、设备的管理服务机构，对校长负责。</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（1）管理好学校固定资产，按规定做好相关的各项工作。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（2）按照规定做好学校设施、设备的采购、管理和维修。</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（3）负责学校煤、水、电各项能耗的管理使用及费用的支出。</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（4）负责学校绿化工作。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7、工会</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（1）在学校党总支领导下，服务教职工，维护教职工权益。</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（2）开展送温暖活动，做好教职工大病和婚丧嫁娶慰问工作。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（3）定期组织教职工体检，依规做好教职工福利工作。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（4）开展丰富多彩的教职工活动，结合教育教学实际，做好劳动竞赛工作。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(5)抓好</w:t>
      </w:r>
      <w:r>
        <w:rPr>
          <w:rFonts w:hint="eastAsia" w:ascii="仿宋_GB2312" w:hAnsi="楷体" w:eastAsia="仿宋_GB2312"/>
          <w:sz w:val="32"/>
          <w:szCs w:val="32"/>
        </w:rPr>
        <w:fldChar w:fldCharType="begin"/>
      </w:r>
      <w:r>
        <w:rPr>
          <w:rFonts w:hint="eastAsia" w:ascii="仿宋_GB2312" w:hAnsi="楷体" w:eastAsia="仿宋_GB2312"/>
          <w:sz w:val="32"/>
          <w:szCs w:val="32"/>
        </w:rPr>
        <w:instrText xml:space="preserve"> HYPERLINK "http://www.unjs.com/Special/gonghuigongzuozongjie/" \t "_blank" </w:instrText>
      </w:r>
      <w:r>
        <w:rPr>
          <w:rFonts w:hint="eastAsia" w:ascii="仿宋_GB2312" w:hAnsi="楷体" w:eastAsia="仿宋_GB2312"/>
          <w:sz w:val="32"/>
          <w:szCs w:val="32"/>
        </w:rPr>
        <w:fldChar w:fldCharType="separate"/>
      </w:r>
      <w:r>
        <w:rPr>
          <w:rFonts w:hint="eastAsia" w:ascii="仿宋_GB2312" w:hAnsi="楷体" w:eastAsia="仿宋_GB2312"/>
          <w:sz w:val="32"/>
          <w:szCs w:val="32"/>
        </w:rPr>
        <w:t>工会</w:t>
      </w:r>
      <w:r>
        <w:rPr>
          <w:rFonts w:hint="eastAsia" w:ascii="仿宋_GB2312" w:hAnsi="楷体" w:eastAsia="仿宋_GB2312"/>
          <w:sz w:val="32"/>
          <w:szCs w:val="32"/>
        </w:rPr>
        <w:fldChar w:fldCharType="end"/>
      </w:r>
      <w:r>
        <w:rPr>
          <w:rFonts w:hint="eastAsia" w:ascii="仿宋_GB2312" w:hAnsi="楷体" w:eastAsia="仿宋_GB2312"/>
          <w:sz w:val="32"/>
          <w:szCs w:val="32"/>
        </w:rPr>
        <w:t>自身建设，充分发挥工会委员会的作用，抓好妇女会工作，组织开展适合妇女特点的各项文体娱乐</w:t>
      </w:r>
      <w:r>
        <w:rPr>
          <w:rFonts w:hint="eastAsia" w:ascii="仿宋_GB2312" w:hAnsi="楷体" w:eastAsia="仿宋_GB2312"/>
          <w:sz w:val="32"/>
          <w:szCs w:val="32"/>
        </w:rPr>
        <w:fldChar w:fldCharType="begin"/>
      </w:r>
      <w:r>
        <w:rPr>
          <w:rFonts w:hint="eastAsia" w:ascii="仿宋_GB2312" w:hAnsi="楷体" w:eastAsia="仿宋_GB2312"/>
          <w:sz w:val="32"/>
          <w:szCs w:val="32"/>
        </w:rPr>
        <w:instrText xml:space="preserve"> HYPERLINK "http://www.unjs.com/Special/huodongcehua/" \t "_blank" </w:instrText>
      </w:r>
      <w:r>
        <w:rPr>
          <w:rFonts w:hint="eastAsia" w:ascii="仿宋_GB2312" w:hAnsi="楷体" w:eastAsia="仿宋_GB2312"/>
          <w:sz w:val="32"/>
          <w:szCs w:val="32"/>
        </w:rPr>
        <w:fldChar w:fldCharType="separate"/>
      </w:r>
      <w:r>
        <w:rPr>
          <w:rFonts w:hint="eastAsia" w:ascii="仿宋_GB2312" w:hAnsi="楷体" w:eastAsia="仿宋_GB2312"/>
          <w:sz w:val="32"/>
          <w:szCs w:val="32"/>
        </w:rPr>
        <w:t>活动</w:t>
      </w:r>
      <w:r>
        <w:rPr>
          <w:rFonts w:hint="eastAsia" w:ascii="仿宋_GB2312" w:hAnsi="楷体" w:eastAsia="仿宋_GB2312"/>
          <w:sz w:val="32"/>
          <w:szCs w:val="32"/>
        </w:rPr>
        <w:fldChar w:fldCharType="end"/>
      </w:r>
      <w:r>
        <w:rPr>
          <w:rFonts w:hint="eastAsia" w:ascii="仿宋_GB2312" w:hAnsi="楷体" w:eastAsia="仿宋_GB2312"/>
          <w:sz w:val="32"/>
          <w:szCs w:val="32"/>
        </w:rPr>
        <w:t>,维护</w:t>
      </w:r>
      <w:r>
        <w:rPr>
          <w:rFonts w:hint="eastAsia" w:ascii="仿宋_GB2312" w:hAnsi="楷体" w:eastAsia="仿宋_GB2312"/>
          <w:sz w:val="32"/>
          <w:szCs w:val="32"/>
        </w:rPr>
        <w:fldChar w:fldCharType="begin"/>
      </w:r>
      <w:r>
        <w:rPr>
          <w:rFonts w:hint="eastAsia" w:ascii="仿宋_GB2312" w:hAnsi="楷体" w:eastAsia="仿宋_GB2312"/>
          <w:sz w:val="32"/>
          <w:szCs w:val="32"/>
        </w:rPr>
        <w:instrText xml:space="preserve"> HYPERLINK "http://www.unjs.com/Special/funvjiehuodongfangan/" \t "_blank" </w:instrText>
      </w:r>
      <w:r>
        <w:rPr>
          <w:rFonts w:hint="eastAsia" w:ascii="仿宋_GB2312" w:hAnsi="楷体" w:eastAsia="仿宋_GB2312"/>
          <w:sz w:val="32"/>
          <w:szCs w:val="32"/>
        </w:rPr>
        <w:fldChar w:fldCharType="separate"/>
      </w:r>
      <w:r>
        <w:rPr>
          <w:rFonts w:hint="eastAsia" w:ascii="仿宋_GB2312" w:hAnsi="楷体" w:eastAsia="仿宋_GB2312"/>
          <w:sz w:val="32"/>
          <w:szCs w:val="32"/>
        </w:rPr>
        <w:t>妇女</w:t>
      </w:r>
      <w:r>
        <w:rPr>
          <w:rFonts w:hint="eastAsia" w:ascii="仿宋_GB2312" w:hAnsi="楷体" w:eastAsia="仿宋_GB2312"/>
          <w:sz w:val="32"/>
          <w:szCs w:val="32"/>
        </w:rPr>
        <w:fldChar w:fldCharType="end"/>
      </w:r>
      <w:r>
        <w:rPr>
          <w:rFonts w:hint="eastAsia" w:ascii="仿宋_GB2312" w:hAnsi="楷体" w:eastAsia="仿宋_GB2312"/>
          <w:sz w:val="32"/>
          <w:szCs w:val="32"/>
        </w:rPr>
        <w:t>的合法权益。</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8、团委</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（1）在学校党政领导下，开展青年学生思想工作。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（2）做好全校少先队员和团员的管理工作，按规定做好团员档案管理。</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（3）团员组织关系的转接，团费的收缴工作。</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（4）会同政教处，做好学生艺术、征文、社团工作。组织好校园广播站和升国旗活动。</w:t>
      </w:r>
    </w:p>
    <w:p>
      <w:pPr>
        <w:ind w:firstLine="640" w:firstLineChars="200"/>
        <w:rPr>
          <w:rFonts w:hint="eastAsia" w:ascii="仿宋_GB2312" w:hAnsi="楷体" w:eastAsia="仿宋_GB2312"/>
          <w:sz w:val="32"/>
          <w:szCs w:val="32"/>
        </w:rPr>
      </w:pPr>
    </w:p>
    <w:p>
      <w:pPr>
        <w:ind w:firstLine="640" w:firstLineChars="200"/>
        <w:rPr>
          <w:rFonts w:hint="eastAsia" w:ascii="仿宋_GB2312" w:hAnsi="楷体" w:eastAsia="仿宋_GB2312"/>
          <w:sz w:val="32"/>
          <w:szCs w:val="32"/>
        </w:rPr>
      </w:pPr>
    </w:p>
    <w:p>
      <w:pPr>
        <w:pStyle w:val="6"/>
        <w:shd w:val="clear" w:color="auto" w:fill="FFFFFF"/>
        <w:spacing w:before="0" w:beforeAutospacing="0" w:after="0" w:afterAutospacing="0"/>
        <w:jc w:val="both"/>
        <w:rPr>
          <w:color w:val="000000" w:themeColor="text1"/>
          <w:sz w:val="32"/>
          <w:szCs w:val="32"/>
          <w:shd w:val="clear" w:color="auto" w:fill="FFFFFF"/>
          <w14:textFill>
            <w14:solidFill>
              <w14:schemeClr w14:val="tx1"/>
            </w14:solidFill>
          </w14:textFill>
        </w:rPr>
      </w:pPr>
    </w:p>
    <w:p>
      <w:pPr>
        <w:pStyle w:val="6"/>
        <w:shd w:val="clear" w:color="auto" w:fill="FFFFFF"/>
        <w:spacing w:before="0" w:beforeAutospacing="0" w:after="0" w:afterAutospacing="0"/>
        <w:jc w:val="both"/>
        <w:rPr>
          <w:rFonts w:hint="eastAsia"/>
          <w:color w:val="000000" w:themeColor="text1"/>
          <w:sz w:val="32"/>
          <w:szCs w:val="32"/>
          <w:shd w:val="clear" w:color="auto" w:fill="FFFFFF"/>
          <w14:textFill>
            <w14:solidFill>
              <w14:schemeClr w14:val="tx1"/>
            </w14:solidFill>
          </w14:textFill>
        </w:rPr>
      </w:pPr>
    </w:p>
    <w:p>
      <w:pPr>
        <w:spacing w:after="156" w:afterLines="50"/>
        <w:jc w:val="center"/>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第二部分  2022年度预算报表</w:t>
      </w:r>
    </w:p>
    <w:p>
      <w:pPr>
        <w:ind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一、大同市第十三中学校2022年预算收支总表</w:t>
      </w:r>
    </w:p>
    <w:tbl>
      <w:tblPr>
        <w:tblStyle w:val="7"/>
        <w:tblW w:w="5000" w:type="pct"/>
        <w:tblInd w:w="0" w:type="dxa"/>
        <w:tblLayout w:type="autofit"/>
        <w:tblCellMar>
          <w:top w:w="0" w:type="dxa"/>
          <w:left w:w="108" w:type="dxa"/>
          <w:bottom w:w="0" w:type="dxa"/>
          <w:right w:w="108" w:type="dxa"/>
        </w:tblCellMar>
      </w:tblPr>
      <w:tblGrid>
        <w:gridCol w:w="2504"/>
        <w:gridCol w:w="1106"/>
        <w:gridCol w:w="3441"/>
        <w:gridCol w:w="1283"/>
        <w:gridCol w:w="436"/>
        <w:gridCol w:w="1084"/>
      </w:tblGrid>
      <w:tr>
        <w:tblPrEx>
          <w:tblCellMar>
            <w:top w:w="0" w:type="dxa"/>
            <w:left w:w="108" w:type="dxa"/>
            <w:bottom w:w="0" w:type="dxa"/>
            <w:right w:w="108" w:type="dxa"/>
          </w:tblCellMar>
        </w:tblPrEx>
        <w:trPr>
          <w:trHeight w:val="295" w:hRule="atLeast"/>
        </w:trPr>
        <w:tc>
          <w:tcPr>
            <w:tcW w:w="1271" w:type="pct"/>
            <w:tcBorders>
              <w:top w:val="nil"/>
              <w:left w:val="nil"/>
              <w:bottom w:val="nil"/>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p>
        </w:tc>
        <w:tc>
          <w:tcPr>
            <w:tcW w:w="561" w:type="pct"/>
            <w:tcBorders>
              <w:top w:val="nil"/>
              <w:left w:val="nil"/>
              <w:bottom w:val="nil"/>
              <w:right w:val="nil"/>
            </w:tcBorders>
            <w:shd w:val="clear" w:color="auto" w:fill="auto"/>
            <w:noWrap/>
            <w:vAlign w:val="bottom"/>
          </w:tcPr>
          <w:p>
            <w:pPr>
              <w:widowControl/>
              <w:jc w:val="left"/>
              <w:rPr>
                <w:rFonts w:ascii="宋体" w:hAnsi="宋体" w:cs="宋体"/>
                <w:color w:val="000000" w:themeColor="text1"/>
                <w:kern w:val="0"/>
                <w:sz w:val="32"/>
                <w:szCs w:val="32"/>
                <w14:textFill>
                  <w14:solidFill>
                    <w14:schemeClr w14:val="tx1"/>
                  </w14:solidFill>
                </w14:textFill>
              </w:rPr>
            </w:pPr>
          </w:p>
        </w:tc>
        <w:tc>
          <w:tcPr>
            <w:tcW w:w="1746" w:type="pct"/>
            <w:tcBorders>
              <w:top w:val="nil"/>
              <w:left w:val="nil"/>
              <w:bottom w:val="nil"/>
              <w:right w:val="nil"/>
            </w:tcBorders>
            <w:shd w:val="clear" w:color="auto" w:fill="auto"/>
            <w:noWrap/>
            <w:vAlign w:val="bottom"/>
          </w:tcPr>
          <w:p>
            <w:pPr>
              <w:widowControl/>
              <w:jc w:val="center"/>
              <w:rPr>
                <w:rFonts w:ascii="宋体" w:hAnsi="宋体"/>
                <w:color w:val="000000" w:themeColor="text1"/>
                <w:kern w:val="0"/>
                <w:sz w:val="32"/>
                <w:szCs w:val="32"/>
                <w14:textFill>
                  <w14:solidFill>
                    <w14:schemeClr w14:val="tx1"/>
                  </w14:solidFill>
                </w14:textFill>
              </w:rPr>
            </w:pPr>
          </w:p>
        </w:tc>
        <w:tc>
          <w:tcPr>
            <w:tcW w:w="651" w:type="pct"/>
            <w:tcBorders>
              <w:top w:val="nil"/>
              <w:left w:val="nil"/>
              <w:bottom w:val="nil"/>
              <w:right w:val="nil"/>
            </w:tcBorders>
            <w:shd w:val="clear" w:color="auto" w:fill="auto"/>
            <w:vAlign w:val="bottom"/>
          </w:tcPr>
          <w:p>
            <w:pPr>
              <w:widowControl/>
              <w:jc w:val="left"/>
              <w:rPr>
                <w:rFonts w:ascii="宋体" w:hAnsi="宋体"/>
                <w:color w:val="000000" w:themeColor="text1"/>
                <w:kern w:val="0"/>
                <w:sz w:val="32"/>
                <w:szCs w:val="32"/>
                <w14:textFill>
                  <w14:solidFill>
                    <w14:schemeClr w14:val="tx1"/>
                  </w14:solidFill>
                </w14:textFill>
              </w:rPr>
            </w:pPr>
          </w:p>
        </w:tc>
        <w:tc>
          <w:tcPr>
            <w:tcW w:w="221" w:type="pct"/>
            <w:tcBorders>
              <w:top w:val="nil"/>
              <w:left w:val="nil"/>
              <w:bottom w:val="nil"/>
              <w:right w:val="nil"/>
            </w:tcBorders>
            <w:shd w:val="clear" w:color="auto" w:fill="auto"/>
            <w:vAlign w:val="bottom"/>
          </w:tcPr>
          <w:p>
            <w:pPr>
              <w:widowControl/>
              <w:jc w:val="center"/>
              <w:rPr>
                <w:rFonts w:ascii="宋体" w:hAnsi="宋体"/>
                <w:color w:val="000000" w:themeColor="text1"/>
                <w:kern w:val="0"/>
                <w:sz w:val="16"/>
                <w:szCs w:val="16"/>
                <w14:textFill>
                  <w14:solidFill>
                    <w14:schemeClr w14:val="tx1"/>
                  </w14:solidFill>
                </w14:textFill>
              </w:rPr>
            </w:pPr>
          </w:p>
        </w:tc>
        <w:tc>
          <w:tcPr>
            <w:tcW w:w="550" w:type="pct"/>
            <w:tcBorders>
              <w:top w:val="nil"/>
              <w:left w:val="nil"/>
              <w:bottom w:val="nil"/>
              <w:right w:val="nil"/>
            </w:tcBorders>
            <w:shd w:val="clear" w:color="auto" w:fill="auto"/>
            <w:vAlign w:val="center"/>
          </w:tcPr>
          <w:p>
            <w:pPr>
              <w:widowControl/>
              <w:ind w:left="-38" w:leftChars="-18" w:right="-105" w:rightChars="-50"/>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部门公开表1</w:t>
            </w:r>
          </w:p>
        </w:tc>
      </w:tr>
      <w:tr>
        <w:tblPrEx>
          <w:tblCellMar>
            <w:top w:w="0" w:type="dxa"/>
            <w:left w:w="108" w:type="dxa"/>
            <w:bottom w:w="0" w:type="dxa"/>
            <w:right w:w="108" w:type="dxa"/>
          </w:tblCellMar>
        </w:tblPrEx>
        <w:trPr>
          <w:trHeight w:val="536" w:hRule="atLeast"/>
        </w:trPr>
        <w:tc>
          <w:tcPr>
            <w:tcW w:w="5000" w:type="pct"/>
            <w:gridSpan w:val="6"/>
            <w:tcBorders>
              <w:top w:val="nil"/>
              <w:left w:val="nil"/>
              <w:bottom w:val="nil"/>
              <w:right w:val="nil"/>
            </w:tcBorders>
            <w:shd w:val="clear" w:color="auto" w:fill="auto"/>
            <w:noWrap/>
            <w:vAlign w:val="center"/>
          </w:tcPr>
          <w:p>
            <w:pPr>
              <w:widowControl/>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大同市第十三中学校2022年预算收支总表</w:t>
            </w:r>
          </w:p>
        </w:tc>
      </w:tr>
      <w:tr>
        <w:tblPrEx>
          <w:tblCellMar>
            <w:top w:w="0" w:type="dxa"/>
            <w:left w:w="108" w:type="dxa"/>
            <w:bottom w:w="0" w:type="dxa"/>
            <w:right w:w="108" w:type="dxa"/>
          </w:tblCellMar>
        </w:tblPrEx>
        <w:trPr>
          <w:trHeight w:val="233" w:hRule="atLeast"/>
        </w:trPr>
        <w:tc>
          <w:tcPr>
            <w:tcW w:w="1271" w:type="pct"/>
            <w:tcBorders>
              <w:top w:val="nil"/>
              <w:left w:val="nil"/>
              <w:bottom w:val="nil"/>
              <w:right w:val="nil"/>
            </w:tcBorders>
            <w:shd w:val="clear" w:color="auto" w:fill="auto"/>
            <w:noWrap/>
            <w:vAlign w:val="bottom"/>
          </w:tcPr>
          <w:p>
            <w:pPr>
              <w:widowControl/>
              <w:jc w:val="center"/>
              <w:rPr>
                <w:rFonts w:ascii="宋体" w:hAnsi="宋体" w:cs="宋体"/>
                <w:color w:val="000000" w:themeColor="text1"/>
                <w:kern w:val="0"/>
                <w:sz w:val="32"/>
                <w:szCs w:val="32"/>
                <w14:textFill>
                  <w14:solidFill>
                    <w14:schemeClr w14:val="tx1"/>
                  </w14:solidFill>
                </w14:textFill>
              </w:rPr>
            </w:pPr>
          </w:p>
        </w:tc>
        <w:tc>
          <w:tcPr>
            <w:tcW w:w="561" w:type="pct"/>
            <w:tcBorders>
              <w:top w:val="nil"/>
              <w:left w:val="nil"/>
              <w:bottom w:val="nil"/>
              <w:right w:val="nil"/>
            </w:tcBorders>
            <w:shd w:val="clear" w:color="auto" w:fill="auto"/>
            <w:noWrap/>
            <w:vAlign w:val="bottom"/>
          </w:tcPr>
          <w:p>
            <w:pPr>
              <w:widowControl/>
              <w:jc w:val="left"/>
              <w:rPr>
                <w:rFonts w:ascii="宋体" w:hAnsi="宋体"/>
                <w:color w:val="000000" w:themeColor="text1"/>
                <w:kern w:val="0"/>
                <w:sz w:val="32"/>
                <w:szCs w:val="32"/>
                <w14:textFill>
                  <w14:solidFill>
                    <w14:schemeClr w14:val="tx1"/>
                  </w14:solidFill>
                </w14:textFill>
              </w:rPr>
            </w:pPr>
          </w:p>
        </w:tc>
        <w:tc>
          <w:tcPr>
            <w:tcW w:w="1746" w:type="pct"/>
            <w:tcBorders>
              <w:top w:val="nil"/>
              <w:left w:val="nil"/>
              <w:bottom w:val="nil"/>
              <w:right w:val="nil"/>
            </w:tcBorders>
            <w:shd w:val="clear" w:color="auto" w:fill="auto"/>
            <w:noWrap/>
            <w:vAlign w:val="bottom"/>
          </w:tcPr>
          <w:p>
            <w:pPr>
              <w:widowControl/>
              <w:jc w:val="center"/>
              <w:rPr>
                <w:rFonts w:ascii="宋体" w:hAnsi="宋体"/>
                <w:color w:val="000000" w:themeColor="text1"/>
                <w:kern w:val="0"/>
                <w:sz w:val="32"/>
                <w:szCs w:val="32"/>
                <w14:textFill>
                  <w14:solidFill>
                    <w14:schemeClr w14:val="tx1"/>
                  </w14:solidFill>
                </w14:textFill>
              </w:rPr>
            </w:pPr>
          </w:p>
        </w:tc>
        <w:tc>
          <w:tcPr>
            <w:tcW w:w="651" w:type="pct"/>
            <w:tcBorders>
              <w:top w:val="nil"/>
              <w:left w:val="nil"/>
              <w:bottom w:val="nil"/>
              <w:right w:val="nil"/>
            </w:tcBorders>
            <w:shd w:val="clear" w:color="auto" w:fill="auto"/>
            <w:vAlign w:val="bottom"/>
          </w:tcPr>
          <w:p>
            <w:pPr>
              <w:widowControl/>
              <w:jc w:val="left"/>
              <w:rPr>
                <w:rFonts w:ascii="宋体" w:hAnsi="宋体"/>
                <w:color w:val="000000" w:themeColor="text1"/>
                <w:kern w:val="0"/>
                <w:sz w:val="32"/>
                <w:szCs w:val="32"/>
                <w14:textFill>
                  <w14:solidFill>
                    <w14:schemeClr w14:val="tx1"/>
                  </w14:solidFill>
                </w14:textFill>
              </w:rPr>
            </w:pPr>
          </w:p>
        </w:tc>
        <w:tc>
          <w:tcPr>
            <w:tcW w:w="221" w:type="pct"/>
            <w:tcBorders>
              <w:top w:val="nil"/>
              <w:left w:val="nil"/>
              <w:bottom w:val="nil"/>
              <w:right w:val="nil"/>
            </w:tcBorders>
            <w:shd w:val="clear" w:color="auto" w:fill="auto"/>
            <w:vAlign w:val="bottom"/>
          </w:tcPr>
          <w:p>
            <w:pPr>
              <w:widowControl/>
              <w:jc w:val="center"/>
              <w:rPr>
                <w:rFonts w:ascii="宋体" w:hAnsi="宋体"/>
                <w:color w:val="000000" w:themeColor="text1"/>
                <w:kern w:val="0"/>
                <w:sz w:val="32"/>
                <w:szCs w:val="32"/>
                <w14:textFill>
                  <w14:solidFill>
                    <w14:schemeClr w14:val="tx1"/>
                  </w14:solidFill>
                </w14:textFill>
              </w:rPr>
            </w:pPr>
          </w:p>
        </w:tc>
        <w:tc>
          <w:tcPr>
            <w:tcW w:w="550" w:type="pct"/>
            <w:tcBorders>
              <w:top w:val="nil"/>
              <w:left w:val="nil"/>
              <w:bottom w:val="nil"/>
              <w:right w:val="nil"/>
            </w:tcBorders>
            <w:shd w:val="clear" w:color="auto" w:fill="auto"/>
            <w:vAlign w:val="bottom"/>
          </w:tcPr>
          <w:p>
            <w:pPr>
              <w:widowControl/>
              <w:ind w:left="-6" w:leftChars="-3" w:right="-6" w:rightChars="-3"/>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单位：万元</w:t>
            </w:r>
          </w:p>
        </w:tc>
      </w:tr>
      <w:tr>
        <w:tblPrEx>
          <w:tblCellMar>
            <w:top w:w="0" w:type="dxa"/>
            <w:left w:w="108" w:type="dxa"/>
            <w:bottom w:w="0" w:type="dxa"/>
            <w:right w:w="108" w:type="dxa"/>
          </w:tblCellMar>
        </w:tblPrEx>
        <w:trPr>
          <w:trHeight w:val="344" w:hRule="atLeast"/>
        </w:trPr>
        <w:tc>
          <w:tcPr>
            <w:tcW w:w="1832"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收    入</w:t>
            </w:r>
          </w:p>
        </w:tc>
        <w:tc>
          <w:tcPr>
            <w:tcW w:w="3168" w:type="pct"/>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支    出</w:t>
            </w:r>
          </w:p>
        </w:tc>
      </w:tr>
      <w:tr>
        <w:tblPrEx>
          <w:tblCellMar>
            <w:top w:w="0" w:type="dxa"/>
            <w:left w:w="108" w:type="dxa"/>
            <w:bottom w:w="0" w:type="dxa"/>
            <w:right w:w="108" w:type="dxa"/>
          </w:tblCellMar>
        </w:tblPrEx>
        <w:trPr>
          <w:trHeight w:val="1244" w:hRule="atLeast"/>
        </w:trPr>
        <w:tc>
          <w:tcPr>
            <w:tcW w:w="127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2022年</w:t>
            </w:r>
          </w:p>
        </w:tc>
        <w:tc>
          <w:tcPr>
            <w:tcW w:w="174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2022年合计</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当年预算安排</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上年结转安排</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一、一般公共预算</w:t>
            </w:r>
          </w:p>
        </w:tc>
        <w:tc>
          <w:tcPr>
            <w:tcW w:w="561"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1,749.43</w:t>
            </w:r>
          </w:p>
        </w:tc>
        <w:tc>
          <w:tcPr>
            <w:tcW w:w="174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一、一般公共服务支出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二、政府性基金预算</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二、外交支出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三、国有资本经营预算</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三、国防支出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四、财政专户管理资金</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四、公共安全支出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五、单位资金</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五、教育支出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1,242.91</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六、科学技术支出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七、文化旅游体育与传媒支出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八、社会保障和就业支出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268.85</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九、社会保险基金支出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十、卫生健康支出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71.79</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十一、节能环保支出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nil"/>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十二、城乡社区支出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十三、农林水支出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十四、交通运输支出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十五、资源勘探工业信息等支出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十六、商业服务业等支出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十七、金融支出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十八、援助其他地区支出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十九、自然资源海洋气象等支出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二十、住房保障支出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165.87</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二十一、粮油物资储备支出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二十二、国有资本经营预算支出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二十三、灾害防治及应急管理支出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二十四、预备费</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二十五、其他支出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二十六、转移性支出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二十七、债务还本支出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二十八、债务付息支出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二十九、债务发行费用支出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三十、抗疫特别国债安排的支出</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nil"/>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12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本年收入合计</w:t>
            </w:r>
          </w:p>
        </w:tc>
        <w:tc>
          <w:tcPr>
            <w:tcW w:w="56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1,749.43</w:t>
            </w:r>
          </w:p>
        </w:tc>
        <w:tc>
          <w:tcPr>
            <w:tcW w:w="174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本年支出合计</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1,749.43</w:t>
            </w:r>
          </w:p>
        </w:tc>
      </w:tr>
      <w:tr>
        <w:tblPrEx>
          <w:tblCellMar>
            <w:top w:w="0" w:type="dxa"/>
            <w:left w:w="108" w:type="dxa"/>
            <w:bottom w:w="0" w:type="dxa"/>
            <w:right w:w="108" w:type="dxa"/>
          </w:tblCellMar>
        </w:tblPrEx>
        <w:trPr>
          <w:trHeight w:val="283" w:hRule="atLeast"/>
        </w:trPr>
        <w:tc>
          <w:tcPr>
            <w:tcW w:w="12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上年结转</w:t>
            </w:r>
          </w:p>
        </w:tc>
        <w:tc>
          <w:tcPr>
            <w:tcW w:w="561"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46"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年终结转</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90" w:hRule="atLeast"/>
        </w:trPr>
        <w:tc>
          <w:tcPr>
            <w:tcW w:w="1271" w:type="pct"/>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收入总计</w:t>
            </w:r>
          </w:p>
        </w:tc>
        <w:tc>
          <w:tcPr>
            <w:tcW w:w="561"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1,749.43</w:t>
            </w:r>
          </w:p>
        </w:tc>
        <w:tc>
          <w:tcPr>
            <w:tcW w:w="17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支出总计</w:t>
            </w:r>
          </w:p>
        </w:tc>
        <w:tc>
          <w:tcPr>
            <w:tcW w:w="6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2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1,749.43</w:t>
            </w:r>
          </w:p>
        </w:tc>
      </w:tr>
    </w:tbl>
    <w:p>
      <w:pPr>
        <w:ind w:firstLine="640" w:firstLineChars="200"/>
        <w:jc w:val="both"/>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二、大同市第十三中学校2022年预算收入总表</w:t>
      </w:r>
    </w:p>
    <w:tbl>
      <w:tblPr>
        <w:tblStyle w:val="7"/>
        <w:tblW w:w="9765" w:type="dxa"/>
        <w:tblInd w:w="108" w:type="dxa"/>
        <w:tblLayout w:type="fixed"/>
        <w:tblCellMar>
          <w:top w:w="0" w:type="dxa"/>
          <w:left w:w="108" w:type="dxa"/>
          <w:bottom w:w="0" w:type="dxa"/>
          <w:right w:w="108" w:type="dxa"/>
        </w:tblCellMar>
      </w:tblPr>
      <w:tblGrid>
        <w:gridCol w:w="1371"/>
        <w:gridCol w:w="2924"/>
        <w:gridCol w:w="1291"/>
        <w:gridCol w:w="1159"/>
        <w:gridCol w:w="426"/>
        <w:gridCol w:w="426"/>
        <w:gridCol w:w="659"/>
        <w:gridCol w:w="427"/>
        <w:gridCol w:w="1082"/>
      </w:tblGrid>
      <w:tr>
        <w:tblPrEx>
          <w:tblCellMar>
            <w:top w:w="0" w:type="dxa"/>
            <w:left w:w="108" w:type="dxa"/>
            <w:bottom w:w="0" w:type="dxa"/>
            <w:right w:w="108" w:type="dxa"/>
          </w:tblCellMar>
        </w:tblPrEx>
        <w:trPr>
          <w:trHeight w:val="377" w:hRule="atLeast"/>
        </w:trPr>
        <w:tc>
          <w:tcPr>
            <w:tcW w:w="1371" w:type="dxa"/>
            <w:tcBorders>
              <w:top w:val="nil"/>
              <w:left w:val="nil"/>
              <w:bottom w:val="nil"/>
              <w:right w:val="nil"/>
            </w:tcBorders>
            <w:shd w:val="clear" w:color="auto" w:fill="auto"/>
            <w:noWrap/>
            <w:vAlign w:val="bottom"/>
          </w:tcPr>
          <w:p>
            <w:pPr>
              <w:widowControl/>
              <w:jc w:val="left"/>
              <w:rPr>
                <w:rFonts w:ascii="宋体" w:hAnsi="宋体" w:cs="宋体"/>
                <w:color w:val="000000" w:themeColor="text1"/>
                <w:kern w:val="0"/>
                <w:sz w:val="16"/>
                <w:szCs w:val="16"/>
                <w14:textFill>
                  <w14:solidFill>
                    <w14:schemeClr w14:val="tx1"/>
                  </w14:solidFill>
                </w14:textFill>
              </w:rPr>
            </w:pPr>
          </w:p>
        </w:tc>
        <w:tc>
          <w:tcPr>
            <w:tcW w:w="2924" w:type="dxa"/>
            <w:tcBorders>
              <w:top w:val="nil"/>
              <w:left w:val="nil"/>
              <w:bottom w:val="nil"/>
              <w:right w:val="nil"/>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p>
        </w:tc>
        <w:tc>
          <w:tcPr>
            <w:tcW w:w="1291" w:type="dxa"/>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1159" w:type="dxa"/>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426" w:type="dxa"/>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426" w:type="dxa"/>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659" w:type="dxa"/>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426" w:type="dxa"/>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1082" w:type="dxa"/>
            <w:tcBorders>
              <w:top w:val="nil"/>
              <w:left w:val="nil"/>
              <w:bottom w:val="nil"/>
              <w:right w:val="nil"/>
            </w:tcBorders>
            <w:shd w:val="clear" w:color="auto" w:fill="auto"/>
            <w:noWrap/>
            <w:vAlign w:val="bottom"/>
          </w:tcPr>
          <w:p>
            <w:pPr>
              <w:widowControl/>
              <w:ind w:left="-162" w:leftChars="-77" w:right="-19" w:rightChars="-9"/>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部门公开表2</w:t>
            </w:r>
          </w:p>
        </w:tc>
      </w:tr>
      <w:tr>
        <w:tblPrEx>
          <w:tblCellMar>
            <w:top w:w="0" w:type="dxa"/>
            <w:left w:w="108" w:type="dxa"/>
            <w:bottom w:w="0" w:type="dxa"/>
            <w:right w:w="108" w:type="dxa"/>
          </w:tblCellMar>
        </w:tblPrEx>
        <w:trPr>
          <w:trHeight w:val="629" w:hRule="atLeast"/>
        </w:trPr>
        <w:tc>
          <w:tcPr>
            <w:tcW w:w="9765" w:type="dxa"/>
            <w:gridSpan w:val="9"/>
            <w:tcBorders>
              <w:top w:val="nil"/>
              <w:left w:val="nil"/>
              <w:bottom w:val="nil"/>
              <w:right w:val="nil"/>
            </w:tcBorders>
            <w:shd w:val="clear" w:color="auto" w:fill="auto"/>
            <w:vAlign w:val="center"/>
          </w:tcPr>
          <w:p>
            <w:pPr>
              <w:widowControl/>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大同市第十三中学校2022年预算收入总表</w:t>
            </w:r>
          </w:p>
        </w:tc>
      </w:tr>
      <w:tr>
        <w:tblPrEx>
          <w:tblCellMar>
            <w:top w:w="0" w:type="dxa"/>
            <w:left w:w="108" w:type="dxa"/>
            <w:bottom w:w="0" w:type="dxa"/>
            <w:right w:w="108" w:type="dxa"/>
          </w:tblCellMar>
        </w:tblPrEx>
        <w:trPr>
          <w:trHeight w:val="409" w:hRule="atLeast"/>
        </w:trPr>
        <w:tc>
          <w:tcPr>
            <w:tcW w:w="1371" w:type="dxa"/>
            <w:tcBorders>
              <w:top w:val="nil"/>
              <w:left w:val="nil"/>
              <w:bottom w:val="nil"/>
              <w:right w:val="nil"/>
            </w:tcBorders>
            <w:shd w:val="clear" w:color="auto" w:fill="auto"/>
            <w:noWrap/>
            <w:vAlign w:val="bottom"/>
          </w:tcPr>
          <w:p>
            <w:pPr>
              <w:widowControl/>
              <w:jc w:val="center"/>
              <w:rPr>
                <w:rFonts w:ascii="宋体" w:hAnsi="宋体" w:cs="宋体"/>
                <w:color w:val="000000" w:themeColor="text1"/>
                <w:kern w:val="0"/>
                <w:sz w:val="32"/>
                <w:szCs w:val="32"/>
                <w14:textFill>
                  <w14:solidFill>
                    <w14:schemeClr w14:val="tx1"/>
                  </w14:solidFill>
                </w14:textFill>
              </w:rPr>
            </w:pPr>
          </w:p>
        </w:tc>
        <w:tc>
          <w:tcPr>
            <w:tcW w:w="2924" w:type="dxa"/>
            <w:tcBorders>
              <w:top w:val="nil"/>
              <w:left w:val="nil"/>
              <w:bottom w:val="nil"/>
              <w:right w:val="nil"/>
            </w:tcBorders>
            <w:shd w:val="clear" w:color="auto" w:fill="auto"/>
            <w:noWrap/>
            <w:vAlign w:val="bottom"/>
          </w:tcPr>
          <w:p>
            <w:pPr>
              <w:widowControl/>
              <w:jc w:val="left"/>
              <w:rPr>
                <w:rFonts w:ascii="宋体" w:hAnsi="宋体"/>
                <w:color w:val="000000" w:themeColor="text1"/>
                <w:kern w:val="0"/>
                <w:sz w:val="32"/>
                <w:szCs w:val="32"/>
                <w14:textFill>
                  <w14:solidFill>
                    <w14:schemeClr w14:val="tx1"/>
                  </w14:solidFill>
                </w14:textFill>
              </w:rPr>
            </w:pPr>
          </w:p>
        </w:tc>
        <w:tc>
          <w:tcPr>
            <w:tcW w:w="1291" w:type="dxa"/>
            <w:tcBorders>
              <w:top w:val="nil"/>
              <w:left w:val="nil"/>
              <w:bottom w:val="nil"/>
              <w:right w:val="nil"/>
            </w:tcBorders>
            <w:shd w:val="clear" w:color="auto" w:fill="auto"/>
            <w:noWrap/>
            <w:vAlign w:val="bottom"/>
          </w:tcPr>
          <w:p>
            <w:pPr>
              <w:widowControl/>
              <w:jc w:val="left"/>
              <w:rPr>
                <w:rFonts w:ascii="宋体" w:hAnsi="宋体"/>
                <w:color w:val="000000" w:themeColor="text1"/>
                <w:kern w:val="0"/>
                <w:sz w:val="32"/>
                <w:szCs w:val="32"/>
                <w14:textFill>
                  <w14:solidFill>
                    <w14:schemeClr w14:val="tx1"/>
                  </w14:solidFill>
                </w14:textFill>
              </w:rPr>
            </w:pPr>
          </w:p>
        </w:tc>
        <w:tc>
          <w:tcPr>
            <w:tcW w:w="1159" w:type="dxa"/>
            <w:tcBorders>
              <w:top w:val="nil"/>
              <w:left w:val="nil"/>
              <w:bottom w:val="nil"/>
              <w:right w:val="nil"/>
            </w:tcBorders>
            <w:shd w:val="clear" w:color="auto" w:fill="auto"/>
            <w:noWrap/>
            <w:vAlign w:val="bottom"/>
          </w:tcPr>
          <w:p>
            <w:pPr>
              <w:widowControl/>
              <w:jc w:val="left"/>
              <w:rPr>
                <w:rFonts w:ascii="宋体" w:hAnsi="宋体"/>
                <w:color w:val="000000" w:themeColor="text1"/>
                <w:kern w:val="0"/>
                <w:sz w:val="32"/>
                <w:szCs w:val="32"/>
                <w14:textFill>
                  <w14:solidFill>
                    <w14:schemeClr w14:val="tx1"/>
                  </w14:solidFill>
                </w14:textFill>
              </w:rPr>
            </w:pPr>
          </w:p>
        </w:tc>
        <w:tc>
          <w:tcPr>
            <w:tcW w:w="426" w:type="dxa"/>
            <w:tcBorders>
              <w:top w:val="nil"/>
              <w:left w:val="nil"/>
              <w:bottom w:val="nil"/>
              <w:right w:val="nil"/>
            </w:tcBorders>
            <w:shd w:val="clear" w:color="auto" w:fill="auto"/>
            <w:noWrap/>
            <w:vAlign w:val="bottom"/>
          </w:tcPr>
          <w:p>
            <w:pPr>
              <w:widowControl/>
              <w:jc w:val="left"/>
              <w:rPr>
                <w:rFonts w:ascii="宋体" w:hAnsi="宋体"/>
                <w:color w:val="000000" w:themeColor="text1"/>
                <w:kern w:val="0"/>
                <w:sz w:val="32"/>
                <w:szCs w:val="32"/>
                <w14:textFill>
                  <w14:solidFill>
                    <w14:schemeClr w14:val="tx1"/>
                  </w14:solidFill>
                </w14:textFill>
              </w:rPr>
            </w:pPr>
          </w:p>
        </w:tc>
        <w:tc>
          <w:tcPr>
            <w:tcW w:w="426" w:type="dxa"/>
            <w:tcBorders>
              <w:top w:val="nil"/>
              <w:left w:val="nil"/>
              <w:bottom w:val="nil"/>
              <w:right w:val="nil"/>
            </w:tcBorders>
            <w:shd w:val="clear" w:color="auto" w:fill="auto"/>
            <w:noWrap/>
            <w:vAlign w:val="bottom"/>
          </w:tcPr>
          <w:p>
            <w:pPr>
              <w:widowControl/>
              <w:jc w:val="left"/>
              <w:rPr>
                <w:rFonts w:ascii="宋体" w:hAnsi="宋体"/>
                <w:color w:val="000000" w:themeColor="text1"/>
                <w:kern w:val="0"/>
                <w:sz w:val="32"/>
                <w:szCs w:val="32"/>
                <w14:textFill>
                  <w14:solidFill>
                    <w14:schemeClr w14:val="tx1"/>
                  </w14:solidFill>
                </w14:textFill>
              </w:rPr>
            </w:pPr>
          </w:p>
        </w:tc>
        <w:tc>
          <w:tcPr>
            <w:tcW w:w="659" w:type="dxa"/>
            <w:tcBorders>
              <w:top w:val="nil"/>
              <w:left w:val="nil"/>
              <w:bottom w:val="nil"/>
              <w:right w:val="nil"/>
            </w:tcBorders>
            <w:shd w:val="clear" w:color="auto" w:fill="auto"/>
            <w:noWrap/>
            <w:vAlign w:val="bottom"/>
          </w:tcPr>
          <w:p>
            <w:pPr>
              <w:widowControl/>
              <w:jc w:val="left"/>
              <w:rPr>
                <w:rFonts w:ascii="宋体" w:hAnsi="宋体"/>
                <w:color w:val="000000" w:themeColor="text1"/>
                <w:kern w:val="0"/>
                <w:sz w:val="32"/>
                <w:szCs w:val="32"/>
                <w14:textFill>
                  <w14:solidFill>
                    <w14:schemeClr w14:val="tx1"/>
                  </w14:solidFill>
                </w14:textFill>
              </w:rPr>
            </w:pPr>
          </w:p>
        </w:tc>
        <w:tc>
          <w:tcPr>
            <w:tcW w:w="426" w:type="dxa"/>
            <w:tcBorders>
              <w:top w:val="nil"/>
              <w:left w:val="nil"/>
              <w:bottom w:val="nil"/>
              <w:right w:val="nil"/>
            </w:tcBorders>
            <w:shd w:val="clear" w:color="auto" w:fill="auto"/>
            <w:noWrap/>
            <w:vAlign w:val="bottom"/>
          </w:tcPr>
          <w:p>
            <w:pPr>
              <w:widowControl/>
              <w:jc w:val="right"/>
              <w:rPr>
                <w:rFonts w:ascii="宋体" w:hAnsi="宋体"/>
                <w:color w:val="000000" w:themeColor="text1"/>
                <w:kern w:val="0"/>
                <w:sz w:val="32"/>
                <w:szCs w:val="32"/>
                <w14:textFill>
                  <w14:solidFill>
                    <w14:schemeClr w14:val="tx1"/>
                  </w14:solidFill>
                </w14:textFill>
              </w:rPr>
            </w:pPr>
          </w:p>
        </w:tc>
        <w:tc>
          <w:tcPr>
            <w:tcW w:w="1082" w:type="dxa"/>
            <w:tcBorders>
              <w:top w:val="nil"/>
              <w:left w:val="nil"/>
              <w:bottom w:val="nil"/>
              <w:right w:val="nil"/>
            </w:tcBorders>
            <w:shd w:val="clear" w:color="auto" w:fill="auto"/>
            <w:noWrap/>
            <w:vAlign w:val="bottom"/>
          </w:tcPr>
          <w:p>
            <w:pPr>
              <w:widowControl/>
              <w:ind w:right="-246" w:rightChars="-117"/>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单位：万元</w:t>
            </w:r>
          </w:p>
        </w:tc>
      </w:tr>
      <w:tr>
        <w:tblPrEx>
          <w:tblCellMar>
            <w:top w:w="0" w:type="dxa"/>
            <w:left w:w="108" w:type="dxa"/>
            <w:bottom w:w="0" w:type="dxa"/>
            <w:right w:w="108" w:type="dxa"/>
          </w:tblCellMar>
        </w:tblPrEx>
        <w:trPr>
          <w:trHeight w:val="249" w:hRule="atLeast"/>
        </w:trPr>
        <w:tc>
          <w:tcPr>
            <w:tcW w:w="42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w:t>
            </w:r>
          </w:p>
        </w:tc>
        <w:tc>
          <w:tcPr>
            <w:tcW w:w="4388"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本年收入</w:t>
            </w:r>
          </w:p>
        </w:tc>
        <w:tc>
          <w:tcPr>
            <w:tcW w:w="108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上年结转</w:t>
            </w:r>
          </w:p>
        </w:tc>
      </w:tr>
      <w:tr>
        <w:tblPrEx>
          <w:tblCellMar>
            <w:top w:w="0" w:type="dxa"/>
            <w:left w:w="108" w:type="dxa"/>
            <w:bottom w:w="0" w:type="dxa"/>
            <w:right w:w="108" w:type="dxa"/>
          </w:tblCellMar>
        </w:tblPrEx>
        <w:trPr>
          <w:trHeight w:val="1071" w:hRule="atLeast"/>
        </w:trPr>
        <w:tc>
          <w:tcPr>
            <w:tcW w:w="137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支出功能分类科目编码</w:t>
            </w:r>
          </w:p>
        </w:tc>
        <w:tc>
          <w:tcPr>
            <w:tcW w:w="292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科目名称</w:t>
            </w:r>
          </w:p>
        </w:tc>
        <w:tc>
          <w:tcPr>
            <w:tcW w:w="12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合计</w:t>
            </w:r>
          </w:p>
        </w:tc>
        <w:tc>
          <w:tcPr>
            <w:tcW w:w="11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一般公共预算</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政府性基金预算</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国有资本经营预算</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财政专户管理资金</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单位资金</w:t>
            </w:r>
          </w:p>
        </w:tc>
        <w:tc>
          <w:tcPr>
            <w:tcW w:w="108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62" w:hRule="atLeast"/>
        </w:trPr>
        <w:tc>
          <w:tcPr>
            <w:tcW w:w="137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2050203</w:t>
            </w:r>
          </w:p>
        </w:tc>
        <w:tc>
          <w:tcPr>
            <w:tcW w:w="292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[2050203]初中教育</w:t>
            </w:r>
          </w:p>
        </w:tc>
        <w:tc>
          <w:tcPr>
            <w:tcW w:w="129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1,242.91</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1,242.91</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0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62" w:hRule="atLeast"/>
        </w:trPr>
        <w:tc>
          <w:tcPr>
            <w:tcW w:w="137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2080502</w:t>
            </w:r>
          </w:p>
        </w:tc>
        <w:tc>
          <w:tcPr>
            <w:tcW w:w="292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[2080502]事业单位离退休</w:t>
            </w:r>
          </w:p>
        </w:tc>
        <w:tc>
          <w:tcPr>
            <w:tcW w:w="129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104.75</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104.75</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0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62" w:hRule="atLeast"/>
        </w:trPr>
        <w:tc>
          <w:tcPr>
            <w:tcW w:w="137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2080505</w:t>
            </w:r>
          </w:p>
        </w:tc>
        <w:tc>
          <w:tcPr>
            <w:tcW w:w="292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[2080505]机关事业单位基本养老保险缴费支出</w:t>
            </w:r>
          </w:p>
        </w:tc>
        <w:tc>
          <w:tcPr>
            <w:tcW w:w="129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164.10</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164.10</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0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62" w:hRule="atLeast"/>
        </w:trPr>
        <w:tc>
          <w:tcPr>
            <w:tcW w:w="137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2101102</w:t>
            </w:r>
          </w:p>
        </w:tc>
        <w:tc>
          <w:tcPr>
            <w:tcW w:w="292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[2101102]事业单位医疗</w:t>
            </w:r>
          </w:p>
        </w:tc>
        <w:tc>
          <w:tcPr>
            <w:tcW w:w="129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71.79</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71.79</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0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62" w:hRule="atLeast"/>
        </w:trPr>
        <w:tc>
          <w:tcPr>
            <w:tcW w:w="137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2210201</w:t>
            </w:r>
          </w:p>
        </w:tc>
        <w:tc>
          <w:tcPr>
            <w:tcW w:w="292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[2210201]住房公积金</w:t>
            </w:r>
          </w:p>
        </w:tc>
        <w:tc>
          <w:tcPr>
            <w:tcW w:w="129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146.52</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146.52</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0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62" w:hRule="atLeast"/>
        </w:trPr>
        <w:tc>
          <w:tcPr>
            <w:tcW w:w="137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2210202</w:t>
            </w:r>
          </w:p>
        </w:tc>
        <w:tc>
          <w:tcPr>
            <w:tcW w:w="292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[2210202]提租补贴</w:t>
            </w:r>
          </w:p>
        </w:tc>
        <w:tc>
          <w:tcPr>
            <w:tcW w:w="129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19.35</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19.35</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0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62" w:hRule="atLeast"/>
        </w:trPr>
        <w:tc>
          <w:tcPr>
            <w:tcW w:w="137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合计</w:t>
            </w:r>
          </w:p>
        </w:tc>
        <w:tc>
          <w:tcPr>
            <w:tcW w:w="292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29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1,749.43</w:t>
            </w:r>
          </w:p>
        </w:tc>
        <w:tc>
          <w:tcPr>
            <w:tcW w:w="115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1,749.43</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5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08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bl>
    <w:p>
      <w:pPr>
        <w:ind w:left="1438" w:leftChars="304" w:hanging="800" w:hangingChars="250"/>
        <w:jc w:val="center"/>
        <w:rPr>
          <w:rFonts w:ascii="宋体" w:hAnsi="宋体"/>
          <w:color w:val="000000" w:themeColor="text1"/>
          <w:sz w:val="32"/>
          <w:szCs w:val="32"/>
          <w14:textFill>
            <w14:solidFill>
              <w14:schemeClr w14:val="tx1"/>
            </w14:solidFill>
          </w14:textFill>
        </w:rPr>
      </w:pPr>
    </w:p>
    <w:p>
      <w:pPr>
        <w:ind w:left="1438" w:leftChars="304" w:hanging="800" w:hangingChars="250"/>
        <w:jc w:val="both"/>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三、大同市第十三中学校2022年预算支出总表</w:t>
      </w:r>
    </w:p>
    <w:tbl>
      <w:tblPr>
        <w:tblStyle w:val="7"/>
        <w:tblW w:w="5000" w:type="pct"/>
        <w:tblInd w:w="0" w:type="dxa"/>
        <w:tblLayout w:type="autofit"/>
        <w:tblCellMar>
          <w:top w:w="0" w:type="dxa"/>
          <w:left w:w="108" w:type="dxa"/>
          <w:bottom w:w="0" w:type="dxa"/>
          <w:right w:w="108" w:type="dxa"/>
        </w:tblCellMar>
      </w:tblPr>
      <w:tblGrid>
        <w:gridCol w:w="1371"/>
        <w:gridCol w:w="4941"/>
        <w:gridCol w:w="1056"/>
        <w:gridCol w:w="1056"/>
        <w:gridCol w:w="1430"/>
      </w:tblGrid>
      <w:tr>
        <w:tblPrEx>
          <w:tblCellMar>
            <w:top w:w="0" w:type="dxa"/>
            <w:left w:w="108" w:type="dxa"/>
            <w:bottom w:w="0" w:type="dxa"/>
            <w:right w:w="108" w:type="dxa"/>
          </w:tblCellMar>
        </w:tblPrEx>
        <w:trPr>
          <w:trHeight w:val="375" w:hRule="atLeast"/>
        </w:trPr>
        <w:tc>
          <w:tcPr>
            <w:tcW w:w="689" w:type="pct"/>
            <w:tcBorders>
              <w:top w:val="nil"/>
              <w:left w:val="nil"/>
              <w:bottom w:val="nil"/>
              <w:right w:val="nil"/>
            </w:tcBorders>
            <w:shd w:val="clear" w:color="auto" w:fill="auto"/>
            <w:noWrap/>
            <w:vAlign w:val="bottom"/>
          </w:tcPr>
          <w:p>
            <w:pPr>
              <w:widowControl/>
              <w:jc w:val="left"/>
              <w:rPr>
                <w:rFonts w:ascii="宋体" w:hAnsi="宋体" w:cs="宋体"/>
                <w:color w:val="000000" w:themeColor="text1"/>
                <w:kern w:val="0"/>
                <w:sz w:val="16"/>
                <w:szCs w:val="16"/>
                <w14:textFill>
                  <w14:solidFill>
                    <w14:schemeClr w14:val="tx1"/>
                  </w14:solidFill>
                </w14:textFill>
              </w:rPr>
            </w:pPr>
          </w:p>
        </w:tc>
        <w:tc>
          <w:tcPr>
            <w:tcW w:w="2470" w:type="pct"/>
            <w:tcBorders>
              <w:top w:val="nil"/>
              <w:left w:val="nil"/>
              <w:bottom w:val="nil"/>
              <w:right w:val="nil"/>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p>
        </w:tc>
        <w:tc>
          <w:tcPr>
            <w:tcW w:w="533" w:type="pct"/>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533" w:type="pct"/>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776" w:type="pct"/>
            <w:tcBorders>
              <w:top w:val="nil"/>
              <w:left w:val="nil"/>
              <w:bottom w:val="nil"/>
              <w:right w:val="nil"/>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部门公开表3</w:t>
            </w:r>
          </w:p>
        </w:tc>
      </w:tr>
      <w:tr>
        <w:tblPrEx>
          <w:tblCellMar>
            <w:top w:w="0" w:type="dxa"/>
            <w:left w:w="108" w:type="dxa"/>
            <w:bottom w:w="0" w:type="dxa"/>
            <w:right w:w="108" w:type="dxa"/>
          </w:tblCellMar>
        </w:tblPrEx>
        <w:trPr>
          <w:trHeight w:val="656" w:hRule="atLeast"/>
        </w:trPr>
        <w:tc>
          <w:tcPr>
            <w:tcW w:w="5000" w:type="pct"/>
            <w:gridSpan w:val="5"/>
            <w:tcBorders>
              <w:top w:val="nil"/>
              <w:left w:val="nil"/>
              <w:bottom w:val="nil"/>
              <w:right w:val="nil"/>
            </w:tcBorders>
            <w:shd w:val="clear" w:color="auto" w:fill="auto"/>
            <w:vAlign w:val="center"/>
          </w:tcPr>
          <w:p>
            <w:pPr>
              <w:widowControl/>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大同市第十三中学校2022年预算支出总表</w:t>
            </w:r>
          </w:p>
        </w:tc>
      </w:tr>
      <w:tr>
        <w:tblPrEx>
          <w:tblCellMar>
            <w:top w:w="0" w:type="dxa"/>
            <w:left w:w="108" w:type="dxa"/>
            <w:bottom w:w="0" w:type="dxa"/>
            <w:right w:w="108" w:type="dxa"/>
          </w:tblCellMar>
        </w:tblPrEx>
        <w:trPr>
          <w:trHeight w:val="459" w:hRule="atLeast"/>
        </w:trPr>
        <w:tc>
          <w:tcPr>
            <w:tcW w:w="689" w:type="pct"/>
            <w:tcBorders>
              <w:top w:val="nil"/>
              <w:left w:val="nil"/>
              <w:bottom w:val="nil"/>
              <w:right w:val="nil"/>
            </w:tcBorders>
            <w:shd w:val="clear" w:color="auto" w:fill="auto"/>
            <w:noWrap/>
            <w:vAlign w:val="bottom"/>
          </w:tcPr>
          <w:p>
            <w:pPr>
              <w:widowControl/>
              <w:jc w:val="center"/>
              <w:rPr>
                <w:rFonts w:ascii="宋体" w:hAnsi="宋体" w:cs="宋体"/>
                <w:color w:val="000000" w:themeColor="text1"/>
                <w:kern w:val="0"/>
                <w:sz w:val="32"/>
                <w:szCs w:val="32"/>
                <w14:textFill>
                  <w14:solidFill>
                    <w14:schemeClr w14:val="tx1"/>
                  </w14:solidFill>
                </w14:textFill>
              </w:rPr>
            </w:pPr>
          </w:p>
        </w:tc>
        <w:tc>
          <w:tcPr>
            <w:tcW w:w="2470" w:type="pct"/>
            <w:tcBorders>
              <w:top w:val="nil"/>
              <w:left w:val="nil"/>
              <w:bottom w:val="nil"/>
              <w:right w:val="nil"/>
            </w:tcBorders>
            <w:shd w:val="clear" w:color="auto" w:fill="auto"/>
            <w:noWrap/>
            <w:vAlign w:val="bottom"/>
          </w:tcPr>
          <w:p>
            <w:pPr>
              <w:widowControl/>
              <w:jc w:val="left"/>
              <w:rPr>
                <w:rFonts w:ascii="宋体" w:hAnsi="宋体"/>
                <w:color w:val="000000" w:themeColor="text1"/>
                <w:kern w:val="0"/>
                <w:sz w:val="32"/>
                <w:szCs w:val="32"/>
                <w14:textFill>
                  <w14:solidFill>
                    <w14:schemeClr w14:val="tx1"/>
                  </w14:solidFill>
                </w14:textFill>
              </w:rPr>
            </w:pPr>
          </w:p>
        </w:tc>
        <w:tc>
          <w:tcPr>
            <w:tcW w:w="533" w:type="pct"/>
            <w:tcBorders>
              <w:top w:val="nil"/>
              <w:left w:val="nil"/>
              <w:bottom w:val="nil"/>
              <w:right w:val="nil"/>
            </w:tcBorders>
            <w:shd w:val="clear" w:color="auto" w:fill="auto"/>
            <w:noWrap/>
            <w:vAlign w:val="bottom"/>
          </w:tcPr>
          <w:p>
            <w:pPr>
              <w:widowControl/>
              <w:jc w:val="left"/>
              <w:rPr>
                <w:rFonts w:ascii="宋体" w:hAnsi="宋体"/>
                <w:color w:val="000000" w:themeColor="text1"/>
                <w:kern w:val="0"/>
                <w:sz w:val="32"/>
                <w:szCs w:val="32"/>
                <w14:textFill>
                  <w14:solidFill>
                    <w14:schemeClr w14:val="tx1"/>
                  </w14:solidFill>
                </w14:textFill>
              </w:rPr>
            </w:pPr>
          </w:p>
        </w:tc>
        <w:tc>
          <w:tcPr>
            <w:tcW w:w="533" w:type="pct"/>
            <w:tcBorders>
              <w:top w:val="nil"/>
              <w:left w:val="nil"/>
              <w:bottom w:val="nil"/>
              <w:right w:val="nil"/>
            </w:tcBorders>
            <w:shd w:val="clear" w:color="auto" w:fill="auto"/>
            <w:noWrap/>
            <w:vAlign w:val="bottom"/>
          </w:tcPr>
          <w:p>
            <w:pPr>
              <w:widowControl/>
              <w:jc w:val="left"/>
              <w:rPr>
                <w:rFonts w:ascii="宋体" w:hAnsi="宋体"/>
                <w:color w:val="000000" w:themeColor="text1"/>
                <w:kern w:val="0"/>
                <w:sz w:val="32"/>
                <w:szCs w:val="32"/>
                <w14:textFill>
                  <w14:solidFill>
                    <w14:schemeClr w14:val="tx1"/>
                  </w14:solidFill>
                </w14:textFill>
              </w:rPr>
            </w:pPr>
          </w:p>
        </w:tc>
        <w:tc>
          <w:tcPr>
            <w:tcW w:w="776" w:type="pct"/>
            <w:tcBorders>
              <w:top w:val="nil"/>
              <w:left w:val="nil"/>
              <w:bottom w:val="nil"/>
              <w:right w:val="nil"/>
            </w:tcBorders>
            <w:shd w:val="clear" w:color="auto" w:fill="auto"/>
            <w:noWrap/>
            <w:vAlign w:val="bottom"/>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单位：万元</w:t>
            </w:r>
          </w:p>
        </w:tc>
      </w:tr>
      <w:tr>
        <w:tblPrEx>
          <w:tblCellMar>
            <w:top w:w="0" w:type="dxa"/>
            <w:left w:w="108" w:type="dxa"/>
            <w:bottom w:w="0" w:type="dxa"/>
            <w:right w:w="108" w:type="dxa"/>
          </w:tblCellMar>
        </w:tblPrEx>
        <w:trPr>
          <w:trHeight w:val="365" w:hRule="atLeast"/>
        </w:trPr>
        <w:tc>
          <w:tcPr>
            <w:tcW w:w="3159"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    目</w:t>
            </w:r>
          </w:p>
        </w:tc>
        <w:tc>
          <w:tcPr>
            <w:tcW w:w="1841"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2022年预算数</w:t>
            </w:r>
          </w:p>
        </w:tc>
      </w:tr>
      <w:tr>
        <w:tblPrEx>
          <w:tblCellMar>
            <w:top w:w="0" w:type="dxa"/>
            <w:left w:w="108" w:type="dxa"/>
            <w:bottom w:w="0" w:type="dxa"/>
            <w:right w:w="108" w:type="dxa"/>
          </w:tblCellMar>
        </w:tblPrEx>
        <w:trPr>
          <w:trHeight w:val="532" w:hRule="atLeast"/>
        </w:trPr>
        <w:tc>
          <w:tcPr>
            <w:tcW w:w="689" w:type="pc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支出功能分类科目编码</w:t>
            </w:r>
          </w:p>
        </w:tc>
        <w:tc>
          <w:tcPr>
            <w:tcW w:w="247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科目名称</w:t>
            </w:r>
          </w:p>
        </w:tc>
        <w:tc>
          <w:tcPr>
            <w:tcW w:w="5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合计</w:t>
            </w:r>
          </w:p>
        </w:tc>
        <w:tc>
          <w:tcPr>
            <w:tcW w:w="5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基本支出</w:t>
            </w:r>
          </w:p>
        </w:tc>
        <w:tc>
          <w:tcPr>
            <w:tcW w:w="77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项目支出</w:t>
            </w:r>
          </w:p>
        </w:tc>
      </w:tr>
      <w:tr>
        <w:tblPrEx>
          <w:tblCellMar>
            <w:top w:w="0" w:type="dxa"/>
            <w:left w:w="108" w:type="dxa"/>
            <w:bottom w:w="0" w:type="dxa"/>
            <w:right w:w="108" w:type="dxa"/>
          </w:tblCellMar>
        </w:tblPrEx>
        <w:trPr>
          <w:trHeight w:val="378" w:hRule="atLeast"/>
        </w:trPr>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2050203</w:t>
            </w:r>
          </w:p>
        </w:tc>
        <w:tc>
          <w:tcPr>
            <w:tcW w:w="247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[2050203]初中教育</w:t>
            </w:r>
          </w:p>
        </w:tc>
        <w:tc>
          <w:tcPr>
            <w:tcW w:w="53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1,242.91</w:t>
            </w:r>
          </w:p>
        </w:tc>
        <w:tc>
          <w:tcPr>
            <w:tcW w:w="53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1,153.11</w:t>
            </w:r>
          </w:p>
        </w:tc>
        <w:tc>
          <w:tcPr>
            <w:tcW w:w="77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89.80</w:t>
            </w:r>
          </w:p>
        </w:tc>
      </w:tr>
      <w:tr>
        <w:tblPrEx>
          <w:tblCellMar>
            <w:top w:w="0" w:type="dxa"/>
            <w:left w:w="108" w:type="dxa"/>
            <w:bottom w:w="0" w:type="dxa"/>
            <w:right w:w="108" w:type="dxa"/>
          </w:tblCellMar>
        </w:tblPrEx>
        <w:trPr>
          <w:trHeight w:val="378" w:hRule="atLeast"/>
        </w:trPr>
        <w:tc>
          <w:tcPr>
            <w:tcW w:w="689"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2080502</w:t>
            </w:r>
          </w:p>
        </w:tc>
        <w:tc>
          <w:tcPr>
            <w:tcW w:w="247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[2080502]事业单位离退休</w:t>
            </w:r>
          </w:p>
        </w:tc>
        <w:tc>
          <w:tcPr>
            <w:tcW w:w="53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104.75</w:t>
            </w:r>
          </w:p>
        </w:tc>
        <w:tc>
          <w:tcPr>
            <w:tcW w:w="53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104.75</w:t>
            </w:r>
          </w:p>
        </w:tc>
        <w:tc>
          <w:tcPr>
            <w:tcW w:w="776"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78" w:hRule="atLeast"/>
        </w:trPr>
        <w:tc>
          <w:tcPr>
            <w:tcW w:w="689"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2080505</w:t>
            </w:r>
          </w:p>
        </w:tc>
        <w:tc>
          <w:tcPr>
            <w:tcW w:w="247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[2080505]机关事业单位基本养老保险缴费支出</w:t>
            </w:r>
          </w:p>
        </w:tc>
        <w:tc>
          <w:tcPr>
            <w:tcW w:w="53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164.10</w:t>
            </w:r>
          </w:p>
        </w:tc>
        <w:tc>
          <w:tcPr>
            <w:tcW w:w="53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164.10</w:t>
            </w:r>
          </w:p>
        </w:tc>
        <w:tc>
          <w:tcPr>
            <w:tcW w:w="776"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78" w:hRule="atLeast"/>
        </w:trPr>
        <w:tc>
          <w:tcPr>
            <w:tcW w:w="689"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2101102</w:t>
            </w:r>
          </w:p>
        </w:tc>
        <w:tc>
          <w:tcPr>
            <w:tcW w:w="247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[2101102]事业单位医疗</w:t>
            </w:r>
          </w:p>
        </w:tc>
        <w:tc>
          <w:tcPr>
            <w:tcW w:w="53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71.79</w:t>
            </w:r>
          </w:p>
        </w:tc>
        <w:tc>
          <w:tcPr>
            <w:tcW w:w="53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71.79</w:t>
            </w:r>
          </w:p>
        </w:tc>
        <w:tc>
          <w:tcPr>
            <w:tcW w:w="776"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78" w:hRule="atLeast"/>
        </w:trPr>
        <w:tc>
          <w:tcPr>
            <w:tcW w:w="689"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2210201</w:t>
            </w:r>
          </w:p>
        </w:tc>
        <w:tc>
          <w:tcPr>
            <w:tcW w:w="247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[2210201]住房公积金</w:t>
            </w:r>
          </w:p>
        </w:tc>
        <w:tc>
          <w:tcPr>
            <w:tcW w:w="53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146.52</w:t>
            </w:r>
          </w:p>
        </w:tc>
        <w:tc>
          <w:tcPr>
            <w:tcW w:w="53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146.52</w:t>
            </w:r>
          </w:p>
        </w:tc>
        <w:tc>
          <w:tcPr>
            <w:tcW w:w="776"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78" w:hRule="atLeast"/>
        </w:trPr>
        <w:tc>
          <w:tcPr>
            <w:tcW w:w="689"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2210202</w:t>
            </w:r>
          </w:p>
        </w:tc>
        <w:tc>
          <w:tcPr>
            <w:tcW w:w="247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[2210202]提租补贴</w:t>
            </w:r>
          </w:p>
        </w:tc>
        <w:tc>
          <w:tcPr>
            <w:tcW w:w="53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19.35</w:t>
            </w:r>
          </w:p>
        </w:tc>
        <w:tc>
          <w:tcPr>
            <w:tcW w:w="53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19.35</w:t>
            </w:r>
          </w:p>
        </w:tc>
        <w:tc>
          <w:tcPr>
            <w:tcW w:w="776"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78" w:hRule="atLeast"/>
        </w:trPr>
        <w:tc>
          <w:tcPr>
            <w:tcW w:w="689"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合计</w:t>
            </w:r>
          </w:p>
        </w:tc>
        <w:tc>
          <w:tcPr>
            <w:tcW w:w="2470"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3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1,749.43</w:t>
            </w:r>
          </w:p>
        </w:tc>
        <w:tc>
          <w:tcPr>
            <w:tcW w:w="533"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1,659.63</w:t>
            </w:r>
          </w:p>
        </w:tc>
        <w:tc>
          <w:tcPr>
            <w:tcW w:w="776"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89.80</w:t>
            </w:r>
          </w:p>
        </w:tc>
      </w:tr>
    </w:tbl>
    <w:p>
      <w:pPr>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四、大同市第十三中学校2022年财政拨款收支总表</w:t>
      </w:r>
    </w:p>
    <w:tbl>
      <w:tblPr>
        <w:tblStyle w:val="7"/>
        <w:tblW w:w="9837" w:type="dxa"/>
        <w:tblInd w:w="108" w:type="dxa"/>
        <w:tblLayout w:type="autofit"/>
        <w:tblCellMar>
          <w:top w:w="0" w:type="dxa"/>
          <w:left w:w="108" w:type="dxa"/>
          <w:bottom w:w="0" w:type="dxa"/>
          <w:right w:w="108" w:type="dxa"/>
        </w:tblCellMar>
      </w:tblPr>
      <w:tblGrid>
        <w:gridCol w:w="1663"/>
        <w:gridCol w:w="1343"/>
        <w:gridCol w:w="1816"/>
        <w:gridCol w:w="1343"/>
        <w:gridCol w:w="1343"/>
        <w:gridCol w:w="839"/>
        <w:gridCol w:w="1490"/>
      </w:tblGrid>
      <w:tr>
        <w:tblPrEx>
          <w:tblCellMar>
            <w:top w:w="0" w:type="dxa"/>
            <w:left w:w="108" w:type="dxa"/>
            <w:bottom w:w="0" w:type="dxa"/>
            <w:right w:w="108" w:type="dxa"/>
          </w:tblCellMar>
        </w:tblPrEx>
        <w:trPr>
          <w:trHeight w:val="199" w:hRule="atLeast"/>
        </w:trPr>
        <w:tc>
          <w:tcPr>
            <w:tcW w:w="1663" w:type="dxa"/>
            <w:tcBorders>
              <w:top w:val="nil"/>
              <w:left w:val="nil"/>
              <w:bottom w:val="nil"/>
              <w:right w:val="nil"/>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p>
        </w:tc>
        <w:tc>
          <w:tcPr>
            <w:tcW w:w="1343" w:type="dxa"/>
            <w:tcBorders>
              <w:top w:val="nil"/>
              <w:left w:val="nil"/>
              <w:bottom w:val="nil"/>
              <w:right w:val="nil"/>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p>
        </w:tc>
        <w:tc>
          <w:tcPr>
            <w:tcW w:w="1816" w:type="dxa"/>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1343" w:type="dxa"/>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1343" w:type="dxa"/>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0" w:type="auto"/>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0" w:type="auto"/>
            <w:tcBorders>
              <w:top w:val="nil"/>
              <w:left w:val="nil"/>
              <w:bottom w:val="nil"/>
              <w:right w:val="nil"/>
            </w:tcBorders>
            <w:shd w:val="clear" w:color="auto" w:fill="auto"/>
            <w:noWrap/>
            <w:vAlign w:val="bottom"/>
          </w:tcPr>
          <w:p>
            <w:pPr>
              <w:widowControl/>
              <w:jc w:val="right"/>
              <w:rPr>
                <w:rFonts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部门公开表4</w:t>
            </w:r>
          </w:p>
        </w:tc>
      </w:tr>
      <w:tr>
        <w:tblPrEx>
          <w:tblCellMar>
            <w:top w:w="0" w:type="dxa"/>
            <w:left w:w="108" w:type="dxa"/>
            <w:bottom w:w="0" w:type="dxa"/>
            <w:right w:w="108" w:type="dxa"/>
          </w:tblCellMar>
        </w:tblPrEx>
        <w:trPr>
          <w:trHeight w:val="391" w:hRule="atLeast"/>
        </w:trPr>
        <w:tc>
          <w:tcPr>
            <w:tcW w:w="0" w:type="auto"/>
            <w:gridSpan w:val="7"/>
            <w:tcBorders>
              <w:top w:val="nil"/>
              <w:left w:val="nil"/>
              <w:bottom w:val="nil"/>
              <w:right w:val="nil"/>
            </w:tcBorders>
            <w:shd w:val="clear" w:color="auto" w:fill="auto"/>
            <w:vAlign w:val="center"/>
          </w:tcPr>
          <w:p>
            <w:pPr>
              <w:widowControl/>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大同市第十三中学校2022年财政拨款收支总表</w:t>
            </w:r>
          </w:p>
        </w:tc>
      </w:tr>
      <w:tr>
        <w:tblPrEx>
          <w:tblCellMar>
            <w:top w:w="0" w:type="dxa"/>
            <w:left w:w="108" w:type="dxa"/>
            <w:bottom w:w="0" w:type="dxa"/>
            <w:right w:w="108" w:type="dxa"/>
          </w:tblCellMar>
        </w:tblPrEx>
        <w:trPr>
          <w:trHeight w:val="186" w:hRule="atLeast"/>
        </w:trPr>
        <w:tc>
          <w:tcPr>
            <w:tcW w:w="1663" w:type="dxa"/>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32"/>
                <w:szCs w:val="32"/>
                <w14:textFill>
                  <w14:solidFill>
                    <w14:schemeClr w14:val="tx1"/>
                  </w14:solidFill>
                </w14:textFill>
              </w:rPr>
            </w:pPr>
          </w:p>
        </w:tc>
        <w:tc>
          <w:tcPr>
            <w:tcW w:w="1343" w:type="dxa"/>
            <w:tcBorders>
              <w:top w:val="nil"/>
              <w:left w:val="nil"/>
              <w:bottom w:val="nil"/>
              <w:right w:val="nil"/>
            </w:tcBorders>
            <w:shd w:val="clear" w:color="auto" w:fill="auto"/>
            <w:vAlign w:val="center"/>
          </w:tcPr>
          <w:p>
            <w:pPr>
              <w:widowControl/>
              <w:jc w:val="center"/>
              <w:rPr>
                <w:rFonts w:ascii="宋体" w:hAnsi="宋体"/>
                <w:color w:val="000000" w:themeColor="text1"/>
                <w:kern w:val="0"/>
                <w:sz w:val="32"/>
                <w:szCs w:val="32"/>
                <w14:textFill>
                  <w14:solidFill>
                    <w14:schemeClr w14:val="tx1"/>
                  </w14:solidFill>
                </w14:textFill>
              </w:rPr>
            </w:pPr>
          </w:p>
        </w:tc>
        <w:tc>
          <w:tcPr>
            <w:tcW w:w="1816" w:type="dxa"/>
            <w:tcBorders>
              <w:top w:val="nil"/>
              <w:left w:val="nil"/>
              <w:bottom w:val="nil"/>
              <w:right w:val="nil"/>
            </w:tcBorders>
            <w:shd w:val="clear" w:color="auto" w:fill="auto"/>
            <w:vAlign w:val="center"/>
          </w:tcPr>
          <w:p>
            <w:pPr>
              <w:widowControl/>
              <w:jc w:val="center"/>
              <w:rPr>
                <w:rFonts w:ascii="宋体" w:hAnsi="宋体"/>
                <w:color w:val="000000" w:themeColor="text1"/>
                <w:kern w:val="0"/>
                <w:sz w:val="32"/>
                <w:szCs w:val="32"/>
                <w14:textFill>
                  <w14:solidFill>
                    <w14:schemeClr w14:val="tx1"/>
                  </w14:solidFill>
                </w14:textFill>
              </w:rPr>
            </w:pPr>
          </w:p>
        </w:tc>
        <w:tc>
          <w:tcPr>
            <w:tcW w:w="1343" w:type="dxa"/>
            <w:tcBorders>
              <w:top w:val="nil"/>
              <w:left w:val="nil"/>
              <w:bottom w:val="nil"/>
              <w:right w:val="nil"/>
            </w:tcBorders>
            <w:shd w:val="clear" w:color="auto" w:fill="auto"/>
            <w:vAlign w:val="center"/>
          </w:tcPr>
          <w:p>
            <w:pPr>
              <w:widowControl/>
              <w:jc w:val="center"/>
              <w:rPr>
                <w:rFonts w:ascii="宋体" w:hAnsi="宋体"/>
                <w:color w:val="000000" w:themeColor="text1"/>
                <w:kern w:val="0"/>
                <w:sz w:val="32"/>
                <w:szCs w:val="32"/>
                <w14:textFill>
                  <w14:solidFill>
                    <w14:schemeClr w14:val="tx1"/>
                  </w14:solidFill>
                </w14:textFill>
              </w:rPr>
            </w:pPr>
          </w:p>
        </w:tc>
        <w:tc>
          <w:tcPr>
            <w:tcW w:w="3670" w:type="dxa"/>
            <w:gridSpan w:val="3"/>
            <w:tcBorders>
              <w:top w:val="nil"/>
              <w:left w:val="nil"/>
              <w:bottom w:val="single" w:color="auto" w:sz="4" w:space="0"/>
              <w:right w:val="nil"/>
            </w:tcBorders>
            <w:shd w:val="clear" w:color="auto" w:fill="auto"/>
            <w:vAlign w:val="center"/>
          </w:tcPr>
          <w:p>
            <w:pPr>
              <w:widowControl/>
              <w:jc w:val="righ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单位：万元</w:t>
            </w:r>
          </w:p>
        </w:tc>
      </w:tr>
      <w:tr>
        <w:tblPrEx>
          <w:tblCellMar>
            <w:top w:w="0" w:type="dxa"/>
            <w:left w:w="108" w:type="dxa"/>
            <w:bottom w:w="0" w:type="dxa"/>
            <w:right w:w="108" w:type="dxa"/>
          </w:tblCellMar>
        </w:tblPrEx>
        <w:trPr>
          <w:trHeight w:val="230"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收入</w:t>
            </w:r>
          </w:p>
        </w:tc>
        <w:tc>
          <w:tcPr>
            <w:tcW w:w="0" w:type="auto"/>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支出</w:t>
            </w:r>
          </w:p>
        </w:tc>
      </w:tr>
      <w:tr>
        <w:tblPrEx>
          <w:tblCellMar>
            <w:top w:w="0" w:type="dxa"/>
            <w:left w:w="108" w:type="dxa"/>
            <w:bottom w:w="0" w:type="dxa"/>
            <w:right w:w="108" w:type="dxa"/>
          </w:tblCellMar>
        </w:tblPrEx>
        <w:trPr>
          <w:trHeight w:val="230" w:hRule="atLeast"/>
        </w:trPr>
        <w:tc>
          <w:tcPr>
            <w:tcW w:w="166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w:t>
            </w:r>
          </w:p>
        </w:tc>
        <w:tc>
          <w:tcPr>
            <w:tcW w:w="134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金额</w:t>
            </w:r>
          </w:p>
        </w:tc>
        <w:tc>
          <w:tcPr>
            <w:tcW w:w="18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w:t>
            </w:r>
          </w:p>
        </w:tc>
        <w:tc>
          <w:tcPr>
            <w:tcW w:w="501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金额</w:t>
            </w:r>
          </w:p>
        </w:tc>
      </w:tr>
      <w:tr>
        <w:tblPrEx>
          <w:tblCellMar>
            <w:top w:w="0" w:type="dxa"/>
            <w:left w:w="108" w:type="dxa"/>
            <w:bottom w:w="0" w:type="dxa"/>
            <w:right w:w="108" w:type="dxa"/>
          </w:tblCellMar>
        </w:tblPrEx>
        <w:trPr>
          <w:trHeight w:val="378" w:hRule="atLeast"/>
        </w:trPr>
        <w:tc>
          <w:tcPr>
            <w:tcW w:w="16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3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8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13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小计</w:t>
            </w:r>
          </w:p>
        </w:tc>
        <w:tc>
          <w:tcPr>
            <w:tcW w:w="13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一般公共预算</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政府性基金预算</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国有资本经营预算</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一、一般公共预算</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1,749.43</w:t>
            </w:r>
          </w:p>
        </w:tc>
        <w:tc>
          <w:tcPr>
            <w:tcW w:w="181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一、一般公共服务支出</w:t>
            </w: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二、政府性基金预算</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二、外交支出</w:t>
            </w: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三、国有资本经营预算</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三、国防支出</w:t>
            </w: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四、公共安全支出</w:t>
            </w: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五、教育支出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1,242.91</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1,242.91</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六、科学技术支出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七、文化旅游体育与传媒支出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八、社会保障和就业支出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268.85</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268.85</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九、社会保险基金支出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十、卫生健康支出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71.79</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71.79</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十一、节能环保支出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nil"/>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nil"/>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十二、城乡社区支出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十三、农林水支出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十四、交通运输支出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十五、资源勘探工业信息等支出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十六、商业服务业等支出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十七、金融支出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十八、援助其他地区支出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十九、自然资源海洋气象等支出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二十、住房保障支出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165.87</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165.87</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二十一、粮油物资储备支出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二十二、国有资本经营预算支出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二十三、灾害防治及应急管理支出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二十四、预备费</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二十五、其他支出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二十六、转移性支出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二十七、债务还本支出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二十八、债务付息支出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二十九、债务发行费用支出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三十、抗疫特别国债安排的支出</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000000"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本年收入合计</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1,749.43</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本年支出合计</w:t>
            </w:r>
          </w:p>
        </w:tc>
        <w:tc>
          <w:tcPr>
            <w:tcW w:w="1343" w:type="dxa"/>
            <w:tcBorders>
              <w:top w:val="nil"/>
              <w:left w:val="nil"/>
              <w:bottom w:val="nil"/>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1,749.43</w:t>
            </w:r>
          </w:p>
        </w:tc>
        <w:tc>
          <w:tcPr>
            <w:tcW w:w="1343" w:type="dxa"/>
            <w:tcBorders>
              <w:top w:val="nil"/>
              <w:left w:val="nil"/>
              <w:bottom w:val="nil"/>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1,749.43</w:t>
            </w:r>
          </w:p>
        </w:tc>
        <w:tc>
          <w:tcPr>
            <w:tcW w:w="0" w:type="auto"/>
            <w:tcBorders>
              <w:top w:val="nil"/>
              <w:left w:val="single" w:color="auto" w:sz="4" w:space="0"/>
              <w:bottom w:val="nil"/>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上年财政拨款结转</w:t>
            </w:r>
          </w:p>
        </w:tc>
        <w:tc>
          <w:tcPr>
            <w:tcW w:w="1343" w:type="dxa"/>
            <w:tcBorders>
              <w:top w:val="nil"/>
              <w:left w:val="nil"/>
              <w:bottom w:val="nil"/>
              <w:right w:val="nil"/>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p>
        </w:tc>
        <w:tc>
          <w:tcPr>
            <w:tcW w:w="18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年终结转</w:t>
            </w:r>
          </w:p>
        </w:tc>
        <w:tc>
          <w:tcPr>
            <w:tcW w:w="1343"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一、一般公共预算</w:t>
            </w:r>
          </w:p>
        </w:tc>
        <w:tc>
          <w:tcPr>
            <w:tcW w:w="1343"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二、政府性基金预算</w:t>
            </w:r>
          </w:p>
        </w:tc>
        <w:tc>
          <w:tcPr>
            <w:tcW w:w="134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三、国有资本经营预算</w:t>
            </w:r>
          </w:p>
        </w:tc>
        <w:tc>
          <w:tcPr>
            <w:tcW w:w="134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343" w:type="dxa"/>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6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收入总计</w:t>
            </w:r>
          </w:p>
        </w:tc>
        <w:tc>
          <w:tcPr>
            <w:tcW w:w="13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1,749.43</w:t>
            </w:r>
          </w:p>
        </w:tc>
        <w:tc>
          <w:tcPr>
            <w:tcW w:w="1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支出总计</w:t>
            </w:r>
          </w:p>
        </w:tc>
        <w:tc>
          <w:tcPr>
            <w:tcW w:w="1343" w:type="dxa"/>
            <w:tcBorders>
              <w:top w:val="single" w:color="auto"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1,749.43</w:t>
            </w:r>
          </w:p>
        </w:tc>
        <w:tc>
          <w:tcPr>
            <w:tcW w:w="1343"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1,749.43</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bl>
    <w:p>
      <w:pPr>
        <w:ind w:firstLine="640" w:firstLineChars="200"/>
        <w:jc w:val="both"/>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五、大同市第十三中学校2022年一般公共预算支出预算表</w:t>
      </w:r>
    </w:p>
    <w:tbl>
      <w:tblPr>
        <w:tblStyle w:val="7"/>
        <w:tblW w:w="10168" w:type="dxa"/>
        <w:tblInd w:w="0" w:type="dxa"/>
        <w:tblLayout w:type="autofit"/>
        <w:tblCellMar>
          <w:top w:w="0" w:type="dxa"/>
          <w:left w:w="108" w:type="dxa"/>
          <w:bottom w:w="0" w:type="dxa"/>
          <w:right w:w="108" w:type="dxa"/>
        </w:tblCellMar>
      </w:tblPr>
      <w:tblGrid>
        <w:gridCol w:w="1238"/>
        <w:gridCol w:w="4130"/>
        <w:gridCol w:w="1600"/>
        <w:gridCol w:w="1600"/>
        <w:gridCol w:w="1600"/>
      </w:tblGrid>
      <w:tr>
        <w:tblPrEx>
          <w:tblCellMar>
            <w:top w:w="0" w:type="dxa"/>
            <w:left w:w="108" w:type="dxa"/>
            <w:bottom w:w="0" w:type="dxa"/>
            <w:right w:w="108" w:type="dxa"/>
          </w:tblCellMar>
        </w:tblPrEx>
        <w:trPr>
          <w:trHeight w:val="454" w:hRule="atLeast"/>
        </w:trPr>
        <w:tc>
          <w:tcPr>
            <w:tcW w:w="5368" w:type="dxa"/>
            <w:gridSpan w:val="2"/>
            <w:tcBorders>
              <w:top w:val="nil"/>
              <w:left w:val="nil"/>
              <w:bottom w:val="nil"/>
              <w:right w:val="nil"/>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p>
        </w:tc>
        <w:tc>
          <w:tcPr>
            <w:tcW w:w="1600" w:type="dxa"/>
            <w:tcBorders>
              <w:top w:val="nil"/>
              <w:left w:val="nil"/>
              <w:bottom w:val="nil"/>
              <w:right w:val="nil"/>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p>
        </w:tc>
        <w:tc>
          <w:tcPr>
            <w:tcW w:w="1600" w:type="dxa"/>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1600" w:type="dxa"/>
            <w:tcBorders>
              <w:top w:val="nil"/>
              <w:left w:val="nil"/>
              <w:bottom w:val="nil"/>
              <w:right w:val="nil"/>
            </w:tcBorders>
            <w:shd w:val="clear" w:color="auto" w:fill="auto"/>
            <w:noWrap/>
            <w:vAlign w:val="bottom"/>
          </w:tcPr>
          <w:p>
            <w:pPr>
              <w:widowControl/>
              <w:jc w:val="righ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部门公开表5</w:t>
            </w:r>
          </w:p>
        </w:tc>
      </w:tr>
      <w:tr>
        <w:tblPrEx>
          <w:tblCellMar>
            <w:top w:w="0" w:type="dxa"/>
            <w:left w:w="108" w:type="dxa"/>
            <w:bottom w:w="0" w:type="dxa"/>
            <w:right w:w="108" w:type="dxa"/>
          </w:tblCellMar>
        </w:tblPrEx>
        <w:trPr>
          <w:trHeight w:val="720" w:hRule="atLeast"/>
        </w:trPr>
        <w:tc>
          <w:tcPr>
            <w:tcW w:w="10168" w:type="dxa"/>
            <w:gridSpan w:val="5"/>
            <w:tcBorders>
              <w:top w:val="nil"/>
              <w:left w:val="nil"/>
              <w:bottom w:val="nil"/>
              <w:right w:val="nil"/>
            </w:tcBorders>
            <w:shd w:val="clear" w:color="auto" w:fill="auto"/>
            <w:noWrap/>
            <w:vAlign w:val="center"/>
          </w:tcPr>
          <w:p>
            <w:pPr>
              <w:widowControl/>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大同市第十三中学校2022年一般公共预算支出预算表</w:t>
            </w:r>
          </w:p>
        </w:tc>
      </w:tr>
      <w:tr>
        <w:tblPrEx>
          <w:tblCellMar>
            <w:top w:w="0" w:type="dxa"/>
            <w:left w:w="108" w:type="dxa"/>
            <w:bottom w:w="0" w:type="dxa"/>
            <w:right w:w="108" w:type="dxa"/>
          </w:tblCellMar>
        </w:tblPrEx>
        <w:trPr>
          <w:trHeight w:val="481" w:hRule="atLeast"/>
        </w:trPr>
        <w:tc>
          <w:tcPr>
            <w:tcW w:w="1238" w:type="dxa"/>
            <w:tcBorders>
              <w:top w:val="nil"/>
              <w:left w:val="nil"/>
              <w:bottom w:val="nil"/>
              <w:right w:val="nil"/>
            </w:tcBorders>
            <w:shd w:val="clear" w:color="auto" w:fill="auto"/>
            <w:noWrap/>
            <w:vAlign w:val="bottom"/>
          </w:tcPr>
          <w:p>
            <w:pPr>
              <w:widowControl/>
              <w:jc w:val="center"/>
              <w:rPr>
                <w:rFonts w:ascii="宋体" w:hAnsi="宋体" w:cs="宋体"/>
                <w:color w:val="000000" w:themeColor="text1"/>
                <w:kern w:val="0"/>
                <w:sz w:val="32"/>
                <w:szCs w:val="32"/>
                <w14:textFill>
                  <w14:solidFill>
                    <w14:schemeClr w14:val="tx1"/>
                  </w14:solidFill>
                </w14:textFill>
              </w:rPr>
            </w:pPr>
          </w:p>
        </w:tc>
        <w:tc>
          <w:tcPr>
            <w:tcW w:w="4130" w:type="dxa"/>
            <w:tcBorders>
              <w:top w:val="nil"/>
              <w:left w:val="nil"/>
              <w:bottom w:val="nil"/>
              <w:right w:val="nil"/>
            </w:tcBorders>
            <w:shd w:val="clear" w:color="auto" w:fill="auto"/>
            <w:noWrap/>
            <w:vAlign w:val="bottom"/>
          </w:tcPr>
          <w:p>
            <w:pPr>
              <w:widowControl/>
              <w:jc w:val="center"/>
              <w:rPr>
                <w:rFonts w:ascii="宋体" w:hAnsi="宋体"/>
                <w:color w:val="000000" w:themeColor="text1"/>
                <w:kern w:val="0"/>
                <w:sz w:val="32"/>
                <w:szCs w:val="32"/>
                <w14:textFill>
                  <w14:solidFill>
                    <w14:schemeClr w14:val="tx1"/>
                  </w14:solidFill>
                </w14:textFill>
              </w:rPr>
            </w:pPr>
          </w:p>
        </w:tc>
        <w:tc>
          <w:tcPr>
            <w:tcW w:w="1600" w:type="dxa"/>
            <w:tcBorders>
              <w:top w:val="nil"/>
              <w:left w:val="nil"/>
              <w:bottom w:val="nil"/>
              <w:right w:val="nil"/>
            </w:tcBorders>
            <w:shd w:val="clear" w:color="auto" w:fill="auto"/>
            <w:noWrap/>
            <w:vAlign w:val="bottom"/>
          </w:tcPr>
          <w:p>
            <w:pPr>
              <w:widowControl/>
              <w:jc w:val="center"/>
              <w:rPr>
                <w:rFonts w:ascii="宋体" w:hAnsi="宋体"/>
                <w:color w:val="000000" w:themeColor="text1"/>
                <w:kern w:val="0"/>
                <w:sz w:val="32"/>
                <w:szCs w:val="32"/>
                <w14:textFill>
                  <w14:solidFill>
                    <w14:schemeClr w14:val="tx1"/>
                  </w14:solidFill>
                </w14:textFill>
              </w:rPr>
            </w:pPr>
          </w:p>
        </w:tc>
        <w:tc>
          <w:tcPr>
            <w:tcW w:w="1600" w:type="dxa"/>
            <w:tcBorders>
              <w:top w:val="nil"/>
              <w:left w:val="nil"/>
              <w:bottom w:val="nil"/>
              <w:right w:val="nil"/>
            </w:tcBorders>
            <w:shd w:val="clear" w:color="auto" w:fill="auto"/>
            <w:noWrap/>
            <w:vAlign w:val="bottom"/>
          </w:tcPr>
          <w:p>
            <w:pPr>
              <w:widowControl/>
              <w:jc w:val="center"/>
              <w:rPr>
                <w:rFonts w:ascii="宋体" w:hAnsi="宋体"/>
                <w:color w:val="000000" w:themeColor="text1"/>
                <w:kern w:val="0"/>
                <w:sz w:val="32"/>
                <w:szCs w:val="32"/>
                <w14:textFill>
                  <w14:solidFill>
                    <w14:schemeClr w14:val="tx1"/>
                  </w14:solidFill>
                </w14:textFill>
              </w:rPr>
            </w:pPr>
          </w:p>
        </w:tc>
        <w:tc>
          <w:tcPr>
            <w:tcW w:w="1600" w:type="dxa"/>
            <w:tcBorders>
              <w:top w:val="nil"/>
              <w:left w:val="nil"/>
              <w:bottom w:val="nil"/>
              <w:right w:val="nil"/>
            </w:tcBorders>
            <w:shd w:val="clear" w:color="auto" w:fill="auto"/>
            <w:noWrap/>
            <w:vAlign w:val="bottom"/>
          </w:tcPr>
          <w:p>
            <w:pPr>
              <w:widowControl/>
              <w:jc w:val="righ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单位:万元</w:t>
            </w:r>
          </w:p>
        </w:tc>
      </w:tr>
      <w:tr>
        <w:tblPrEx>
          <w:tblCellMar>
            <w:top w:w="0" w:type="dxa"/>
            <w:left w:w="108" w:type="dxa"/>
            <w:bottom w:w="0" w:type="dxa"/>
            <w:right w:w="108" w:type="dxa"/>
          </w:tblCellMar>
        </w:tblPrEx>
        <w:trPr>
          <w:trHeight w:val="481" w:hRule="atLeast"/>
        </w:trPr>
        <w:tc>
          <w:tcPr>
            <w:tcW w:w="536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w:t>
            </w:r>
          </w:p>
        </w:tc>
        <w:tc>
          <w:tcPr>
            <w:tcW w:w="480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2022年预算数</w:t>
            </w:r>
          </w:p>
        </w:tc>
      </w:tr>
      <w:tr>
        <w:tblPrEx>
          <w:tblCellMar>
            <w:top w:w="0" w:type="dxa"/>
            <w:left w:w="108" w:type="dxa"/>
            <w:bottom w:w="0" w:type="dxa"/>
            <w:right w:w="108" w:type="dxa"/>
          </w:tblCellMar>
        </w:tblPrEx>
        <w:trPr>
          <w:trHeight w:val="497" w:hRule="atLeast"/>
        </w:trPr>
        <w:tc>
          <w:tcPr>
            <w:tcW w:w="123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科目编码</w:t>
            </w:r>
          </w:p>
        </w:tc>
        <w:tc>
          <w:tcPr>
            <w:tcW w:w="41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科目名称</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合计</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基本支出</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项目支出</w:t>
            </w:r>
          </w:p>
        </w:tc>
      </w:tr>
      <w:tr>
        <w:tblPrEx>
          <w:tblCellMar>
            <w:top w:w="0" w:type="dxa"/>
            <w:left w:w="108" w:type="dxa"/>
            <w:bottom w:w="0" w:type="dxa"/>
            <w:right w:w="108" w:type="dxa"/>
          </w:tblCellMar>
        </w:tblPrEx>
        <w:trPr>
          <w:trHeight w:val="436" w:hRule="atLeast"/>
        </w:trPr>
        <w:tc>
          <w:tcPr>
            <w:tcW w:w="1238"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2050203</w:t>
            </w:r>
          </w:p>
        </w:tc>
        <w:tc>
          <w:tcPr>
            <w:tcW w:w="413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[2050203]初中教育</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1,242.91</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1,153.11</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89.80</w:t>
            </w:r>
          </w:p>
        </w:tc>
      </w:tr>
      <w:tr>
        <w:tblPrEx>
          <w:tblCellMar>
            <w:top w:w="0" w:type="dxa"/>
            <w:left w:w="108" w:type="dxa"/>
            <w:bottom w:w="0" w:type="dxa"/>
            <w:right w:w="108" w:type="dxa"/>
          </w:tblCellMar>
        </w:tblPrEx>
        <w:trPr>
          <w:trHeight w:val="436" w:hRule="atLeast"/>
        </w:trPr>
        <w:tc>
          <w:tcPr>
            <w:tcW w:w="1238"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2080502</w:t>
            </w:r>
          </w:p>
        </w:tc>
        <w:tc>
          <w:tcPr>
            <w:tcW w:w="413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[2080502]事业单位离退休</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104.75</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104.75</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1238"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2080505</w:t>
            </w:r>
          </w:p>
        </w:tc>
        <w:tc>
          <w:tcPr>
            <w:tcW w:w="413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[2080505]机关事业单位基本养老保险缴费支出</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164.10</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164.10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1238"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2101102</w:t>
            </w:r>
          </w:p>
        </w:tc>
        <w:tc>
          <w:tcPr>
            <w:tcW w:w="413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[2101102]事业单位医疗</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71.79</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71.79</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1238"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2210201</w:t>
            </w:r>
          </w:p>
        </w:tc>
        <w:tc>
          <w:tcPr>
            <w:tcW w:w="413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[2210201]住房公积金</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146.52</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146.52</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1238"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2210202</w:t>
            </w:r>
          </w:p>
        </w:tc>
        <w:tc>
          <w:tcPr>
            <w:tcW w:w="413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[2210202]提租补贴</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19.35</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19.35</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1238" w:type="dxa"/>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1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合计</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1,749.43</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1,659.63</w:t>
            </w:r>
          </w:p>
        </w:tc>
        <w:tc>
          <w:tcPr>
            <w:tcW w:w="16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89.80</w:t>
            </w:r>
          </w:p>
        </w:tc>
      </w:tr>
    </w:tbl>
    <w:p>
      <w:pPr>
        <w:ind w:right="-143" w:rightChars="-68"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六、大同市第十三中学校202</w:t>
      </w:r>
      <w:r>
        <w:rPr>
          <w:rFonts w:ascii="宋体" w:hAnsi="宋体"/>
          <w:color w:val="000000" w:themeColor="text1"/>
          <w:sz w:val="32"/>
          <w:szCs w:val="32"/>
          <w14:textFill>
            <w14:solidFill>
              <w14:schemeClr w14:val="tx1"/>
            </w14:solidFill>
          </w14:textFill>
        </w:rPr>
        <w:t>2</w:t>
      </w:r>
      <w:r>
        <w:rPr>
          <w:rFonts w:hint="eastAsia" w:ascii="宋体" w:hAnsi="宋体"/>
          <w:color w:val="000000" w:themeColor="text1"/>
          <w:sz w:val="32"/>
          <w:szCs w:val="32"/>
          <w14:textFill>
            <w14:solidFill>
              <w14:schemeClr w14:val="tx1"/>
            </w14:solidFill>
          </w14:textFill>
        </w:rPr>
        <w:t>年一般公共预算安排基本支出分经济科目表</w:t>
      </w:r>
    </w:p>
    <w:tbl>
      <w:tblPr>
        <w:tblStyle w:val="7"/>
        <w:tblW w:w="10150" w:type="dxa"/>
        <w:tblInd w:w="108" w:type="dxa"/>
        <w:tblLayout w:type="autofit"/>
        <w:tblCellMar>
          <w:top w:w="0" w:type="dxa"/>
          <w:left w:w="108" w:type="dxa"/>
          <w:bottom w:w="0" w:type="dxa"/>
          <w:right w:w="108" w:type="dxa"/>
        </w:tblCellMar>
      </w:tblPr>
      <w:tblGrid>
        <w:gridCol w:w="2530"/>
        <w:gridCol w:w="3300"/>
        <w:gridCol w:w="4320"/>
      </w:tblGrid>
      <w:tr>
        <w:tblPrEx>
          <w:tblCellMar>
            <w:top w:w="0" w:type="dxa"/>
            <w:left w:w="108" w:type="dxa"/>
            <w:bottom w:w="0" w:type="dxa"/>
            <w:right w:w="108" w:type="dxa"/>
          </w:tblCellMar>
        </w:tblPrEx>
        <w:trPr>
          <w:trHeight w:val="448" w:hRule="atLeast"/>
        </w:trPr>
        <w:tc>
          <w:tcPr>
            <w:tcW w:w="2530" w:type="dxa"/>
            <w:tcBorders>
              <w:top w:val="nil"/>
              <w:left w:val="nil"/>
              <w:bottom w:val="nil"/>
              <w:right w:val="nil"/>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p>
        </w:tc>
        <w:tc>
          <w:tcPr>
            <w:tcW w:w="3300" w:type="dxa"/>
            <w:tcBorders>
              <w:top w:val="nil"/>
              <w:left w:val="nil"/>
              <w:bottom w:val="nil"/>
              <w:right w:val="nil"/>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p>
        </w:tc>
        <w:tc>
          <w:tcPr>
            <w:tcW w:w="4320" w:type="dxa"/>
            <w:tcBorders>
              <w:top w:val="nil"/>
              <w:left w:val="nil"/>
              <w:bottom w:val="nil"/>
              <w:right w:val="nil"/>
            </w:tcBorders>
            <w:shd w:val="clear" w:color="auto" w:fill="auto"/>
            <w:noWrap/>
            <w:vAlign w:val="bottom"/>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部门公开表6</w:t>
            </w:r>
          </w:p>
        </w:tc>
      </w:tr>
      <w:tr>
        <w:tblPrEx>
          <w:tblCellMar>
            <w:top w:w="0" w:type="dxa"/>
            <w:left w:w="108" w:type="dxa"/>
            <w:bottom w:w="0" w:type="dxa"/>
            <w:right w:w="108" w:type="dxa"/>
          </w:tblCellMar>
        </w:tblPrEx>
        <w:trPr>
          <w:trHeight w:val="826" w:hRule="atLeast"/>
        </w:trPr>
        <w:tc>
          <w:tcPr>
            <w:tcW w:w="10150" w:type="dxa"/>
            <w:gridSpan w:val="3"/>
            <w:tcBorders>
              <w:top w:val="nil"/>
              <w:left w:val="nil"/>
              <w:bottom w:val="nil"/>
              <w:right w:val="nil"/>
            </w:tcBorders>
            <w:shd w:val="clear" w:color="auto" w:fill="auto"/>
            <w:noWrap/>
            <w:vAlign w:val="center"/>
          </w:tcPr>
          <w:p>
            <w:pPr>
              <w:widowControl/>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大同市第十三中学校2022年一般公共预算安排基本支出分经济科目表</w:t>
            </w:r>
          </w:p>
        </w:tc>
      </w:tr>
      <w:tr>
        <w:tblPrEx>
          <w:tblCellMar>
            <w:top w:w="0" w:type="dxa"/>
            <w:left w:w="108" w:type="dxa"/>
            <w:bottom w:w="0" w:type="dxa"/>
            <w:right w:w="108" w:type="dxa"/>
          </w:tblCellMar>
        </w:tblPrEx>
        <w:trPr>
          <w:trHeight w:val="360" w:hRule="atLeast"/>
        </w:trPr>
        <w:tc>
          <w:tcPr>
            <w:tcW w:w="2530" w:type="dxa"/>
            <w:tcBorders>
              <w:top w:val="nil"/>
              <w:left w:val="nil"/>
              <w:bottom w:val="nil"/>
              <w:right w:val="nil"/>
            </w:tcBorders>
            <w:shd w:val="clear" w:color="auto" w:fill="auto"/>
            <w:noWrap/>
            <w:vAlign w:val="center"/>
          </w:tcPr>
          <w:p>
            <w:pPr>
              <w:widowControl/>
              <w:jc w:val="center"/>
              <w:rPr>
                <w:rFonts w:ascii="宋体" w:hAnsi="宋体" w:cs="宋体"/>
                <w:color w:val="000000" w:themeColor="text1"/>
                <w:kern w:val="0"/>
                <w:sz w:val="32"/>
                <w:szCs w:val="32"/>
                <w14:textFill>
                  <w14:solidFill>
                    <w14:schemeClr w14:val="tx1"/>
                  </w14:solidFill>
                </w14:textFill>
              </w:rPr>
            </w:pPr>
          </w:p>
        </w:tc>
        <w:tc>
          <w:tcPr>
            <w:tcW w:w="3300" w:type="dxa"/>
            <w:tcBorders>
              <w:top w:val="nil"/>
              <w:left w:val="nil"/>
              <w:bottom w:val="nil"/>
              <w:right w:val="nil"/>
            </w:tcBorders>
            <w:shd w:val="clear" w:color="auto" w:fill="auto"/>
            <w:noWrap/>
            <w:vAlign w:val="bottom"/>
          </w:tcPr>
          <w:p>
            <w:pPr>
              <w:widowControl/>
              <w:jc w:val="left"/>
              <w:rPr>
                <w:rFonts w:ascii="宋体" w:hAnsi="宋体"/>
                <w:color w:val="000000" w:themeColor="text1"/>
                <w:kern w:val="0"/>
                <w:sz w:val="32"/>
                <w:szCs w:val="32"/>
                <w14:textFill>
                  <w14:solidFill>
                    <w14:schemeClr w14:val="tx1"/>
                  </w14:solidFill>
                </w14:textFill>
              </w:rPr>
            </w:pPr>
          </w:p>
        </w:tc>
        <w:tc>
          <w:tcPr>
            <w:tcW w:w="4320" w:type="dxa"/>
            <w:tcBorders>
              <w:top w:val="nil"/>
              <w:left w:val="nil"/>
              <w:bottom w:val="nil"/>
              <w:right w:val="nil"/>
            </w:tcBorders>
            <w:shd w:val="clear" w:color="auto" w:fill="auto"/>
            <w:noWrap/>
            <w:vAlign w:val="center"/>
          </w:tcPr>
          <w:p>
            <w:pPr>
              <w:widowControl/>
              <w:jc w:val="righ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单位：万元</w:t>
            </w:r>
          </w:p>
        </w:tc>
      </w:tr>
      <w:tr>
        <w:tblPrEx>
          <w:tblCellMar>
            <w:top w:w="0" w:type="dxa"/>
            <w:left w:w="108" w:type="dxa"/>
            <w:bottom w:w="0" w:type="dxa"/>
            <w:right w:w="108" w:type="dxa"/>
          </w:tblCellMar>
        </w:tblPrEx>
        <w:trPr>
          <w:trHeight w:val="542" w:hRule="atLeast"/>
        </w:trPr>
        <w:tc>
          <w:tcPr>
            <w:tcW w:w="25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经济科目名称</w:t>
            </w:r>
          </w:p>
        </w:tc>
        <w:tc>
          <w:tcPr>
            <w:tcW w:w="3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预算数</w:t>
            </w:r>
          </w:p>
        </w:tc>
        <w:tc>
          <w:tcPr>
            <w:tcW w:w="4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备注</w:t>
            </w:r>
          </w:p>
        </w:tc>
      </w:tr>
      <w:tr>
        <w:tblPrEx>
          <w:tblCellMar>
            <w:top w:w="0" w:type="dxa"/>
            <w:left w:w="108" w:type="dxa"/>
            <w:bottom w:w="0" w:type="dxa"/>
            <w:right w:w="108" w:type="dxa"/>
          </w:tblCellMar>
        </w:tblPrEx>
        <w:trPr>
          <w:trHeight w:val="436" w:hRule="atLeast"/>
        </w:trPr>
        <w:tc>
          <w:tcPr>
            <w:tcW w:w="253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[50501]工资福利支出</w:t>
            </w:r>
          </w:p>
        </w:tc>
        <w:tc>
          <w:tcPr>
            <w:tcW w:w="33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1,491.12</w:t>
            </w:r>
          </w:p>
        </w:tc>
        <w:tc>
          <w:tcPr>
            <w:tcW w:w="43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253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[5050299]商品和服务支出</w:t>
            </w:r>
          </w:p>
        </w:tc>
        <w:tc>
          <w:tcPr>
            <w:tcW w:w="33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68.87</w:t>
            </w:r>
          </w:p>
        </w:tc>
        <w:tc>
          <w:tcPr>
            <w:tcW w:w="43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253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[50901]社会福利和救助</w:t>
            </w:r>
          </w:p>
        </w:tc>
        <w:tc>
          <w:tcPr>
            <w:tcW w:w="33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3.53</w:t>
            </w:r>
          </w:p>
        </w:tc>
        <w:tc>
          <w:tcPr>
            <w:tcW w:w="43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253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[50905]离退休费</w:t>
            </w:r>
          </w:p>
        </w:tc>
        <w:tc>
          <w:tcPr>
            <w:tcW w:w="33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96.10</w:t>
            </w:r>
          </w:p>
        </w:tc>
        <w:tc>
          <w:tcPr>
            <w:tcW w:w="43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25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合计</w:t>
            </w:r>
          </w:p>
        </w:tc>
        <w:tc>
          <w:tcPr>
            <w:tcW w:w="33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1,659.63</w:t>
            </w:r>
          </w:p>
        </w:tc>
        <w:tc>
          <w:tcPr>
            <w:tcW w:w="43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bl>
    <w:p>
      <w:pPr>
        <w:ind w:firstLine="640" w:firstLineChars="200"/>
        <w:jc w:val="both"/>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七、大同市第十三中学校2022年政府性基金预算收入预算表</w:t>
      </w:r>
    </w:p>
    <w:tbl>
      <w:tblPr>
        <w:tblStyle w:val="7"/>
        <w:tblW w:w="9980" w:type="dxa"/>
        <w:tblInd w:w="108" w:type="dxa"/>
        <w:tblLayout w:type="autofit"/>
        <w:tblCellMar>
          <w:top w:w="0" w:type="dxa"/>
          <w:left w:w="108" w:type="dxa"/>
          <w:bottom w:w="0" w:type="dxa"/>
          <w:right w:w="108" w:type="dxa"/>
        </w:tblCellMar>
      </w:tblPr>
      <w:tblGrid>
        <w:gridCol w:w="2240"/>
        <w:gridCol w:w="4340"/>
        <w:gridCol w:w="3400"/>
      </w:tblGrid>
      <w:tr>
        <w:tblPrEx>
          <w:tblCellMar>
            <w:top w:w="0" w:type="dxa"/>
            <w:left w:w="108" w:type="dxa"/>
            <w:bottom w:w="0" w:type="dxa"/>
            <w:right w:w="108" w:type="dxa"/>
          </w:tblCellMar>
        </w:tblPrEx>
        <w:trPr>
          <w:trHeight w:val="454" w:hRule="atLeast"/>
        </w:trPr>
        <w:tc>
          <w:tcPr>
            <w:tcW w:w="2240" w:type="dxa"/>
            <w:tcBorders>
              <w:top w:val="nil"/>
              <w:left w:val="nil"/>
              <w:bottom w:val="nil"/>
              <w:right w:val="nil"/>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p>
        </w:tc>
        <w:tc>
          <w:tcPr>
            <w:tcW w:w="4340" w:type="dxa"/>
            <w:tcBorders>
              <w:top w:val="nil"/>
              <w:left w:val="nil"/>
              <w:bottom w:val="nil"/>
              <w:right w:val="nil"/>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p>
        </w:tc>
        <w:tc>
          <w:tcPr>
            <w:tcW w:w="3400" w:type="dxa"/>
            <w:tcBorders>
              <w:top w:val="nil"/>
              <w:left w:val="nil"/>
              <w:bottom w:val="nil"/>
              <w:right w:val="nil"/>
            </w:tcBorders>
            <w:shd w:val="clear" w:color="auto" w:fill="auto"/>
            <w:noWrap/>
            <w:vAlign w:val="bottom"/>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部门公开表7</w:t>
            </w:r>
          </w:p>
        </w:tc>
      </w:tr>
      <w:tr>
        <w:tblPrEx>
          <w:tblCellMar>
            <w:top w:w="0" w:type="dxa"/>
            <w:left w:w="108" w:type="dxa"/>
            <w:bottom w:w="0" w:type="dxa"/>
            <w:right w:w="108" w:type="dxa"/>
          </w:tblCellMar>
        </w:tblPrEx>
        <w:trPr>
          <w:trHeight w:val="757" w:hRule="atLeast"/>
        </w:trPr>
        <w:tc>
          <w:tcPr>
            <w:tcW w:w="9980" w:type="dxa"/>
            <w:gridSpan w:val="3"/>
            <w:tcBorders>
              <w:top w:val="nil"/>
              <w:left w:val="nil"/>
              <w:bottom w:val="nil"/>
              <w:right w:val="nil"/>
            </w:tcBorders>
            <w:shd w:val="clear" w:color="auto" w:fill="auto"/>
            <w:noWrap/>
            <w:vAlign w:val="center"/>
          </w:tcPr>
          <w:p>
            <w:pPr>
              <w:widowControl/>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大同市第十三中学校2022年政府性基金预算收入表</w:t>
            </w:r>
          </w:p>
        </w:tc>
      </w:tr>
      <w:tr>
        <w:tblPrEx>
          <w:tblCellMar>
            <w:top w:w="0" w:type="dxa"/>
            <w:left w:w="108" w:type="dxa"/>
            <w:bottom w:w="0" w:type="dxa"/>
            <w:right w:w="108" w:type="dxa"/>
          </w:tblCellMar>
        </w:tblPrEx>
        <w:trPr>
          <w:trHeight w:val="493" w:hRule="atLeast"/>
        </w:trPr>
        <w:tc>
          <w:tcPr>
            <w:tcW w:w="2240" w:type="dxa"/>
            <w:tcBorders>
              <w:top w:val="nil"/>
              <w:left w:val="nil"/>
              <w:bottom w:val="nil"/>
              <w:right w:val="nil"/>
            </w:tcBorders>
            <w:shd w:val="clear" w:color="auto" w:fill="auto"/>
            <w:noWrap/>
            <w:vAlign w:val="bottom"/>
          </w:tcPr>
          <w:p>
            <w:pPr>
              <w:widowControl/>
              <w:jc w:val="center"/>
              <w:rPr>
                <w:rFonts w:ascii="宋体" w:hAnsi="宋体" w:cs="宋体"/>
                <w:color w:val="000000" w:themeColor="text1"/>
                <w:kern w:val="0"/>
                <w:sz w:val="32"/>
                <w:szCs w:val="32"/>
                <w14:textFill>
                  <w14:solidFill>
                    <w14:schemeClr w14:val="tx1"/>
                  </w14:solidFill>
                </w14:textFill>
              </w:rPr>
            </w:pPr>
          </w:p>
        </w:tc>
        <w:tc>
          <w:tcPr>
            <w:tcW w:w="4340" w:type="dxa"/>
            <w:tcBorders>
              <w:top w:val="nil"/>
              <w:left w:val="nil"/>
              <w:bottom w:val="nil"/>
              <w:right w:val="nil"/>
            </w:tcBorders>
            <w:shd w:val="clear" w:color="auto" w:fill="auto"/>
            <w:noWrap/>
            <w:vAlign w:val="bottom"/>
          </w:tcPr>
          <w:p>
            <w:pPr>
              <w:widowControl/>
              <w:jc w:val="left"/>
              <w:rPr>
                <w:rFonts w:ascii="宋体" w:hAnsi="宋体"/>
                <w:color w:val="000000" w:themeColor="text1"/>
                <w:kern w:val="0"/>
                <w:sz w:val="32"/>
                <w:szCs w:val="32"/>
                <w14:textFill>
                  <w14:solidFill>
                    <w14:schemeClr w14:val="tx1"/>
                  </w14:solidFill>
                </w14:textFill>
              </w:rPr>
            </w:pPr>
          </w:p>
        </w:tc>
        <w:tc>
          <w:tcPr>
            <w:tcW w:w="3400" w:type="dxa"/>
            <w:tcBorders>
              <w:top w:val="nil"/>
              <w:left w:val="nil"/>
              <w:bottom w:val="nil"/>
              <w:right w:val="nil"/>
            </w:tcBorders>
            <w:shd w:val="clear" w:color="auto" w:fill="auto"/>
            <w:noWrap/>
            <w:vAlign w:val="bottom"/>
          </w:tcPr>
          <w:p>
            <w:pPr>
              <w:widowControl/>
              <w:jc w:val="righ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单位：万元</w:t>
            </w:r>
          </w:p>
        </w:tc>
      </w:tr>
      <w:tr>
        <w:tblPrEx>
          <w:tblCellMar>
            <w:top w:w="0" w:type="dxa"/>
            <w:left w:w="108" w:type="dxa"/>
            <w:bottom w:w="0" w:type="dxa"/>
            <w:right w:w="108" w:type="dxa"/>
          </w:tblCellMar>
        </w:tblPrEx>
        <w:trPr>
          <w:trHeight w:val="300" w:hRule="atLeast"/>
        </w:trPr>
        <w:tc>
          <w:tcPr>
            <w:tcW w:w="658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w:t>
            </w:r>
          </w:p>
        </w:tc>
        <w:tc>
          <w:tcPr>
            <w:tcW w:w="3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政府性基金收入预算</w:t>
            </w:r>
          </w:p>
        </w:tc>
      </w:tr>
      <w:tr>
        <w:tblPrEx>
          <w:tblCellMar>
            <w:top w:w="0" w:type="dxa"/>
            <w:left w:w="108" w:type="dxa"/>
            <w:bottom w:w="0" w:type="dxa"/>
            <w:right w:w="108" w:type="dxa"/>
          </w:tblCellMar>
        </w:tblPrEx>
        <w:trPr>
          <w:trHeight w:val="569"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收入科目编码</w:t>
            </w:r>
          </w:p>
        </w:tc>
        <w:tc>
          <w:tcPr>
            <w:tcW w:w="4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科目名称</w:t>
            </w:r>
          </w:p>
        </w:tc>
        <w:tc>
          <w:tcPr>
            <w:tcW w:w="3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36" w:hRule="atLeast"/>
        </w:trPr>
        <w:tc>
          <w:tcPr>
            <w:tcW w:w="22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合计</w:t>
            </w:r>
          </w:p>
        </w:tc>
        <w:tc>
          <w:tcPr>
            <w:tcW w:w="4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34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bl>
    <w:p>
      <w:pPr>
        <w:ind w:firstLine="640" w:firstLineChars="200"/>
        <w:jc w:val="center"/>
        <w:rPr>
          <w:rFonts w:ascii="宋体" w:hAnsi="宋体"/>
          <w:color w:val="000000" w:themeColor="text1"/>
          <w:sz w:val="32"/>
          <w:szCs w:val="32"/>
          <w14:textFill>
            <w14:solidFill>
              <w14:schemeClr w14:val="tx1"/>
            </w14:solidFill>
          </w14:textFill>
        </w:rPr>
      </w:pPr>
    </w:p>
    <w:p>
      <w:pPr>
        <w:ind w:firstLine="640" w:firstLineChars="200"/>
        <w:jc w:val="center"/>
        <w:rPr>
          <w:rFonts w:hint="eastAsia" w:ascii="宋体" w:hAnsi="宋体"/>
          <w:color w:val="000000" w:themeColor="text1"/>
          <w:sz w:val="32"/>
          <w:szCs w:val="32"/>
          <w14:textFill>
            <w14:solidFill>
              <w14:schemeClr w14:val="tx1"/>
            </w14:solidFill>
          </w14:textFill>
        </w:rPr>
      </w:pPr>
    </w:p>
    <w:p>
      <w:pPr>
        <w:ind w:firstLine="640" w:firstLineChars="200"/>
        <w:jc w:val="center"/>
        <w:rPr>
          <w:rFonts w:hint="eastAsia" w:ascii="宋体" w:hAnsi="宋体"/>
          <w:color w:val="000000" w:themeColor="text1"/>
          <w:sz w:val="32"/>
          <w:szCs w:val="32"/>
          <w14:textFill>
            <w14:solidFill>
              <w14:schemeClr w14:val="tx1"/>
            </w14:solidFill>
          </w14:textFill>
        </w:rPr>
      </w:pPr>
    </w:p>
    <w:p>
      <w:pPr>
        <w:ind w:firstLine="640" w:firstLineChars="200"/>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八、大同市第十三中学校2022年政府性基金预算支出预算表</w:t>
      </w:r>
    </w:p>
    <w:tbl>
      <w:tblPr>
        <w:tblStyle w:val="7"/>
        <w:tblW w:w="10080" w:type="dxa"/>
        <w:tblInd w:w="108" w:type="dxa"/>
        <w:tblLayout w:type="autofit"/>
        <w:tblCellMar>
          <w:top w:w="0" w:type="dxa"/>
          <w:left w:w="108" w:type="dxa"/>
          <w:bottom w:w="0" w:type="dxa"/>
          <w:right w:w="108" w:type="dxa"/>
        </w:tblCellMar>
      </w:tblPr>
      <w:tblGrid>
        <w:gridCol w:w="2550"/>
        <w:gridCol w:w="2550"/>
        <w:gridCol w:w="1660"/>
        <w:gridCol w:w="1660"/>
        <w:gridCol w:w="1660"/>
      </w:tblGrid>
      <w:tr>
        <w:tblPrEx>
          <w:tblCellMar>
            <w:top w:w="0" w:type="dxa"/>
            <w:left w:w="108" w:type="dxa"/>
            <w:bottom w:w="0" w:type="dxa"/>
            <w:right w:w="108" w:type="dxa"/>
          </w:tblCellMar>
        </w:tblPrEx>
        <w:trPr>
          <w:trHeight w:val="448" w:hRule="atLeast"/>
        </w:trPr>
        <w:tc>
          <w:tcPr>
            <w:tcW w:w="5100" w:type="dxa"/>
            <w:gridSpan w:val="2"/>
            <w:tcBorders>
              <w:top w:val="nil"/>
              <w:left w:val="nil"/>
              <w:bottom w:val="nil"/>
              <w:right w:val="nil"/>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p>
        </w:tc>
        <w:tc>
          <w:tcPr>
            <w:tcW w:w="1660" w:type="dxa"/>
            <w:tcBorders>
              <w:top w:val="nil"/>
              <w:left w:val="nil"/>
              <w:bottom w:val="nil"/>
              <w:right w:val="nil"/>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p>
        </w:tc>
        <w:tc>
          <w:tcPr>
            <w:tcW w:w="1660" w:type="dxa"/>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1660" w:type="dxa"/>
            <w:tcBorders>
              <w:top w:val="nil"/>
              <w:left w:val="nil"/>
              <w:bottom w:val="nil"/>
              <w:right w:val="nil"/>
            </w:tcBorders>
            <w:shd w:val="clear" w:color="auto" w:fill="auto"/>
            <w:noWrap/>
            <w:vAlign w:val="bottom"/>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部门公开表8</w:t>
            </w:r>
          </w:p>
        </w:tc>
      </w:tr>
      <w:tr>
        <w:tblPrEx>
          <w:tblCellMar>
            <w:top w:w="0" w:type="dxa"/>
            <w:left w:w="108" w:type="dxa"/>
            <w:bottom w:w="0" w:type="dxa"/>
            <w:right w:w="108" w:type="dxa"/>
          </w:tblCellMar>
        </w:tblPrEx>
        <w:trPr>
          <w:trHeight w:val="720" w:hRule="atLeast"/>
        </w:trPr>
        <w:tc>
          <w:tcPr>
            <w:tcW w:w="10080" w:type="dxa"/>
            <w:gridSpan w:val="5"/>
            <w:tcBorders>
              <w:top w:val="nil"/>
              <w:left w:val="nil"/>
              <w:bottom w:val="nil"/>
              <w:right w:val="nil"/>
            </w:tcBorders>
            <w:shd w:val="clear" w:color="auto" w:fill="auto"/>
            <w:noWrap/>
            <w:vAlign w:val="center"/>
          </w:tcPr>
          <w:p>
            <w:pPr>
              <w:widowControl/>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大同市第十三中学校2022年政府性基金预算支出表</w:t>
            </w:r>
          </w:p>
        </w:tc>
      </w:tr>
      <w:tr>
        <w:tblPrEx>
          <w:tblCellMar>
            <w:top w:w="0" w:type="dxa"/>
            <w:left w:w="108" w:type="dxa"/>
            <w:bottom w:w="0" w:type="dxa"/>
            <w:right w:w="108" w:type="dxa"/>
          </w:tblCellMar>
        </w:tblPrEx>
        <w:trPr>
          <w:trHeight w:val="481" w:hRule="atLeast"/>
        </w:trPr>
        <w:tc>
          <w:tcPr>
            <w:tcW w:w="2550" w:type="dxa"/>
            <w:tcBorders>
              <w:top w:val="nil"/>
              <w:left w:val="nil"/>
              <w:bottom w:val="nil"/>
              <w:right w:val="nil"/>
            </w:tcBorders>
            <w:shd w:val="clear" w:color="auto" w:fill="auto"/>
            <w:noWrap/>
            <w:vAlign w:val="bottom"/>
          </w:tcPr>
          <w:p>
            <w:pPr>
              <w:widowControl/>
              <w:rPr>
                <w:rFonts w:hint="eastAsia" w:ascii="宋体" w:hAnsi="宋体" w:cs="宋体"/>
                <w:color w:val="000000" w:themeColor="text1"/>
                <w:kern w:val="0"/>
                <w:sz w:val="32"/>
                <w:szCs w:val="32"/>
                <w14:textFill>
                  <w14:solidFill>
                    <w14:schemeClr w14:val="tx1"/>
                  </w14:solidFill>
                </w14:textFill>
              </w:rPr>
            </w:pPr>
          </w:p>
        </w:tc>
        <w:tc>
          <w:tcPr>
            <w:tcW w:w="2550" w:type="dxa"/>
            <w:tcBorders>
              <w:top w:val="nil"/>
              <w:left w:val="nil"/>
              <w:bottom w:val="nil"/>
              <w:right w:val="nil"/>
            </w:tcBorders>
            <w:shd w:val="clear" w:color="auto" w:fill="auto"/>
            <w:noWrap/>
            <w:vAlign w:val="bottom"/>
          </w:tcPr>
          <w:p>
            <w:pPr>
              <w:widowControl/>
              <w:jc w:val="center"/>
              <w:rPr>
                <w:rFonts w:ascii="宋体" w:hAnsi="宋体"/>
                <w:color w:val="000000" w:themeColor="text1"/>
                <w:kern w:val="0"/>
                <w:sz w:val="32"/>
                <w:szCs w:val="32"/>
                <w14:textFill>
                  <w14:solidFill>
                    <w14:schemeClr w14:val="tx1"/>
                  </w14:solidFill>
                </w14:textFill>
              </w:rPr>
            </w:pPr>
          </w:p>
        </w:tc>
        <w:tc>
          <w:tcPr>
            <w:tcW w:w="1660" w:type="dxa"/>
            <w:tcBorders>
              <w:top w:val="nil"/>
              <w:left w:val="nil"/>
              <w:bottom w:val="nil"/>
              <w:right w:val="nil"/>
            </w:tcBorders>
            <w:shd w:val="clear" w:color="auto" w:fill="auto"/>
            <w:noWrap/>
            <w:vAlign w:val="bottom"/>
          </w:tcPr>
          <w:p>
            <w:pPr>
              <w:widowControl/>
              <w:jc w:val="center"/>
              <w:rPr>
                <w:rFonts w:ascii="宋体" w:hAnsi="宋体"/>
                <w:color w:val="000000" w:themeColor="text1"/>
                <w:kern w:val="0"/>
                <w:sz w:val="32"/>
                <w:szCs w:val="32"/>
                <w14:textFill>
                  <w14:solidFill>
                    <w14:schemeClr w14:val="tx1"/>
                  </w14:solidFill>
                </w14:textFill>
              </w:rPr>
            </w:pPr>
          </w:p>
        </w:tc>
        <w:tc>
          <w:tcPr>
            <w:tcW w:w="1660" w:type="dxa"/>
            <w:tcBorders>
              <w:top w:val="nil"/>
              <w:left w:val="nil"/>
              <w:bottom w:val="nil"/>
              <w:right w:val="nil"/>
            </w:tcBorders>
            <w:shd w:val="clear" w:color="auto" w:fill="auto"/>
            <w:noWrap/>
            <w:vAlign w:val="bottom"/>
          </w:tcPr>
          <w:p>
            <w:pPr>
              <w:widowControl/>
              <w:jc w:val="center"/>
              <w:rPr>
                <w:rFonts w:ascii="宋体" w:hAnsi="宋体"/>
                <w:color w:val="000000" w:themeColor="text1"/>
                <w:kern w:val="0"/>
                <w:sz w:val="32"/>
                <w:szCs w:val="32"/>
                <w14:textFill>
                  <w14:solidFill>
                    <w14:schemeClr w14:val="tx1"/>
                  </w14:solidFill>
                </w14:textFill>
              </w:rPr>
            </w:pPr>
          </w:p>
        </w:tc>
        <w:tc>
          <w:tcPr>
            <w:tcW w:w="1660" w:type="dxa"/>
            <w:tcBorders>
              <w:top w:val="nil"/>
              <w:left w:val="nil"/>
              <w:bottom w:val="nil"/>
              <w:right w:val="nil"/>
            </w:tcBorders>
            <w:shd w:val="clear" w:color="auto" w:fill="auto"/>
            <w:noWrap/>
            <w:vAlign w:val="bottom"/>
          </w:tcPr>
          <w:p>
            <w:pPr>
              <w:widowControl/>
              <w:jc w:val="righ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单位:万元</w:t>
            </w:r>
          </w:p>
        </w:tc>
      </w:tr>
      <w:tr>
        <w:tblPrEx>
          <w:tblCellMar>
            <w:top w:w="0" w:type="dxa"/>
            <w:left w:w="108" w:type="dxa"/>
            <w:bottom w:w="0" w:type="dxa"/>
            <w:right w:w="108" w:type="dxa"/>
          </w:tblCellMar>
        </w:tblPrEx>
        <w:trPr>
          <w:trHeight w:val="497" w:hRule="atLeast"/>
        </w:trPr>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科目编码</w:t>
            </w:r>
          </w:p>
        </w:tc>
        <w:tc>
          <w:tcPr>
            <w:tcW w:w="25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科目名称</w:t>
            </w:r>
          </w:p>
        </w:tc>
        <w:tc>
          <w:tcPr>
            <w:tcW w:w="16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合计</w:t>
            </w:r>
          </w:p>
        </w:tc>
        <w:tc>
          <w:tcPr>
            <w:tcW w:w="16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基本支出</w:t>
            </w:r>
          </w:p>
        </w:tc>
        <w:tc>
          <w:tcPr>
            <w:tcW w:w="16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项目支出</w:t>
            </w:r>
          </w:p>
        </w:tc>
      </w:tr>
      <w:tr>
        <w:tblPrEx>
          <w:tblCellMar>
            <w:top w:w="0" w:type="dxa"/>
            <w:left w:w="108" w:type="dxa"/>
            <w:bottom w:w="0" w:type="dxa"/>
            <w:right w:w="108" w:type="dxa"/>
          </w:tblCellMar>
        </w:tblPrEx>
        <w:trPr>
          <w:trHeight w:val="436" w:hRule="atLeast"/>
        </w:trPr>
        <w:tc>
          <w:tcPr>
            <w:tcW w:w="255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5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类</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255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5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款</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255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5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项</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255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5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类</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255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5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款</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255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5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项</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2550"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25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合计</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bl>
    <w:p>
      <w:pPr>
        <w:rPr>
          <w:rFonts w:hint="eastAsia" w:ascii="宋体" w:hAnsi="宋体"/>
          <w:color w:val="000000" w:themeColor="text1"/>
          <w:sz w:val="32"/>
          <w:szCs w:val="32"/>
          <w14:textFill>
            <w14:solidFill>
              <w14:schemeClr w14:val="tx1"/>
            </w14:solidFill>
          </w14:textFill>
        </w:rPr>
      </w:pPr>
    </w:p>
    <w:p>
      <w:pPr>
        <w:ind w:firstLine="640" w:firstLineChars="200"/>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九、大同市第十三中学校2022年国有资本经营预算收支预算表</w:t>
      </w:r>
    </w:p>
    <w:tbl>
      <w:tblPr>
        <w:tblStyle w:val="7"/>
        <w:tblW w:w="5000" w:type="pct"/>
        <w:tblInd w:w="0" w:type="dxa"/>
        <w:tblLayout w:type="autofit"/>
        <w:tblCellMar>
          <w:top w:w="0" w:type="dxa"/>
          <w:left w:w="108" w:type="dxa"/>
          <w:bottom w:w="0" w:type="dxa"/>
          <w:right w:w="108" w:type="dxa"/>
        </w:tblCellMar>
      </w:tblPr>
      <w:tblGrid>
        <w:gridCol w:w="1399"/>
        <w:gridCol w:w="1273"/>
        <w:gridCol w:w="1112"/>
        <w:gridCol w:w="1273"/>
        <w:gridCol w:w="1273"/>
        <w:gridCol w:w="948"/>
        <w:gridCol w:w="1096"/>
        <w:gridCol w:w="1480"/>
      </w:tblGrid>
      <w:tr>
        <w:tblPrEx>
          <w:tblCellMar>
            <w:top w:w="0" w:type="dxa"/>
            <w:left w:w="108" w:type="dxa"/>
            <w:bottom w:w="0" w:type="dxa"/>
            <w:right w:w="108" w:type="dxa"/>
          </w:tblCellMar>
        </w:tblPrEx>
        <w:trPr>
          <w:trHeight w:val="291" w:hRule="atLeast"/>
        </w:trPr>
        <w:tc>
          <w:tcPr>
            <w:tcW w:w="710" w:type="pct"/>
            <w:tcBorders>
              <w:top w:val="nil"/>
              <w:left w:val="nil"/>
              <w:bottom w:val="nil"/>
              <w:right w:val="nil"/>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p>
        </w:tc>
        <w:tc>
          <w:tcPr>
            <w:tcW w:w="645" w:type="pct"/>
            <w:tcBorders>
              <w:top w:val="nil"/>
              <w:left w:val="nil"/>
              <w:bottom w:val="nil"/>
              <w:right w:val="nil"/>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p>
        </w:tc>
        <w:tc>
          <w:tcPr>
            <w:tcW w:w="564" w:type="pct"/>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646" w:type="pct"/>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646" w:type="pct"/>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481" w:type="pct"/>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556" w:type="pct"/>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751" w:type="pct"/>
            <w:tcBorders>
              <w:top w:val="nil"/>
              <w:left w:val="nil"/>
              <w:bottom w:val="nil"/>
              <w:right w:val="nil"/>
            </w:tcBorders>
            <w:shd w:val="clear" w:color="auto" w:fill="auto"/>
            <w:noWrap/>
            <w:vAlign w:val="bottom"/>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部门公开表9</w:t>
            </w:r>
          </w:p>
        </w:tc>
      </w:tr>
      <w:tr>
        <w:tblPrEx>
          <w:tblCellMar>
            <w:top w:w="0" w:type="dxa"/>
            <w:left w:w="108" w:type="dxa"/>
            <w:bottom w:w="0" w:type="dxa"/>
            <w:right w:w="108" w:type="dxa"/>
          </w:tblCellMar>
        </w:tblPrEx>
        <w:trPr>
          <w:trHeight w:val="890" w:hRule="atLeast"/>
        </w:trPr>
        <w:tc>
          <w:tcPr>
            <w:tcW w:w="5000" w:type="pct"/>
            <w:gridSpan w:val="8"/>
            <w:tcBorders>
              <w:top w:val="nil"/>
              <w:left w:val="nil"/>
              <w:bottom w:val="nil"/>
              <w:right w:val="nil"/>
            </w:tcBorders>
            <w:shd w:val="clear" w:color="auto" w:fill="auto"/>
            <w:noWrap/>
            <w:vAlign w:val="center"/>
          </w:tcPr>
          <w:p>
            <w:pPr>
              <w:widowControl/>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大同市第十三中学校2022年国有资本经营预算收支预算表</w:t>
            </w:r>
          </w:p>
        </w:tc>
      </w:tr>
      <w:tr>
        <w:trPr>
          <w:trHeight w:val="291" w:hRule="atLeast"/>
        </w:trPr>
        <w:tc>
          <w:tcPr>
            <w:tcW w:w="710" w:type="pct"/>
            <w:tcBorders>
              <w:top w:val="nil"/>
              <w:left w:val="nil"/>
              <w:bottom w:val="nil"/>
              <w:right w:val="nil"/>
            </w:tcBorders>
            <w:shd w:val="clear" w:color="auto" w:fill="auto"/>
            <w:noWrap/>
            <w:vAlign w:val="bottom"/>
          </w:tcPr>
          <w:p>
            <w:pPr>
              <w:widowControl/>
              <w:jc w:val="center"/>
              <w:rPr>
                <w:rFonts w:ascii="宋体" w:hAnsi="宋体" w:cs="宋体"/>
                <w:color w:val="000000" w:themeColor="text1"/>
                <w:kern w:val="0"/>
                <w:szCs w:val="21"/>
                <w14:textFill>
                  <w14:solidFill>
                    <w14:schemeClr w14:val="tx1"/>
                  </w14:solidFill>
                </w14:textFill>
              </w:rPr>
            </w:pPr>
          </w:p>
        </w:tc>
        <w:tc>
          <w:tcPr>
            <w:tcW w:w="645" w:type="pct"/>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564" w:type="pct"/>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646" w:type="pct"/>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646" w:type="pct"/>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481" w:type="pct"/>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556" w:type="pct"/>
            <w:tcBorders>
              <w:top w:val="nil"/>
              <w:left w:val="nil"/>
              <w:bottom w:val="nil"/>
              <w:right w:val="nil"/>
            </w:tcBorders>
            <w:shd w:val="clear" w:color="auto" w:fill="auto"/>
            <w:noWrap/>
            <w:vAlign w:val="bottom"/>
          </w:tcPr>
          <w:p>
            <w:pPr>
              <w:widowControl/>
              <w:jc w:val="left"/>
              <w:rPr>
                <w:rFonts w:ascii="宋体" w:hAnsi="宋体"/>
                <w:color w:val="000000" w:themeColor="text1"/>
                <w:kern w:val="0"/>
                <w:szCs w:val="21"/>
                <w14:textFill>
                  <w14:solidFill>
                    <w14:schemeClr w14:val="tx1"/>
                  </w14:solidFill>
                </w14:textFill>
              </w:rPr>
            </w:pPr>
          </w:p>
        </w:tc>
        <w:tc>
          <w:tcPr>
            <w:tcW w:w="751" w:type="pct"/>
            <w:tcBorders>
              <w:top w:val="nil"/>
              <w:left w:val="nil"/>
              <w:bottom w:val="nil"/>
              <w:right w:val="nil"/>
            </w:tcBorders>
            <w:shd w:val="clear" w:color="auto" w:fill="auto"/>
            <w:noWrap/>
            <w:vAlign w:val="bottom"/>
          </w:tcPr>
          <w:p>
            <w:pPr>
              <w:widowControl/>
              <w:jc w:val="righ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单位：万元</w:t>
            </w:r>
          </w:p>
        </w:tc>
      </w:tr>
      <w:tr>
        <w:tblPrEx>
          <w:tblCellMar>
            <w:top w:w="0" w:type="dxa"/>
            <w:left w:w="108" w:type="dxa"/>
            <w:bottom w:w="0" w:type="dxa"/>
            <w:right w:w="108" w:type="dxa"/>
          </w:tblCellMar>
        </w:tblPrEx>
        <w:trPr>
          <w:trHeight w:val="436" w:hRule="atLeast"/>
        </w:trPr>
        <w:tc>
          <w:tcPr>
            <w:tcW w:w="192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国有资本经营预算收入</w:t>
            </w:r>
          </w:p>
        </w:tc>
        <w:tc>
          <w:tcPr>
            <w:tcW w:w="3080" w:type="pct"/>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国有资本经营预算支出</w:t>
            </w:r>
          </w:p>
        </w:tc>
      </w:tr>
      <w:tr>
        <w:tblPrEx>
          <w:tblCellMar>
            <w:top w:w="0" w:type="dxa"/>
            <w:left w:w="108" w:type="dxa"/>
            <w:bottom w:w="0" w:type="dxa"/>
            <w:right w:w="108" w:type="dxa"/>
          </w:tblCellMar>
        </w:tblPrEx>
        <w:trPr>
          <w:trHeight w:val="436" w:hRule="atLeast"/>
        </w:trPr>
        <w:tc>
          <w:tcPr>
            <w:tcW w:w="135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w:t>
            </w:r>
          </w:p>
        </w:tc>
        <w:tc>
          <w:tcPr>
            <w:tcW w:w="56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国有资本经营收入预算</w:t>
            </w:r>
          </w:p>
        </w:tc>
        <w:tc>
          <w:tcPr>
            <w:tcW w:w="646"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科目编码</w:t>
            </w:r>
          </w:p>
        </w:tc>
        <w:tc>
          <w:tcPr>
            <w:tcW w:w="64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科目名称</w:t>
            </w:r>
          </w:p>
        </w:tc>
        <w:tc>
          <w:tcPr>
            <w:tcW w:w="48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合计</w:t>
            </w:r>
          </w:p>
        </w:tc>
        <w:tc>
          <w:tcPr>
            <w:tcW w:w="55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基本支出</w:t>
            </w:r>
          </w:p>
        </w:tc>
        <w:tc>
          <w:tcPr>
            <w:tcW w:w="75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项目支出</w:t>
            </w:r>
          </w:p>
        </w:tc>
      </w:tr>
      <w:tr>
        <w:tblPrEx>
          <w:tblCellMar>
            <w:top w:w="0" w:type="dxa"/>
            <w:left w:w="108" w:type="dxa"/>
            <w:bottom w:w="0" w:type="dxa"/>
            <w:right w:w="108" w:type="dxa"/>
          </w:tblCellMar>
        </w:tblPrEx>
        <w:trPr>
          <w:trHeight w:val="436" w:hRule="atLeast"/>
        </w:trPr>
        <w:tc>
          <w:tcPr>
            <w:tcW w:w="71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收入科目编码</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科目名称</w:t>
            </w: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646"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6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8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55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5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36" w:hRule="atLeast"/>
        </w:trPr>
        <w:tc>
          <w:tcPr>
            <w:tcW w:w="710"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45"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4"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46"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类</w:t>
            </w:r>
          </w:p>
        </w:tc>
        <w:tc>
          <w:tcPr>
            <w:tcW w:w="48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6"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5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710"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45"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4"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46"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款</w:t>
            </w:r>
          </w:p>
        </w:tc>
        <w:tc>
          <w:tcPr>
            <w:tcW w:w="48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6"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5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710"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45"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4"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46"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项</w:t>
            </w:r>
          </w:p>
        </w:tc>
        <w:tc>
          <w:tcPr>
            <w:tcW w:w="48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6"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5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710"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45"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4"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46"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类</w:t>
            </w:r>
          </w:p>
        </w:tc>
        <w:tc>
          <w:tcPr>
            <w:tcW w:w="48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6"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5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710"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45"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4"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46"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款</w:t>
            </w:r>
          </w:p>
        </w:tc>
        <w:tc>
          <w:tcPr>
            <w:tcW w:w="48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6"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5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710"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45"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4"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46"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项</w:t>
            </w:r>
          </w:p>
        </w:tc>
        <w:tc>
          <w:tcPr>
            <w:tcW w:w="48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6"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5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71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合计</w:t>
            </w:r>
          </w:p>
        </w:tc>
        <w:tc>
          <w:tcPr>
            <w:tcW w:w="64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6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4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4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合计</w:t>
            </w:r>
          </w:p>
        </w:tc>
        <w:tc>
          <w:tcPr>
            <w:tcW w:w="48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56"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5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bl>
    <w:p>
      <w:pPr>
        <w:ind w:firstLine="640" w:firstLineChars="200"/>
        <w:jc w:val="center"/>
        <w:rPr>
          <w:rFonts w:ascii="宋体" w:hAnsi="宋体"/>
          <w:color w:val="000000" w:themeColor="text1"/>
          <w:sz w:val="32"/>
          <w:szCs w:val="32"/>
          <w14:textFill>
            <w14:solidFill>
              <w14:schemeClr w14:val="tx1"/>
            </w14:solidFill>
          </w14:textFill>
        </w:rPr>
      </w:pPr>
    </w:p>
    <w:p>
      <w:pPr>
        <w:ind w:firstLine="640" w:firstLineChars="200"/>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十、大同市第十三中学校2022年“三公”经费支出预算表</w:t>
      </w:r>
    </w:p>
    <w:tbl>
      <w:tblPr>
        <w:tblStyle w:val="7"/>
        <w:tblW w:w="5000" w:type="pct"/>
        <w:tblInd w:w="0" w:type="dxa"/>
        <w:tblLayout w:type="autofit"/>
        <w:tblCellMar>
          <w:top w:w="0" w:type="dxa"/>
          <w:left w:w="108" w:type="dxa"/>
          <w:bottom w:w="0" w:type="dxa"/>
          <w:right w:w="108" w:type="dxa"/>
        </w:tblCellMar>
      </w:tblPr>
      <w:tblGrid>
        <w:gridCol w:w="5238"/>
        <w:gridCol w:w="4616"/>
      </w:tblGrid>
      <w:tr>
        <w:tblPrEx>
          <w:tblCellMar>
            <w:top w:w="0" w:type="dxa"/>
            <w:left w:w="108" w:type="dxa"/>
            <w:bottom w:w="0" w:type="dxa"/>
            <w:right w:w="108" w:type="dxa"/>
          </w:tblCellMar>
        </w:tblPrEx>
        <w:trPr>
          <w:trHeight w:val="469" w:hRule="atLeast"/>
        </w:trPr>
        <w:tc>
          <w:tcPr>
            <w:tcW w:w="2658" w:type="pct"/>
            <w:tcBorders>
              <w:top w:val="nil"/>
              <w:left w:val="nil"/>
              <w:bottom w:val="nil"/>
              <w:right w:val="nil"/>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p>
        </w:tc>
        <w:tc>
          <w:tcPr>
            <w:tcW w:w="2342" w:type="pct"/>
            <w:tcBorders>
              <w:top w:val="nil"/>
              <w:left w:val="nil"/>
              <w:bottom w:val="nil"/>
              <w:right w:val="nil"/>
            </w:tcBorders>
            <w:shd w:val="clear" w:color="auto" w:fill="auto"/>
            <w:noWrap/>
            <w:vAlign w:val="bottom"/>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部门公开表10</w:t>
            </w:r>
          </w:p>
        </w:tc>
      </w:tr>
      <w:tr>
        <w:tblPrEx>
          <w:tblCellMar>
            <w:top w:w="0" w:type="dxa"/>
            <w:left w:w="108" w:type="dxa"/>
            <w:bottom w:w="0" w:type="dxa"/>
            <w:right w:w="108" w:type="dxa"/>
          </w:tblCellMar>
        </w:tblPrEx>
        <w:trPr>
          <w:trHeight w:val="950" w:hRule="atLeast"/>
        </w:trPr>
        <w:tc>
          <w:tcPr>
            <w:tcW w:w="5000" w:type="pct"/>
            <w:gridSpan w:val="2"/>
            <w:tcBorders>
              <w:top w:val="nil"/>
              <w:left w:val="nil"/>
              <w:bottom w:val="nil"/>
              <w:right w:val="nil"/>
            </w:tcBorders>
            <w:shd w:val="clear" w:color="auto" w:fill="auto"/>
            <w:vAlign w:val="center"/>
          </w:tcPr>
          <w:p>
            <w:pPr>
              <w:widowControl/>
              <w:ind w:left="-106" w:leftChars="-170" w:right="-246" w:rightChars="-117" w:hanging="251" w:hangingChars="78"/>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大同市第十三中学校2022年一般公共预算“三公”经费支出预算表</w:t>
            </w:r>
          </w:p>
        </w:tc>
      </w:tr>
      <w:tr>
        <w:tblPrEx>
          <w:tblCellMar>
            <w:top w:w="0" w:type="dxa"/>
            <w:left w:w="108" w:type="dxa"/>
            <w:bottom w:w="0" w:type="dxa"/>
            <w:right w:w="108" w:type="dxa"/>
          </w:tblCellMar>
        </w:tblPrEx>
        <w:trPr>
          <w:trHeight w:val="360" w:hRule="atLeast"/>
        </w:trPr>
        <w:tc>
          <w:tcPr>
            <w:tcW w:w="2658" w:type="pct"/>
            <w:tcBorders>
              <w:top w:val="nil"/>
              <w:left w:val="nil"/>
              <w:bottom w:val="nil"/>
              <w:right w:val="nil"/>
            </w:tcBorders>
            <w:shd w:val="clear" w:color="auto" w:fill="auto"/>
            <w:noWrap/>
            <w:vAlign w:val="bottom"/>
          </w:tcPr>
          <w:p>
            <w:pPr>
              <w:widowControl/>
              <w:jc w:val="center"/>
              <w:rPr>
                <w:rFonts w:ascii="宋体" w:hAnsi="宋体"/>
                <w:color w:val="000000" w:themeColor="text1"/>
                <w:kern w:val="0"/>
                <w:sz w:val="32"/>
                <w:szCs w:val="32"/>
                <w14:textFill>
                  <w14:solidFill>
                    <w14:schemeClr w14:val="tx1"/>
                  </w14:solidFill>
                </w14:textFill>
              </w:rPr>
            </w:pPr>
          </w:p>
        </w:tc>
        <w:tc>
          <w:tcPr>
            <w:tcW w:w="2342" w:type="pct"/>
            <w:tcBorders>
              <w:top w:val="nil"/>
              <w:left w:val="nil"/>
              <w:bottom w:val="nil"/>
              <w:right w:val="nil"/>
            </w:tcBorders>
            <w:shd w:val="clear" w:color="auto" w:fill="auto"/>
            <w:noWrap/>
            <w:vAlign w:val="bottom"/>
          </w:tcPr>
          <w:p>
            <w:pPr>
              <w:widowControl/>
              <w:jc w:val="righ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单位：万元</w:t>
            </w:r>
          </w:p>
        </w:tc>
      </w:tr>
      <w:tr>
        <w:tblPrEx>
          <w:tblCellMar>
            <w:top w:w="0" w:type="dxa"/>
            <w:left w:w="108" w:type="dxa"/>
            <w:bottom w:w="0" w:type="dxa"/>
            <w:right w:w="108" w:type="dxa"/>
          </w:tblCellMar>
        </w:tblPrEx>
        <w:trPr>
          <w:trHeight w:val="500" w:hRule="atLeast"/>
        </w:trPr>
        <w:tc>
          <w:tcPr>
            <w:tcW w:w="26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w:t>
            </w:r>
          </w:p>
        </w:tc>
        <w:tc>
          <w:tcPr>
            <w:tcW w:w="234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2022年预算数</w:t>
            </w:r>
          </w:p>
        </w:tc>
      </w:tr>
      <w:tr>
        <w:tblPrEx>
          <w:tblCellMar>
            <w:top w:w="0" w:type="dxa"/>
            <w:left w:w="108" w:type="dxa"/>
            <w:bottom w:w="0" w:type="dxa"/>
            <w:right w:w="108" w:type="dxa"/>
          </w:tblCellMar>
        </w:tblPrEx>
        <w:trPr>
          <w:trHeight w:val="436" w:hRule="atLeast"/>
        </w:trPr>
        <w:tc>
          <w:tcPr>
            <w:tcW w:w="265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因公出国（境）费用</w:t>
            </w:r>
          </w:p>
        </w:tc>
        <w:tc>
          <w:tcPr>
            <w:tcW w:w="234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265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公务接待费</w:t>
            </w:r>
          </w:p>
        </w:tc>
        <w:tc>
          <w:tcPr>
            <w:tcW w:w="234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265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公务用车购置及运行费</w:t>
            </w:r>
          </w:p>
        </w:tc>
        <w:tc>
          <w:tcPr>
            <w:tcW w:w="23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265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①公务用车购置费</w:t>
            </w:r>
          </w:p>
        </w:tc>
        <w:tc>
          <w:tcPr>
            <w:tcW w:w="2342"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265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②公务用车运行维护费</w:t>
            </w:r>
          </w:p>
        </w:tc>
        <w:tc>
          <w:tcPr>
            <w:tcW w:w="23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6" w:hRule="atLeast"/>
        </w:trPr>
        <w:tc>
          <w:tcPr>
            <w:tcW w:w="265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合计</w:t>
            </w:r>
          </w:p>
        </w:tc>
        <w:tc>
          <w:tcPr>
            <w:tcW w:w="23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bl>
    <w:p>
      <w:pPr>
        <w:ind w:right="-143" w:rightChars="-68"/>
        <w:rPr>
          <w:rFonts w:hint="eastAsia" w:ascii="宋体" w:hAnsi="宋体"/>
          <w:color w:val="000000" w:themeColor="text1"/>
          <w:sz w:val="32"/>
          <w:szCs w:val="32"/>
          <w14:textFill>
            <w14:solidFill>
              <w14:schemeClr w14:val="tx1"/>
            </w14:solidFill>
          </w14:textFill>
        </w:rPr>
      </w:pPr>
    </w:p>
    <w:p>
      <w:pPr>
        <w:ind w:right="-143" w:rightChars="-68"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十一、大同市第十三中学校2022年机关运行经费预算财政拨款情况表</w:t>
      </w:r>
    </w:p>
    <w:tbl>
      <w:tblPr>
        <w:tblStyle w:val="7"/>
        <w:tblW w:w="9900" w:type="dxa"/>
        <w:tblInd w:w="108" w:type="dxa"/>
        <w:tblLayout w:type="autofit"/>
        <w:tblCellMar>
          <w:top w:w="0" w:type="dxa"/>
          <w:left w:w="108" w:type="dxa"/>
          <w:bottom w:w="0" w:type="dxa"/>
          <w:right w:w="108" w:type="dxa"/>
        </w:tblCellMar>
      </w:tblPr>
      <w:tblGrid>
        <w:gridCol w:w="4280"/>
        <w:gridCol w:w="5620"/>
      </w:tblGrid>
      <w:tr>
        <w:tblPrEx>
          <w:tblCellMar>
            <w:top w:w="0" w:type="dxa"/>
            <w:left w:w="108" w:type="dxa"/>
            <w:bottom w:w="0" w:type="dxa"/>
            <w:right w:w="108" w:type="dxa"/>
          </w:tblCellMar>
        </w:tblPrEx>
        <w:trPr>
          <w:trHeight w:val="469" w:hRule="atLeast"/>
        </w:trPr>
        <w:tc>
          <w:tcPr>
            <w:tcW w:w="4280" w:type="dxa"/>
            <w:tcBorders>
              <w:top w:val="nil"/>
              <w:left w:val="nil"/>
              <w:bottom w:val="nil"/>
              <w:right w:val="nil"/>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p>
        </w:tc>
        <w:tc>
          <w:tcPr>
            <w:tcW w:w="5620" w:type="dxa"/>
            <w:tcBorders>
              <w:top w:val="nil"/>
              <w:left w:val="nil"/>
              <w:bottom w:val="nil"/>
              <w:right w:val="nil"/>
            </w:tcBorders>
            <w:shd w:val="clear" w:color="auto" w:fill="auto"/>
            <w:noWrap/>
            <w:vAlign w:val="bottom"/>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部门公开表11</w:t>
            </w:r>
          </w:p>
        </w:tc>
      </w:tr>
      <w:tr>
        <w:tblPrEx>
          <w:tblCellMar>
            <w:top w:w="0" w:type="dxa"/>
            <w:left w:w="108" w:type="dxa"/>
            <w:bottom w:w="0" w:type="dxa"/>
            <w:right w:w="108" w:type="dxa"/>
          </w:tblCellMar>
        </w:tblPrEx>
        <w:trPr>
          <w:trHeight w:val="829" w:hRule="atLeast"/>
        </w:trPr>
        <w:tc>
          <w:tcPr>
            <w:tcW w:w="9900" w:type="dxa"/>
            <w:gridSpan w:val="2"/>
            <w:tcBorders>
              <w:top w:val="nil"/>
              <w:left w:val="nil"/>
              <w:bottom w:val="nil"/>
              <w:right w:val="nil"/>
            </w:tcBorders>
            <w:shd w:val="clear" w:color="auto" w:fill="auto"/>
            <w:noWrap/>
            <w:vAlign w:val="center"/>
          </w:tcPr>
          <w:p>
            <w:pPr>
              <w:widowControl/>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大同市第十三中学校2022年机关运行经费预算财政拨款情况表</w:t>
            </w:r>
          </w:p>
        </w:tc>
      </w:tr>
      <w:tr>
        <w:tblPrEx>
          <w:tblCellMar>
            <w:top w:w="0" w:type="dxa"/>
            <w:left w:w="108" w:type="dxa"/>
            <w:bottom w:w="0" w:type="dxa"/>
            <w:right w:w="108" w:type="dxa"/>
          </w:tblCellMar>
        </w:tblPrEx>
        <w:trPr>
          <w:trHeight w:val="651" w:hRule="atLeast"/>
        </w:trPr>
        <w:tc>
          <w:tcPr>
            <w:tcW w:w="4280" w:type="dxa"/>
            <w:tcBorders>
              <w:top w:val="nil"/>
              <w:left w:val="nil"/>
              <w:bottom w:val="nil"/>
              <w:right w:val="nil"/>
            </w:tcBorders>
            <w:shd w:val="clear" w:color="auto" w:fill="auto"/>
            <w:noWrap/>
            <w:vAlign w:val="bottom"/>
          </w:tcPr>
          <w:p>
            <w:pPr>
              <w:widowControl/>
              <w:jc w:val="center"/>
              <w:rPr>
                <w:rFonts w:ascii="宋体" w:hAnsi="宋体" w:cs="宋体"/>
                <w:color w:val="000000" w:themeColor="text1"/>
                <w:kern w:val="0"/>
                <w:sz w:val="32"/>
                <w:szCs w:val="32"/>
                <w14:textFill>
                  <w14:solidFill>
                    <w14:schemeClr w14:val="tx1"/>
                  </w14:solidFill>
                </w14:textFill>
              </w:rPr>
            </w:pPr>
          </w:p>
        </w:tc>
        <w:tc>
          <w:tcPr>
            <w:tcW w:w="5620" w:type="dxa"/>
            <w:tcBorders>
              <w:top w:val="nil"/>
              <w:left w:val="nil"/>
              <w:bottom w:val="nil"/>
              <w:right w:val="nil"/>
            </w:tcBorders>
            <w:shd w:val="clear" w:color="auto" w:fill="auto"/>
            <w:noWrap/>
            <w:vAlign w:val="bottom"/>
          </w:tcPr>
          <w:p>
            <w:pPr>
              <w:widowControl/>
              <w:jc w:val="righ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单位：万元</w:t>
            </w:r>
          </w:p>
        </w:tc>
      </w:tr>
      <w:tr>
        <w:tblPrEx>
          <w:tblCellMar>
            <w:top w:w="0" w:type="dxa"/>
            <w:left w:w="108" w:type="dxa"/>
            <w:bottom w:w="0" w:type="dxa"/>
            <w:right w:w="108" w:type="dxa"/>
          </w:tblCellMar>
        </w:tblPrEx>
        <w:trPr>
          <w:trHeight w:val="651" w:hRule="atLeast"/>
        </w:trPr>
        <w:tc>
          <w:tcPr>
            <w:tcW w:w="4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单位名称</w:t>
            </w:r>
          </w:p>
        </w:tc>
        <w:tc>
          <w:tcPr>
            <w:tcW w:w="5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2022年预算数</w:t>
            </w:r>
          </w:p>
        </w:tc>
      </w:tr>
      <w:tr>
        <w:tblPrEx>
          <w:tblCellMar>
            <w:top w:w="0" w:type="dxa"/>
            <w:left w:w="108" w:type="dxa"/>
            <w:bottom w:w="0" w:type="dxa"/>
            <w:right w:w="108" w:type="dxa"/>
          </w:tblCellMar>
        </w:tblPrEx>
        <w:trPr>
          <w:trHeight w:val="436" w:hRule="atLeast"/>
        </w:trPr>
        <w:tc>
          <w:tcPr>
            <w:tcW w:w="4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p>
        </w:tc>
        <w:tc>
          <w:tcPr>
            <w:tcW w:w="56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bl>
    <w:p>
      <w:pPr>
        <w:ind w:left="1438" w:leftChars="304" w:hanging="800" w:hangingChars="250"/>
        <w:rPr>
          <w:rFonts w:ascii="宋体" w:hAnsi="宋体"/>
          <w:color w:val="000000" w:themeColor="text1"/>
          <w:sz w:val="32"/>
          <w:szCs w:val="32"/>
          <w14:textFill>
            <w14:solidFill>
              <w14:schemeClr w14:val="tx1"/>
            </w14:solidFill>
          </w14:textFill>
        </w:rPr>
      </w:pPr>
    </w:p>
    <w:p>
      <w:pPr>
        <w:jc w:val="center"/>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第三部分  2022年度部门（单位）预算情况说明</w:t>
      </w:r>
    </w:p>
    <w:p>
      <w:pPr>
        <w:ind w:firstLine="636"/>
        <w:rPr>
          <w:rFonts w:hint="eastAsia" w:ascii="黑体" w:hAnsi="黑体" w:eastAsia="黑体" w:cs="黑体"/>
          <w:bCs/>
          <w:sz w:val="32"/>
          <w:szCs w:val="32"/>
        </w:rPr>
      </w:pPr>
    </w:p>
    <w:p>
      <w:pPr>
        <w:ind w:firstLine="636"/>
        <w:rPr>
          <w:rFonts w:hint="eastAsia" w:ascii="黑体" w:hAnsi="黑体" w:eastAsia="黑体" w:cs="黑体"/>
          <w:bCs/>
          <w:sz w:val="32"/>
          <w:szCs w:val="32"/>
        </w:rPr>
      </w:pPr>
      <w:r>
        <w:rPr>
          <w:rFonts w:hint="eastAsia" w:ascii="黑体" w:hAnsi="黑体" w:eastAsia="黑体" w:cs="黑体"/>
          <w:bCs/>
          <w:sz w:val="32"/>
          <w:szCs w:val="32"/>
        </w:rPr>
        <w:t>一、2022年度部门预算数据变动情况及原因</w:t>
      </w:r>
    </w:p>
    <w:p>
      <w:pPr>
        <w:widowControl/>
        <w:shd w:val="clear" w:color="auto" w:fill="FFFFFF"/>
        <w:ind w:left="72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（一）本年预算收支情况</w:t>
      </w:r>
    </w:p>
    <w:p>
      <w:pPr>
        <w:widowControl/>
        <w:shd w:val="clear" w:color="auto" w:fill="FFFFFF"/>
        <w:ind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2022年，我校预算收入总计</w:t>
      </w:r>
      <w:r>
        <w:rPr>
          <w:rFonts w:ascii="宋体" w:hAnsi="宋体"/>
          <w:color w:val="000000" w:themeColor="text1"/>
          <w:sz w:val="32"/>
          <w:szCs w:val="32"/>
          <w14:textFill>
            <w14:solidFill>
              <w14:schemeClr w14:val="tx1"/>
            </w14:solidFill>
          </w14:textFill>
        </w:rPr>
        <w:t>1749.43</w:t>
      </w:r>
      <w:r>
        <w:rPr>
          <w:rFonts w:hint="eastAsia" w:ascii="宋体" w:hAnsi="宋体"/>
          <w:color w:val="000000" w:themeColor="text1"/>
          <w:sz w:val="32"/>
          <w:szCs w:val="32"/>
          <w14:textFill>
            <w14:solidFill>
              <w14:schemeClr w14:val="tx1"/>
            </w14:solidFill>
          </w14:textFill>
        </w:rPr>
        <w:t>万元，全部为一般公共预算，无政府基金预算，全部为本年收入。本年预算支出总计</w:t>
      </w:r>
      <w:r>
        <w:rPr>
          <w:rFonts w:ascii="宋体" w:hAnsi="宋体"/>
          <w:color w:val="000000" w:themeColor="text1"/>
          <w:sz w:val="32"/>
          <w:szCs w:val="32"/>
          <w14:textFill>
            <w14:solidFill>
              <w14:schemeClr w14:val="tx1"/>
            </w14:solidFill>
          </w14:textFill>
        </w:rPr>
        <w:t>1749.43</w:t>
      </w:r>
      <w:r>
        <w:rPr>
          <w:rFonts w:hint="eastAsia" w:ascii="宋体" w:hAnsi="宋体"/>
          <w:color w:val="000000" w:themeColor="text1"/>
          <w:sz w:val="32"/>
          <w:szCs w:val="32"/>
          <w14:textFill>
            <w14:solidFill>
              <w14:schemeClr w14:val="tx1"/>
            </w14:solidFill>
          </w14:textFill>
        </w:rPr>
        <w:t>万元，全部为当年预算安排。</w:t>
      </w:r>
    </w:p>
    <w:p>
      <w:pPr>
        <w:widowControl/>
        <w:shd w:val="clear" w:color="auto" w:fill="FFFFFF"/>
        <w:ind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2022年，我校项目预算</w:t>
      </w:r>
      <w:r>
        <w:rPr>
          <w:rFonts w:ascii="宋体" w:hAnsi="宋体"/>
          <w:color w:val="000000" w:themeColor="text1"/>
          <w:sz w:val="32"/>
          <w:szCs w:val="32"/>
          <w14:textFill>
            <w14:solidFill>
              <w14:schemeClr w14:val="tx1"/>
            </w14:solidFill>
          </w14:textFill>
        </w:rPr>
        <w:t>89.8</w:t>
      </w:r>
      <w:r>
        <w:rPr>
          <w:rFonts w:hint="eastAsia" w:ascii="宋体" w:hAnsi="宋体"/>
          <w:color w:val="000000" w:themeColor="text1"/>
          <w:sz w:val="32"/>
          <w:szCs w:val="32"/>
          <w14:textFill>
            <w14:solidFill>
              <w14:schemeClr w14:val="tx1"/>
            </w14:solidFill>
          </w14:textFill>
        </w:rPr>
        <w:t>万元，共计三个项目分别为物业管理费、奖励性绩效工资和班主任费。</w:t>
      </w:r>
    </w:p>
    <w:p>
      <w:pPr>
        <w:widowControl/>
        <w:shd w:val="clear" w:color="auto" w:fill="FFFFFF"/>
        <w:ind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（二）对照上年预算的变动情况</w:t>
      </w:r>
    </w:p>
    <w:p>
      <w:pPr>
        <w:widowControl/>
        <w:shd w:val="clear" w:color="auto" w:fill="FFFFFF"/>
        <w:ind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2022年我校收入、支出预算与上年年初收入、支出预算</w:t>
      </w:r>
      <w:r>
        <w:rPr>
          <w:rFonts w:ascii="宋体" w:hAnsi="宋体"/>
          <w:color w:val="000000" w:themeColor="text1"/>
          <w:sz w:val="32"/>
          <w:szCs w:val="32"/>
          <w14:textFill>
            <w14:solidFill>
              <w14:schemeClr w14:val="tx1"/>
            </w14:solidFill>
          </w14:textFill>
        </w:rPr>
        <w:t>1196.81</w:t>
      </w:r>
      <w:r>
        <w:rPr>
          <w:rFonts w:hint="eastAsia" w:ascii="宋体" w:hAnsi="宋体"/>
          <w:color w:val="000000" w:themeColor="text1"/>
          <w:sz w:val="32"/>
          <w:szCs w:val="32"/>
          <w14:textFill>
            <w14:solidFill>
              <w14:schemeClr w14:val="tx1"/>
            </w14:solidFill>
          </w14:textFill>
        </w:rPr>
        <w:t>比较，2022年增长</w:t>
      </w:r>
      <w:r>
        <w:rPr>
          <w:rFonts w:ascii="宋体" w:hAnsi="宋体"/>
          <w:color w:val="000000" w:themeColor="text1"/>
          <w:sz w:val="32"/>
          <w:szCs w:val="32"/>
          <w14:textFill>
            <w14:solidFill>
              <w14:schemeClr w14:val="tx1"/>
            </w14:solidFill>
          </w14:textFill>
        </w:rPr>
        <w:t>552.62</w:t>
      </w:r>
      <w:r>
        <w:rPr>
          <w:rFonts w:hint="eastAsia" w:ascii="宋体" w:hAnsi="宋体"/>
          <w:color w:val="000000" w:themeColor="text1"/>
          <w:sz w:val="32"/>
          <w:szCs w:val="32"/>
          <w14:textFill>
            <w14:solidFill>
              <w14:schemeClr w14:val="tx1"/>
            </w14:solidFill>
          </w14:textFill>
        </w:rPr>
        <w:t>万元，增长原因是人员经费增加，2022年公积金核算基数增加（福利费、工会经费、公用经费增加）；2022年项目预算为</w:t>
      </w:r>
      <w:r>
        <w:rPr>
          <w:rFonts w:ascii="宋体" w:hAnsi="宋体"/>
          <w:color w:val="000000" w:themeColor="text1"/>
          <w:sz w:val="32"/>
          <w:szCs w:val="32"/>
          <w14:textFill>
            <w14:solidFill>
              <w14:schemeClr w14:val="tx1"/>
            </w14:solidFill>
          </w14:textFill>
        </w:rPr>
        <w:t>89.8</w:t>
      </w:r>
      <w:r>
        <w:rPr>
          <w:rFonts w:hint="eastAsia" w:ascii="宋体" w:hAnsi="宋体"/>
          <w:color w:val="000000" w:themeColor="text1"/>
          <w:sz w:val="32"/>
          <w:szCs w:val="32"/>
          <w14:textFill>
            <w14:solidFill>
              <w14:schemeClr w14:val="tx1"/>
            </w14:solidFill>
          </w14:textFill>
        </w:rPr>
        <w:t>万元，和上年相比无变化。</w:t>
      </w:r>
    </w:p>
    <w:p>
      <w:pPr>
        <w:widowControl/>
        <w:shd w:val="clear" w:color="auto" w:fill="FFFFFF"/>
        <w:ind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（三）本年预算具体构成情况</w:t>
      </w:r>
    </w:p>
    <w:p>
      <w:pPr>
        <w:widowControl/>
        <w:shd w:val="clear" w:color="auto" w:fill="FFFFFF"/>
        <w:ind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从功能科目看，我校2022年一般公共预算支出预算</w:t>
      </w:r>
      <w:r>
        <w:rPr>
          <w:rFonts w:ascii="宋体" w:hAnsi="宋体"/>
          <w:color w:val="000000" w:themeColor="text1"/>
          <w:sz w:val="32"/>
          <w:szCs w:val="32"/>
          <w14:textFill>
            <w14:solidFill>
              <w14:schemeClr w14:val="tx1"/>
            </w14:solidFill>
          </w14:textFill>
        </w:rPr>
        <w:t>1749.43</w:t>
      </w:r>
      <w:r>
        <w:rPr>
          <w:rFonts w:hint="eastAsia" w:ascii="宋体" w:hAnsi="宋体"/>
          <w:color w:val="000000" w:themeColor="text1"/>
          <w:sz w:val="32"/>
          <w:szCs w:val="32"/>
          <w14:textFill>
            <w14:solidFill>
              <w14:schemeClr w14:val="tx1"/>
            </w14:solidFill>
          </w14:textFill>
        </w:rPr>
        <w:t>万元，全部为当年预算</w:t>
      </w:r>
      <w:r>
        <w:rPr>
          <w:rFonts w:ascii="宋体" w:hAnsi="宋体"/>
          <w:color w:val="000000" w:themeColor="text1"/>
          <w:sz w:val="32"/>
          <w:szCs w:val="32"/>
          <w14:textFill>
            <w14:solidFill>
              <w14:schemeClr w14:val="tx1"/>
            </w14:solidFill>
          </w14:textFill>
        </w:rPr>
        <w:t>1749.43</w:t>
      </w:r>
      <w:r>
        <w:rPr>
          <w:rFonts w:hint="eastAsia" w:ascii="宋体" w:hAnsi="宋体"/>
          <w:color w:val="000000" w:themeColor="text1"/>
          <w:sz w:val="32"/>
          <w:szCs w:val="32"/>
          <w14:textFill>
            <w14:solidFill>
              <w14:schemeClr w14:val="tx1"/>
            </w14:solidFill>
          </w14:textFill>
        </w:rPr>
        <w:t>万元。教育支出预算为</w:t>
      </w:r>
      <w:r>
        <w:rPr>
          <w:rFonts w:ascii="宋体" w:hAnsi="宋体"/>
          <w:color w:val="000000" w:themeColor="text1"/>
          <w:sz w:val="32"/>
          <w:szCs w:val="32"/>
          <w14:textFill>
            <w14:solidFill>
              <w14:schemeClr w14:val="tx1"/>
            </w14:solidFill>
          </w14:textFill>
        </w:rPr>
        <w:t>1242.91</w:t>
      </w:r>
      <w:r>
        <w:rPr>
          <w:rFonts w:hint="eastAsia" w:ascii="宋体" w:hAnsi="宋体"/>
          <w:color w:val="000000" w:themeColor="text1"/>
          <w:sz w:val="32"/>
          <w:szCs w:val="32"/>
          <w14:textFill>
            <w14:solidFill>
              <w14:schemeClr w14:val="tx1"/>
            </w14:solidFill>
          </w14:textFill>
        </w:rPr>
        <w:t>万元，社会保障和就业支出</w:t>
      </w:r>
      <w:r>
        <w:rPr>
          <w:rFonts w:ascii="宋体" w:hAnsi="宋体"/>
          <w:color w:val="000000" w:themeColor="text1"/>
          <w:sz w:val="32"/>
          <w:szCs w:val="32"/>
          <w14:textFill>
            <w14:solidFill>
              <w14:schemeClr w14:val="tx1"/>
            </w14:solidFill>
          </w14:textFill>
        </w:rPr>
        <w:t>268.85</w:t>
      </w:r>
      <w:r>
        <w:rPr>
          <w:rFonts w:hint="eastAsia" w:ascii="宋体" w:hAnsi="宋体"/>
          <w:color w:val="000000" w:themeColor="text1"/>
          <w:sz w:val="32"/>
          <w:szCs w:val="32"/>
          <w14:textFill>
            <w14:solidFill>
              <w14:schemeClr w14:val="tx1"/>
            </w14:solidFill>
          </w14:textFill>
        </w:rPr>
        <w:t>万元，卫生健康支出预算</w:t>
      </w:r>
      <w:r>
        <w:rPr>
          <w:rFonts w:ascii="宋体" w:hAnsi="宋体"/>
          <w:color w:val="000000" w:themeColor="text1"/>
          <w:sz w:val="32"/>
          <w:szCs w:val="32"/>
          <w14:textFill>
            <w14:solidFill>
              <w14:schemeClr w14:val="tx1"/>
            </w14:solidFill>
          </w14:textFill>
        </w:rPr>
        <w:t>71.79</w:t>
      </w:r>
      <w:r>
        <w:rPr>
          <w:rFonts w:hint="eastAsia" w:ascii="宋体" w:hAnsi="宋体"/>
          <w:color w:val="000000" w:themeColor="text1"/>
          <w:sz w:val="32"/>
          <w:szCs w:val="32"/>
          <w14:textFill>
            <w14:solidFill>
              <w14:schemeClr w14:val="tx1"/>
            </w14:solidFill>
          </w14:textFill>
        </w:rPr>
        <w:t>万元，住房保障支出为</w:t>
      </w:r>
      <w:r>
        <w:rPr>
          <w:rFonts w:ascii="宋体" w:hAnsi="宋体"/>
          <w:color w:val="000000" w:themeColor="text1"/>
          <w:sz w:val="32"/>
          <w:szCs w:val="32"/>
          <w14:textFill>
            <w14:solidFill>
              <w14:schemeClr w14:val="tx1"/>
            </w14:solidFill>
          </w14:textFill>
        </w:rPr>
        <w:t>165.87</w:t>
      </w:r>
      <w:r>
        <w:rPr>
          <w:rFonts w:hint="eastAsia" w:ascii="宋体" w:hAnsi="宋体"/>
          <w:color w:val="000000" w:themeColor="text1"/>
          <w:sz w:val="32"/>
          <w:szCs w:val="32"/>
          <w14:textFill>
            <w14:solidFill>
              <w14:schemeClr w14:val="tx1"/>
            </w14:solidFill>
          </w14:textFill>
        </w:rPr>
        <w:t>万元。</w:t>
      </w:r>
    </w:p>
    <w:p>
      <w:pPr>
        <w:widowControl/>
        <w:shd w:val="clear" w:color="auto" w:fill="FFFFFF"/>
        <w:ind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从支出性质和经济分类看，2022年我校基本支出预算</w:t>
      </w:r>
      <w:r>
        <w:rPr>
          <w:rFonts w:ascii="宋体" w:hAnsi="宋体"/>
          <w:color w:val="000000" w:themeColor="text1"/>
          <w:sz w:val="32"/>
          <w:szCs w:val="32"/>
          <w14:textFill>
            <w14:solidFill>
              <w14:schemeClr w14:val="tx1"/>
            </w14:solidFill>
          </w14:textFill>
        </w:rPr>
        <w:t>1659.63</w:t>
      </w:r>
      <w:r>
        <w:rPr>
          <w:rFonts w:hint="eastAsia" w:ascii="宋体" w:hAnsi="宋体"/>
          <w:color w:val="000000" w:themeColor="text1"/>
          <w:sz w:val="32"/>
          <w:szCs w:val="32"/>
          <w14:textFill>
            <w14:solidFill>
              <w14:schemeClr w14:val="tx1"/>
            </w14:solidFill>
          </w14:textFill>
        </w:rPr>
        <w:t>万元，包括工资福利支出</w:t>
      </w:r>
      <w:r>
        <w:rPr>
          <w:rFonts w:ascii="宋体" w:hAnsi="宋体"/>
          <w:color w:val="000000" w:themeColor="text1"/>
          <w:sz w:val="32"/>
          <w:szCs w:val="32"/>
          <w14:textFill>
            <w14:solidFill>
              <w14:schemeClr w14:val="tx1"/>
            </w14:solidFill>
          </w14:textFill>
        </w:rPr>
        <w:t>1491.12</w:t>
      </w:r>
      <w:r>
        <w:rPr>
          <w:rFonts w:hint="eastAsia" w:ascii="宋体" w:hAnsi="宋体"/>
          <w:color w:val="000000" w:themeColor="text1"/>
          <w:sz w:val="32"/>
          <w:szCs w:val="32"/>
          <w14:textFill>
            <w14:solidFill>
              <w14:schemeClr w14:val="tx1"/>
            </w14:solidFill>
          </w14:textFill>
        </w:rPr>
        <w:t>万元、商品和服务支出</w:t>
      </w:r>
      <w:r>
        <w:rPr>
          <w:rFonts w:ascii="宋体" w:hAnsi="宋体"/>
          <w:color w:val="000000" w:themeColor="text1"/>
          <w:sz w:val="32"/>
          <w:szCs w:val="32"/>
          <w14:textFill>
            <w14:solidFill>
              <w14:schemeClr w14:val="tx1"/>
            </w14:solidFill>
          </w14:textFill>
        </w:rPr>
        <w:t>68.87</w:t>
      </w:r>
      <w:r>
        <w:rPr>
          <w:rFonts w:hint="eastAsia" w:ascii="宋体" w:hAnsi="宋体"/>
          <w:color w:val="000000" w:themeColor="text1"/>
          <w:sz w:val="32"/>
          <w:szCs w:val="32"/>
          <w14:textFill>
            <w14:solidFill>
              <w14:schemeClr w14:val="tx1"/>
            </w14:solidFill>
          </w14:textFill>
        </w:rPr>
        <w:t>万元、社会福利和救助</w:t>
      </w:r>
      <w:r>
        <w:rPr>
          <w:rFonts w:ascii="宋体" w:hAnsi="宋体"/>
          <w:color w:val="000000" w:themeColor="text1"/>
          <w:sz w:val="32"/>
          <w:szCs w:val="32"/>
          <w14:textFill>
            <w14:solidFill>
              <w14:schemeClr w14:val="tx1"/>
            </w14:solidFill>
          </w14:textFill>
        </w:rPr>
        <w:t>3.53</w:t>
      </w:r>
      <w:r>
        <w:rPr>
          <w:rFonts w:hint="eastAsia" w:ascii="宋体" w:hAnsi="宋体"/>
          <w:color w:val="000000" w:themeColor="text1"/>
          <w:sz w:val="32"/>
          <w:szCs w:val="32"/>
          <w14:textFill>
            <w14:solidFill>
              <w14:schemeClr w14:val="tx1"/>
            </w14:solidFill>
          </w14:textFill>
        </w:rPr>
        <w:t>万元、离退休费</w:t>
      </w:r>
      <w:r>
        <w:rPr>
          <w:rFonts w:ascii="宋体" w:hAnsi="宋体"/>
          <w:color w:val="000000" w:themeColor="text1"/>
          <w:sz w:val="32"/>
          <w:szCs w:val="32"/>
          <w14:textFill>
            <w14:solidFill>
              <w14:schemeClr w14:val="tx1"/>
            </w14:solidFill>
          </w14:textFill>
        </w:rPr>
        <w:t>96.1</w:t>
      </w:r>
      <w:r>
        <w:rPr>
          <w:rFonts w:hint="eastAsia" w:ascii="宋体" w:hAnsi="宋体"/>
          <w:color w:val="000000" w:themeColor="text1"/>
          <w:sz w:val="32"/>
          <w:szCs w:val="32"/>
          <w14:textFill>
            <w14:solidFill>
              <w14:schemeClr w14:val="tx1"/>
            </w14:solidFill>
          </w14:textFill>
        </w:rPr>
        <w:t>万元。项目支出预算</w:t>
      </w:r>
      <w:r>
        <w:rPr>
          <w:rFonts w:ascii="宋体" w:hAnsi="宋体"/>
          <w:color w:val="000000" w:themeColor="text1"/>
          <w:sz w:val="32"/>
          <w:szCs w:val="32"/>
          <w14:textFill>
            <w14:solidFill>
              <w14:schemeClr w14:val="tx1"/>
            </w14:solidFill>
          </w14:textFill>
        </w:rPr>
        <w:t>89.8</w:t>
      </w:r>
      <w:r>
        <w:rPr>
          <w:rFonts w:hint="eastAsia" w:ascii="宋体" w:hAnsi="宋体"/>
          <w:color w:val="000000" w:themeColor="text1"/>
          <w:sz w:val="32"/>
          <w:szCs w:val="32"/>
          <w14:textFill>
            <w14:solidFill>
              <w14:schemeClr w14:val="tx1"/>
            </w14:solidFill>
          </w14:textFill>
        </w:rPr>
        <w:t>万元，全部为当年预算安排。</w:t>
      </w:r>
    </w:p>
    <w:p>
      <w:pPr>
        <w:ind w:firstLine="636"/>
        <w:rPr>
          <w:rFonts w:hint="eastAsia" w:ascii="黑体" w:hAnsi="黑体" w:eastAsia="黑体" w:cs="黑体"/>
          <w:bCs/>
          <w:sz w:val="32"/>
          <w:szCs w:val="32"/>
        </w:rPr>
      </w:pPr>
      <w:r>
        <w:rPr>
          <w:rFonts w:hint="eastAsia" w:ascii="黑体" w:hAnsi="黑体" w:eastAsia="黑体" w:cs="黑体"/>
          <w:bCs/>
          <w:sz w:val="32"/>
          <w:szCs w:val="32"/>
        </w:rPr>
        <w:t>二、“三公”经费增减变动原因说明</w:t>
      </w:r>
    </w:p>
    <w:p>
      <w:pPr>
        <w:ind w:firstLine="636"/>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2022年一般公共预算安排的“三公”经费预算0万元，比2021年减少</w:t>
      </w:r>
      <w:r>
        <w:rPr>
          <w:rFonts w:ascii="宋体" w:hAnsi="宋体"/>
          <w:color w:val="000000" w:themeColor="text1"/>
          <w:sz w:val="32"/>
          <w:szCs w:val="32"/>
          <w14:textFill>
            <w14:solidFill>
              <w14:schemeClr w14:val="tx1"/>
            </w14:solidFill>
          </w14:textFill>
        </w:rPr>
        <w:t>1.6</w:t>
      </w:r>
      <w:r>
        <w:rPr>
          <w:rFonts w:hint="eastAsia" w:ascii="宋体" w:hAnsi="宋体"/>
          <w:color w:val="000000" w:themeColor="text1"/>
          <w:sz w:val="32"/>
          <w:szCs w:val="32"/>
          <w14:textFill>
            <w14:solidFill>
              <w14:schemeClr w14:val="tx1"/>
            </w14:solidFill>
          </w14:textFill>
        </w:rPr>
        <w:t>万元，原因是我校2022年公务用车经费</w:t>
      </w:r>
      <w:r>
        <w:rPr>
          <w:rFonts w:ascii="宋体" w:hAnsi="宋体"/>
          <w:color w:val="000000" w:themeColor="text1"/>
          <w:sz w:val="32"/>
          <w:szCs w:val="32"/>
          <w14:textFill>
            <w14:solidFill>
              <w14:schemeClr w14:val="tx1"/>
            </w14:solidFill>
          </w14:textFill>
        </w:rPr>
        <w:t>1.6</w:t>
      </w:r>
      <w:r>
        <w:rPr>
          <w:rFonts w:hint="eastAsia" w:ascii="宋体" w:hAnsi="宋体"/>
          <w:color w:val="000000" w:themeColor="text1"/>
          <w:sz w:val="32"/>
          <w:szCs w:val="32"/>
          <w14:textFill>
            <w14:solidFill>
              <w14:schemeClr w14:val="tx1"/>
            </w14:solidFill>
          </w14:textFill>
        </w:rPr>
        <w:t>万元安排在义务教育补助经费项目中支出。</w:t>
      </w:r>
    </w:p>
    <w:p>
      <w:pPr>
        <w:ind w:firstLine="636"/>
        <w:rPr>
          <w:rFonts w:hint="eastAsia" w:ascii="黑体" w:hAnsi="黑体" w:eastAsia="黑体" w:cs="黑体"/>
          <w:bCs/>
          <w:sz w:val="32"/>
          <w:szCs w:val="32"/>
        </w:rPr>
      </w:pPr>
      <w:r>
        <w:rPr>
          <w:rFonts w:hint="eastAsia" w:ascii="黑体" w:hAnsi="黑体" w:eastAsia="黑体" w:cs="黑体"/>
          <w:bCs/>
          <w:sz w:val="32"/>
          <w:szCs w:val="32"/>
        </w:rPr>
        <w:t>三、机关运行经费增减变动原因说明</w:t>
      </w:r>
    </w:p>
    <w:p>
      <w:pPr>
        <w:ind w:firstLine="636"/>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我校无部门机关运行经费。</w:t>
      </w:r>
    </w:p>
    <w:p>
      <w:pPr>
        <w:ind w:firstLine="636"/>
        <w:rPr>
          <w:rFonts w:hint="eastAsia" w:ascii="黑体" w:hAnsi="黑体" w:eastAsia="黑体" w:cs="黑体"/>
          <w:bCs/>
          <w:sz w:val="32"/>
          <w:szCs w:val="32"/>
        </w:rPr>
      </w:pPr>
      <w:r>
        <w:rPr>
          <w:rFonts w:hint="eastAsia" w:ascii="黑体" w:hAnsi="黑体" w:eastAsia="黑体" w:cs="黑体"/>
          <w:bCs/>
          <w:sz w:val="32"/>
          <w:szCs w:val="32"/>
        </w:rPr>
        <w:t>四、政府采购情况</w:t>
      </w:r>
    </w:p>
    <w:p>
      <w:pPr>
        <w:ind w:firstLine="636"/>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2022年我校政府采购预算总额</w:t>
      </w:r>
      <w:r>
        <w:rPr>
          <w:rFonts w:ascii="宋体" w:hAnsi="宋体"/>
          <w:color w:val="000000" w:themeColor="text1"/>
          <w:sz w:val="32"/>
          <w:szCs w:val="32"/>
          <w14:textFill>
            <w14:solidFill>
              <w14:schemeClr w14:val="tx1"/>
            </w14:solidFill>
          </w14:textFill>
        </w:rPr>
        <w:t>15.85</w:t>
      </w:r>
      <w:r>
        <w:rPr>
          <w:rFonts w:hint="eastAsia" w:ascii="宋体" w:hAnsi="宋体"/>
          <w:color w:val="000000" w:themeColor="text1"/>
          <w:sz w:val="32"/>
          <w:szCs w:val="32"/>
          <w14:textFill>
            <w14:solidFill>
              <w14:schemeClr w14:val="tx1"/>
            </w14:solidFill>
          </w14:textFill>
        </w:rPr>
        <w:t>万元。</w:t>
      </w:r>
    </w:p>
    <w:p>
      <w:pPr>
        <w:ind w:firstLine="636"/>
        <w:rPr>
          <w:rFonts w:hint="eastAsia" w:ascii="黑体" w:hAnsi="黑体" w:eastAsia="黑体" w:cs="黑体"/>
          <w:bCs/>
          <w:sz w:val="32"/>
          <w:szCs w:val="32"/>
        </w:rPr>
      </w:pPr>
      <w:r>
        <w:rPr>
          <w:rFonts w:hint="eastAsia" w:ascii="黑体" w:hAnsi="黑体" w:eastAsia="黑体" w:cs="黑体"/>
          <w:bCs/>
          <w:sz w:val="32"/>
          <w:szCs w:val="32"/>
        </w:rPr>
        <w:t>五、绩效管理情况</w:t>
      </w:r>
    </w:p>
    <w:p>
      <w:pPr>
        <w:ind w:firstLine="636"/>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1、绩效管理情况</w:t>
      </w:r>
    </w:p>
    <w:p>
      <w:pPr>
        <w:ind w:firstLine="636"/>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2022年我校实行绩效目标管理的项目共3个，涉及一般公共预算当年拨款</w:t>
      </w:r>
      <w:r>
        <w:rPr>
          <w:rFonts w:ascii="宋体" w:hAnsi="宋体"/>
          <w:color w:val="000000" w:themeColor="text1"/>
          <w:sz w:val="32"/>
          <w:szCs w:val="32"/>
          <w14:textFill>
            <w14:solidFill>
              <w14:schemeClr w14:val="tx1"/>
            </w14:solidFill>
          </w14:textFill>
        </w:rPr>
        <w:t>89.8</w:t>
      </w:r>
      <w:r>
        <w:rPr>
          <w:rFonts w:hint="eastAsia" w:ascii="宋体" w:hAnsi="宋体"/>
          <w:color w:val="000000" w:themeColor="text1"/>
          <w:sz w:val="32"/>
          <w:szCs w:val="32"/>
          <w14:textFill>
            <w14:solidFill>
              <w14:schemeClr w14:val="tx1"/>
            </w14:solidFill>
          </w14:textFill>
        </w:rPr>
        <w:t>万元。</w:t>
      </w:r>
    </w:p>
    <w:p>
      <w:pPr>
        <w:ind w:firstLine="636"/>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2、绩效目标情况（鼓励附表说明）</w:t>
      </w:r>
    </w:p>
    <w:p>
      <w:pPr>
        <w:ind w:firstLine="636"/>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2022年，省政府办公厅当年申报预算的项目全部实行绩效目标管理，均已设定绩效目标和绩效指标。项目在申报预算时同步填写《项目绩效目标申报表》，随同预算上报，财政局在批复预算时同步批复绩效目标。</w:t>
      </w:r>
    </w:p>
    <w:p>
      <w:pPr>
        <w:ind w:firstLine="636"/>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每个项目在设定绩效目标时，突出关键绩效指标，围绕产出指标、效益指标和满意度指标分别设置，如产出指标方面设置了数量、质量、时效等指标、效益方面设置了经济效益和社会效益等指标，满意度指标方面设置了服务对象满意度等指标，并对核心指标进行赋予分值，建立了绩效管理目标和指标体系。</w:t>
      </w:r>
    </w:p>
    <w:p>
      <w:pPr>
        <w:ind w:firstLine="636"/>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以下分别列示省政府办公厅2022年度部分项目绩效目标申报表：</w:t>
      </w:r>
    </w:p>
    <w:p>
      <w:pPr>
        <w:ind w:firstLine="636"/>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（一）班主任津贴绩效目标申报表</w:t>
      </w:r>
    </w:p>
    <w:tbl>
      <w:tblPr>
        <w:tblStyle w:val="7"/>
        <w:tblW w:w="5000" w:type="pct"/>
        <w:tblInd w:w="0" w:type="dxa"/>
        <w:tblLayout w:type="autofit"/>
        <w:tblCellMar>
          <w:top w:w="0" w:type="dxa"/>
          <w:left w:w="108" w:type="dxa"/>
          <w:bottom w:w="0" w:type="dxa"/>
          <w:right w:w="108" w:type="dxa"/>
        </w:tblCellMar>
      </w:tblPr>
      <w:tblGrid>
        <w:gridCol w:w="792"/>
        <w:gridCol w:w="936"/>
        <w:gridCol w:w="1512"/>
        <w:gridCol w:w="1512"/>
        <w:gridCol w:w="829"/>
        <w:gridCol w:w="100"/>
        <w:gridCol w:w="315"/>
        <w:gridCol w:w="1121"/>
        <w:gridCol w:w="1512"/>
        <w:gridCol w:w="1225"/>
      </w:tblGrid>
      <w:tr>
        <w:tblPrEx>
          <w:tblCellMar>
            <w:top w:w="0" w:type="dxa"/>
            <w:left w:w="108" w:type="dxa"/>
            <w:bottom w:w="0" w:type="dxa"/>
            <w:right w:w="108" w:type="dxa"/>
          </w:tblCellMar>
        </w:tblPrEx>
        <w:trPr>
          <w:trHeight w:val="959" w:hRule="atLeast"/>
        </w:trPr>
        <w:tc>
          <w:tcPr>
            <w:tcW w:w="5000" w:type="pct"/>
            <w:gridSpan w:val="10"/>
            <w:tcBorders>
              <w:top w:val="nil"/>
              <w:left w:val="nil"/>
              <w:bottom w:val="nil"/>
              <w:right w:val="nil"/>
            </w:tcBorders>
            <w:shd w:val="clear" w:color="auto" w:fill="auto"/>
            <w:vAlign w:val="center"/>
          </w:tcPr>
          <w:p>
            <w:pPr>
              <w:widowControl/>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山西省省级预算部门（单位）项目支出绩效目标申报表</w:t>
            </w:r>
          </w:p>
          <w:p>
            <w:pPr>
              <w:widowControl/>
              <w:jc w:val="center"/>
              <w:rPr>
                <w:rFonts w:hint="eastAsia"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（2</w:t>
            </w:r>
            <w:r>
              <w:rPr>
                <w:rFonts w:ascii="宋体" w:hAnsi="宋体" w:cs="宋体"/>
                <w:b/>
                <w:bCs/>
                <w:color w:val="000000" w:themeColor="text1"/>
                <w:kern w:val="0"/>
                <w:sz w:val="32"/>
                <w:szCs w:val="32"/>
                <w14:textFill>
                  <w14:solidFill>
                    <w14:schemeClr w14:val="tx1"/>
                  </w14:solidFill>
                </w14:textFill>
              </w:rPr>
              <w:t>022</w:t>
            </w:r>
            <w:r>
              <w:rPr>
                <w:rFonts w:hint="eastAsia" w:ascii="宋体" w:hAnsi="宋体" w:cs="宋体"/>
                <w:b/>
                <w:bCs/>
                <w:color w:val="000000" w:themeColor="text1"/>
                <w:kern w:val="0"/>
                <w:sz w:val="32"/>
                <w:szCs w:val="32"/>
                <w14:textFill>
                  <w14:solidFill>
                    <w14:schemeClr w14:val="tx1"/>
                  </w14:solidFill>
                </w14:textFill>
              </w:rPr>
              <w:t>年度）</w:t>
            </w:r>
          </w:p>
        </w:tc>
      </w:tr>
      <w:tr>
        <w:tblPrEx>
          <w:tblCellMar>
            <w:top w:w="0" w:type="dxa"/>
            <w:left w:w="108" w:type="dxa"/>
            <w:bottom w:w="0" w:type="dxa"/>
            <w:right w:w="108" w:type="dxa"/>
          </w:tblCellMar>
        </w:tblPrEx>
        <w:trPr>
          <w:trHeight w:val="439" w:hRule="atLeast"/>
        </w:trPr>
        <w:tc>
          <w:tcPr>
            <w:tcW w:w="425" w:type="pct"/>
            <w:tcBorders>
              <w:top w:val="nil"/>
              <w:left w:val="nil"/>
              <w:bottom w:val="nil"/>
              <w:right w:val="nil"/>
            </w:tcBorders>
            <w:shd w:val="clear" w:color="auto" w:fill="auto"/>
            <w:vAlign w:val="center"/>
          </w:tcPr>
          <w:p>
            <w:pPr>
              <w:widowControl/>
              <w:jc w:val="center"/>
              <w:rPr>
                <w:rFonts w:ascii="宋体" w:hAnsi="宋体" w:cs="宋体"/>
                <w:b/>
                <w:bCs/>
                <w:color w:val="000000" w:themeColor="text1"/>
                <w:kern w:val="0"/>
                <w:sz w:val="32"/>
                <w:szCs w:val="32"/>
                <w14:textFill>
                  <w14:solidFill>
                    <w14:schemeClr w14:val="tx1"/>
                  </w14:solidFill>
                </w14:textFill>
              </w:rPr>
            </w:pPr>
          </w:p>
        </w:tc>
        <w:tc>
          <w:tcPr>
            <w:tcW w:w="464" w:type="pct"/>
            <w:tcBorders>
              <w:top w:val="nil"/>
              <w:left w:val="nil"/>
              <w:bottom w:val="nil"/>
              <w:right w:val="nil"/>
            </w:tcBorders>
            <w:shd w:val="clear" w:color="auto" w:fill="auto"/>
            <w:vAlign w:val="center"/>
          </w:tcPr>
          <w:p>
            <w:pPr>
              <w:widowControl/>
              <w:jc w:val="left"/>
              <w:rPr>
                <w:rFonts w:ascii="宋体" w:hAnsi="宋体"/>
                <w:color w:val="000000" w:themeColor="text1"/>
                <w:kern w:val="0"/>
                <w:sz w:val="32"/>
                <w:szCs w:val="32"/>
                <w14:textFill>
                  <w14:solidFill>
                    <w14:schemeClr w14:val="tx1"/>
                  </w14:solidFill>
                </w14:textFill>
              </w:rPr>
            </w:pPr>
          </w:p>
        </w:tc>
        <w:tc>
          <w:tcPr>
            <w:tcW w:w="747" w:type="pct"/>
            <w:tcBorders>
              <w:top w:val="nil"/>
              <w:left w:val="nil"/>
              <w:bottom w:val="nil"/>
              <w:right w:val="nil"/>
            </w:tcBorders>
            <w:shd w:val="clear" w:color="auto" w:fill="auto"/>
            <w:vAlign w:val="center"/>
          </w:tcPr>
          <w:p>
            <w:pPr>
              <w:widowControl/>
              <w:jc w:val="left"/>
              <w:rPr>
                <w:rFonts w:ascii="宋体" w:hAnsi="宋体"/>
                <w:color w:val="000000" w:themeColor="text1"/>
                <w:kern w:val="0"/>
                <w:sz w:val="32"/>
                <w:szCs w:val="32"/>
                <w14:textFill>
                  <w14:solidFill>
                    <w14:schemeClr w14:val="tx1"/>
                  </w14:solidFill>
                </w14:textFill>
              </w:rPr>
            </w:pPr>
          </w:p>
        </w:tc>
        <w:tc>
          <w:tcPr>
            <w:tcW w:w="747" w:type="pct"/>
            <w:tcBorders>
              <w:top w:val="nil"/>
              <w:left w:val="nil"/>
              <w:bottom w:val="nil"/>
              <w:right w:val="nil"/>
            </w:tcBorders>
            <w:shd w:val="clear" w:color="auto" w:fill="auto"/>
            <w:vAlign w:val="center"/>
          </w:tcPr>
          <w:p>
            <w:pPr>
              <w:widowControl/>
              <w:jc w:val="left"/>
              <w:rPr>
                <w:rFonts w:ascii="宋体" w:hAnsi="宋体"/>
                <w:color w:val="000000" w:themeColor="text1"/>
                <w:kern w:val="0"/>
                <w:sz w:val="32"/>
                <w:szCs w:val="32"/>
                <w14:textFill>
                  <w14:solidFill>
                    <w14:schemeClr w14:val="tx1"/>
                  </w14:solidFill>
                </w14:textFill>
              </w:rPr>
            </w:pPr>
          </w:p>
        </w:tc>
        <w:tc>
          <w:tcPr>
            <w:tcW w:w="411" w:type="pct"/>
            <w:tcBorders>
              <w:top w:val="nil"/>
              <w:left w:val="nil"/>
              <w:bottom w:val="nil"/>
              <w:right w:val="nil"/>
            </w:tcBorders>
            <w:shd w:val="clear" w:color="auto" w:fill="auto"/>
          </w:tcPr>
          <w:p>
            <w:pPr>
              <w:widowControl/>
              <w:ind w:left="-73" w:leftChars="-143" w:right="-1" w:hanging="227" w:hangingChars="71"/>
              <w:jc w:val="center"/>
              <w:rPr>
                <w:rFonts w:ascii="宋体" w:hAnsi="宋体" w:cs="宋体"/>
                <w:color w:val="000000" w:themeColor="text1"/>
                <w:kern w:val="0"/>
                <w:sz w:val="32"/>
                <w:szCs w:val="32"/>
                <w14:textFill>
                  <w14:solidFill>
                    <w14:schemeClr w14:val="tx1"/>
                  </w14:solidFill>
                </w14:textFill>
              </w:rPr>
            </w:pPr>
          </w:p>
        </w:tc>
        <w:tc>
          <w:tcPr>
            <w:tcW w:w="797" w:type="pct"/>
            <w:gridSpan w:val="3"/>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32"/>
                <w:szCs w:val="32"/>
                <w14:textFill>
                  <w14:solidFill>
                    <w14:schemeClr w14:val="tx1"/>
                  </w14:solidFill>
                </w14:textFill>
              </w:rPr>
            </w:pPr>
          </w:p>
        </w:tc>
        <w:tc>
          <w:tcPr>
            <w:tcW w:w="747" w:type="pct"/>
            <w:tcBorders>
              <w:top w:val="nil"/>
              <w:left w:val="nil"/>
              <w:bottom w:val="nil"/>
              <w:right w:val="nil"/>
            </w:tcBorders>
            <w:shd w:val="clear" w:color="auto" w:fill="auto"/>
            <w:vAlign w:val="center"/>
          </w:tcPr>
          <w:p>
            <w:pPr>
              <w:widowControl/>
              <w:jc w:val="left"/>
              <w:rPr>
                <w:rFonts w:ascii="宋体" w:hAnsi="宋体"/>
                <w:color w:val="000000" w:themeColor="text1"/>
                <w:kern w:val="0"/>
                <w:sz w:val="32"/>
                <w:szCs w:val="32"/>
                <w14:textFill>
                  <w14:solidFill>
                    <w14:schemeClr w14:val="tx1"/>
                  </w14:solidFill>
                </w14:textFill>
              </w:rPr>
            </w:pPr>
          </w:p>
        </w:tc>
        <w:tc>
          <w:tcPr>
            <w:tcW w:w="661" w:type="pct"/>
            <w:tcBorders>
              <w:top w:val="nil"/>
              <w:left w:val="nil"/>
              <w:bottom w:val="nil"/>
              <w:right w:val="nil"/>
            </w:tcBorders>
            <w:shd w:val="clear" w:color="auto" w:fill="auto"/>
            <w:vAlign w:val="center"/>
          </w:tcPr>
          <w:p>
            <w:pPr>
              <w:widowControl/>
              <w:jc w:val="left"/>
              <w:rPr>
                <w:rFonts w:ascii="宋体" w:hAnsi="宋体"/>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trHeight w:val="521" w:hRule="atLeast"/>
        </w:trPr>
        <w:tc>
          <w:tcPr>
            <w:tcW w:w="16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项目名称</w:t>
            </w:r>
          </w:p>
        </w:tc>
        <w:tc>
          <w:tcPr>
            <w:tcW w:w="3364"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J初中班主任津贴</w:t>
            </w:r>
          </w:p>
        </w:tc>
      </w:tr>
      <w:tr>
        <w:tblPrEx>
          <w:tblCellMar>
            <w:top w:w="0" w:type="dxa"/>
            <w:left w:w="108" w:type="dxa"/>
            <w:bottom w:w="0" w:type="dxa"/>
            <w:right w:w="108" w:type="dxa"/>
          </w:tblCellMar>
        </w:tblPrEx>
        <w:trPr>
          <w:trHeight w:val="521" w:hRule="atLeast"/>
        </w:trPr>
        <w:tc>
          <w:tcPr>
            <w:tcW w:w="16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主管部门及代码</w:t>
            </w:r>
          </w:p>
        </w:tc>
        <w:tc>
          <w:tcPr>
            <w:tcW w:w="1374"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050-大同市教育局[部门]</w:t>
            </w:r>
          </w:p>
        </w:tc>
        <w:tc>
          <w:tcPr>
            <w:tcW w:w="581"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实施单位</w:t>
            </w:r>
          </w:p>
        </w:tc>
        <w:tc>
          <w:tcPr>
            <w:tcW w:w="1409"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大同市第十三中学校</w:t>
            </w:r>
          </w:p>
        </w:tc>
      </w:tr>
      <w:tr>
        <w:tblPrEx>
          <w:tblCellMar>
            <w:top w:w="0" w:type="dxa"/>
            <w:left w:w="108" w:type="dxa"/>
            <w:bottom w:w="0" w:type="dxa"/>
            <w:right w:w="108" w:type="dxa"/>
          </w:tblCellMar>
        </w:tblPrEx>
        <w:trPr>
          <w:trHeight w:val="521" w:hRule="atLeast"/>
        </w:trPr>
        <w:tc>
          <w:tcPr>
            <w:tcW w:w="16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项目属性</w:t>
            </w:r>
          </w:p>
        </w:tc>
        <w:tc>
          <w:tcPr>
            <w:tcW w:w="1374"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经常性项目（长期开展）</w:t>
            </w:r>
          </w:p>
        </w:tc>
        <w:tc>
          <w:tcPr>
            <w:tcW w:w="581"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项目期</w:t>
            </w:r>
          </w:p>
        </w:tc>
        <w:tc>
          <w:tcPr>
            <w:tcW w:w="1409"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3年</w:t>
            </w:r>
          </w:p>
        </w:tc>
      </w:tr>
      <w:tr>
        <w:trPr>
          <w:trHeight w:val="521" w:hRule="atLeast"/>
        </w:trPr>
        <w:tc>
          <w:tcPr>
            <w:tcW w:w="1636"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项目资金</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（元）</w:t>
            </w:r>
          </w:p>
        </w:tc>
        <w:tc>
          <w:tcPr>
            <w:tcW w:w="747"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实施期资金总额：</w:t>
            </w:r>
          </w:p>
        </w:tc>
        <w:tc>
          <w:tcPr>
            <w:tcW w:w="626"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324,000</w:t>
            </w:r>
          </w:p>
        </w:tc>
        <w:tc>
          <w:tcPr>
            <w:tcW w:w="581"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年度资金总额：</w:t>
            </w:r>
          </w:p>
        </w:tc>
        <w:tc>
          <w:tcPr>
            <w:tcW w:w="1409"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108,000</w:t>
            </w:r>
          </w:p>
        </w:tc>
      </w:tr>
      <w:tr>
        <w:tblPrEx>
          <w:tblCellMar>
            <w:top w:w="0" w:type="dxa"/>
            <w:left w:w="108" w:type="dxa"/>
            <w:bottom w:w="0" w:type="dxa"/>
            <w:right w:w="108" w:type="dxa"/>
          </w:tblCellMar>
        </w:tblPrEx>
        <w:trPr>
          <w:trHeight w:val="521" w:hRule="atLeast"/>
        </w:trPr>
        <w:tc>
          <w:tcPr>
            <w:tcW w:w="163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其中：中央财政资金</w:t>
            </w:r>
          </w:p>
        </w:tc>
        <w:tc>
          <w:tcPr>
            <w:tcW w:w="626"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w:t>
            </w:r>
          </w:p>
        </w:tc>
        <w:tc>
          <w:tcPr>
            <w:tcW w:w="581"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其中：中央财政资金</w:t>
            </w:r>
          </w:p>
        </w:tc>
        <w:tc>
          <w:tcPr>
            <w:tcW w:w="1409"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w:t>
            </w:r>
          </w:p>
        </w:tc>
      </w:tr>
      <w:tr>
        <w:tblPrEx>
          <w:tblCellMar>
            <w:top w:w="0" w:type="dxa"/>
            <w:left w:w="108" w:type="dxa"/>
            <w:bottom w:w="0" w:type="dxa"/>
            <w:right w:w="108" w:type="dxa"/>
          </w:tblCellMar>
        </w:tblPrEx>
        <w:trPr>
          <w:trHeight w:val="521" w:hRule="atLeast"/>
        </w:trPr>
        <w:tc>
          <w:tcPr>
            <w:tcW w:w="163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省级财政资金</w:t>
            </w:r>
          </w:p>
        </w:tc>
        <w:tc>
          <w:tcPr>
            <w:tcW w:w="626"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w:t>
            </w:r>
          </w:p>
        </w:tc>
        <w:tc>
          <w:tcPr>
            <w:tcW w:w="581"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省级财政资金</w:t>
            </w:r>
          </w:p>
        </w:tc>
        <w:tc>
          <w:tcPr>
            <w:tcW w:w="1409"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w:t>
            </w:r>
          </w:p>
        </w:tc>
      </w:tr>
      <w:tr>
        <w:tblPrEx>
          <w:tblCellMar>
            <w:top w:w="0" w:type="dxa"/>
            <w:left w:w="108" w:type="dxa"/>
            <w:bottom w:w="0" w:type="dxa"/>
            <w:right w:w="108" w:type="dxa"/>
          </w:tblCellMar>
        </w:tblPrEx>
        <w:trPr>
          <w:trHeight w:val="521" w:hRule="atLeast"/>
        </w:trPr>
        <w:tc>
          <w:tcPr>
            <w:tcW w:w="163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市县（区）财政资金</w:t>
            </w:r>
          </w:p>
        </w:tc>
        <w:tc>
          <w:tcPr>
            <w:tcW w:w="626"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324,000</w:t>
            </w:r>
          </w:p>
        </w:tc>
        <w:tc>
          <w:tcPr>
            <w:tcW w:w="581"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市县（区）财政资金</w:t>
            </w:r>
          </w:p>
        </w:tc>
        <w:tc>
          <w:tcPr>
            <w:tcW w:w="1409"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108,000</w:t>
            </w:r>
          </w:p>
        </w:tc>
      </w:tr>
      <w:tr>
        <w:tblPrEx>
          <w:tblCellMar>
            <w:top w:w="0" w:type="dxa"/>
            <w:left w:w="108" w:type="dxa"/>
            <w:bottom w:w="0" w:type="dxa"/>
            <w:right w:w="108" w:type="dxa"/>
          </w:tblCellMar>
        </w:tblPrEx>
        <w:trPr>
          <w:trHeight w:val="521" w:hRule="atLeast"/>
        </w:trPr>
        <w:tc>
          <w:tcPr>
            <w:tcW w:w="163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单位自筹</w:t>
            </w:r>
          </w:p>
        </w:tc>
        <w:tc>
          <w:tcPr>
            <w:tcW w:w="626"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w:t>
            </w:r>
          </w:p>
        </w:tc>
        <w:tc>
          <w:tcPr>
            <w:tcW w:w="581"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单位自筹</w:t>
            </w:r>
          </w:p>
        </w:tc>
        <w:tc>
          <w:tcPr>
            <w:tcW w:w="1409"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w:t>
            </w:r>
          </w:p>
        </w:tc>
      </w:tr>
      <w:tr>
        <w:tblPrEx>
          <w:tblCellMar>
            <w:top w:w="0" w:type="dxa"/>
            <w:left w:w="108" w:type="dxa"/>
            <w:bottom w:w="0" w:type="dxa"/>
            <w:right w:w="108" w:type="dxa"/>
          </w:tblCellMar>
        </w:tblPrEx>
        <w:trPr>
          <w:trHeight w:val="521" w:hRule="atLeast"/>
        </w:trPr>
        <w:tc>
          <w:tcPr>
            <w:tcW w:w="163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其他资金</w:t>
            </w:r>
          </w:p>
        </w:tc>
        <w:tc>
          <w:tcPr>
            <w:tcW w:w="626"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581"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其他资金</w:t>
            </w:r>
          </w:p>
        </w:tc>
        <w:tc>
          <w:tcPr>
            <w:tcW w:w="1409"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642" w:hRule="atLeast"/>
        </w:trPr>
        <w:tc>
          <w:tcPr>
            <w:tcW w:w="16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项目概况</w:t>
            </w:r>
          </w:p>
        </w:tc>
        <w:tc>
          <w:tcPr>
            <w:tcW w:w="3364"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班主任津贴：因学校实行班主任管理制度，班主任全面负责一个班级学生的思想、学习、生活、全权负责管理一个班级。特安排班主任工作进行考核，更好的辅助教学。</w:t>
            </w:r>
          </w:p>
        </w:tc>
      </w:tr>
      <w:tr>
        <w:tblPrEx>
          <w:tblCellMar>
            <w:top w:w="0" w:type="dxa"/>
            <w:left w:w="108" w:type="dxa"/>
            <w:bottom w:w="0" w:type="dxa"/>
            <w:right w:w="108" w:type="dxa"/>
          </w:tblCellMar>
        </w:tblPrEx>
        <w:trPr>
          <w:trHeight w:val="642" w:hRule="atLeast"/>
        </w:trPr>
        <w:tc>
          <w:tcPr>
            <w:tcW w:w="16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立项依据</w:t>
            </w:r>
          </w:p>
        </w:tc>
        <w:tc>
          <w:tcPr>
            <w:tcW w:w="3364"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参照《中华人民共和国预算法》、《大同市十三中内部控制制度》及学校办公会议纪要。</w:t>
            </w:r>
          </w:p>
        </w:tc>
      </w:tr>
      <w:tr>
        <w:tblPrEx>
          <w:tblCellMar>
            <w:top w:w="0" w:type="dxa"/>
            <w:left w:w="108" w:type="dxa"/>
            <w:bottom w:w="0" w:type="dxa"/>
            <w:right w:w="108" w:type="dxa"/>
          </w:tblCellMar>
        </w:tblPrEx>
        <w:trPr>
          <w:trHeight w:val="642" w:hRule="atLeast"/>
        </w:trPr>
        <w:tc>
          <w:tcPr>
            <w:tcW w:w="16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项目设立必要性</w:t>
            </w:r>
          </w:p>
        </w:tc>
        <w:tc>
          <w:tcPr>
            <w:tcW w:w="3364"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为提高我市教育教学质量，理好的管理班级，特设立班主任津贴。</w:t>
            </w:r>
          </w:p>
        </w:tc>
      </w:tr>
      <w:tr>
        <w:tblPrEx>
          <w:tblCellMar>
            <w:top w:w="0" w:type="dxa"/>
            <w:left w:w="108" w:type="dxa"/>
            <w:bottom w:w="0" w:type="dxa"/>
            <w:right w:w="108" w:type="dxa"/>
          </w:tblCellMar>
        </w:tblPrEx>
        <w:trPr>
          <w:trHeight w:val="642" w:hRule="atLeast"/>
        </w:trPr>
        <w:tc>
          <w:tcPr>
            <w:tcW w:w="16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保证项目实施的制度、措施</w:t>
            </w:r>
          </w:p>
        </w:tc>
        <w:tc>
          <w:tcPr>
            <w:tcW w:w="3364"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1、严格执行《大同市十三中内控制度》及班主任津贴发放标准。2、严格执行《政府会计制度》。3、班主任考核制度。</w:t>
            </w:r>
          </w:p>
        </w:tc>
      </w:tr>
      <w:tr>
        <w:tblPrEx>
          <w:tblCellMar>
            <w:top w:w="0" w:type="dxa"/>
            <w:left w:w="108" w:type="dxa"/>
            <w:bottom w:w="0" w:type="dxa"/>
            <w:right w:w="108" w:type="dxa"/>
          </w:tblCellMar>
        </w:tblPrEx>
        <w:trPr>
          <w:trHeight w:val="642" w:hRule="atLeast"/>
        </w:trPr>
        <w:tc>
          <w:tcPr>
            <w:tcW w:w="16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项目实施计划</w:t>
            </w:r>
          </w:p>
        </w:tc>
        <w:tc>
          <w:tcPr>
            <w:tcW w:w="3364"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班主任津贴从2022年1月开始至2022年12月结束</w:t>
            </w:r>
          </w:p>
        </w:tc>
      </w:tr>
      <w:tr>
        <w:tblPrEx>
          <w:tblCellMar>
            <w:top w:w="0" w:type="dxa"/>
            <w:left w:w="108" w:type="dxa"/>
            <w:bottom w:w="0" w:type="dxa"/>
            <w:right w:w="108" w:type="dxa"/>
          </w:tblCellMar>
        </w:tblPrEx>
        <w:trPr>
          <w:trHeight w:val="642"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642" w:hRule="atLeast"/>
        </w:trPr>
        <w:tc>
          <w:tcPr>
            <w:tcW w:w="284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实施期目标</w:t>
            </w:r>
          </w:p>
        </w:tc>
        <w:tc>
          <w:tcPr>
            <w:tcW w:w="2154"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年度目标</w:t>
            </w:r>
          </w:p>
        </w:tc>
      </w:tr>
      <w:tr>
        <w:tblPrEx>
          <w:tblCellMar>
            <w:top w:w="0" w:type="dxa"/>
            <w:left w:w="108" w:type="dxa"/>
            <w:bottom w:w="0" w:type="dxa"/>
            <w:right w:w="108" w:type="dxa"/>
          </w:tblCellMar>
        </w:tblPrEx>
        <w:trPr>
          <w:trHeight w:val="1002" w:hRule="atLeast"/>
        </w:trPr>
        <w:tc>
          <w:tcPr>
            <w:tcW w:w="425"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总体目标</w:t>
            </w:r>
          </w:p>
        </w:tc>
        <w:tc>
          <w:tcPr>
            <w:tcW w:w="2421" w:type="pct"/>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通过支付班主任津贴调动肯定鼓励班主任工作，使学校的基层管理工作扎实落到实处。</w:t>
            </w:r>
          </w:p>
        </w:tc>
        <w:tc>
          <w:tcPr>
            <w:tcW w:w="2154"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通过支付班主任津贴调动肯定鼓励班主任工作，使学校的基层管理工作扎实落到实处。</w:t>
            </w:r>
          </w:p>
        </w:tc>
      </w:tr>
      <w:tr>
        <w:tblPrEx>
          <w:tblCellMar>
            <w:top w:w="0" w:type="dxa"/>
            <w:left w:w="108" w:type="dxa"/>
            <w:bottom w:w="0" w:type="dxa"/>
            <w:right w:w="108" w:type="dxa"/>
          </w:tblCellMar>
        </w:tblPrEx>
        <w:trPr>
          <w:trHeight w:val="436" w:hRule="atLeast"/>
        </w:trPr>
        <w:tc>
          <w:tcPr>
            <w:tcW w:w="425" w:type="pct"/>
            <w:vMerge w:val="restart"/>
            <w:tcBorders>
              <w:top w:val="nil"/>
              <w:left w:val="single" w:color="000000" w:sz="4" w:space="0"/>
              <w:bottom w:val="nil"/>
              <w:right w:val="single" w:color="000000" w:sz="4" w:space="0"/>
            </w:tcBorders>
            <w:shd w:val="clear" w:color="auto" w:fill="auto"/>
            <w:textDirection w:val="tbRlV"/>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绩效指标</w:t>
            </w:r>
          </w:p>
        </w:tc>
        <w:tc>
          <w:tcPr>
            <w:tcW w:w="46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一级指标</w:t>
            </w:r>
          </w:p>
        </w:tc>
        <w:tc>
          <w:tcPr>
            <w:tcW w:w="747"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二级指标</w:t>
            </w:r>
          </w:p>
        </w:tc>
        <w:tc>
          <w:tcPr>
            <w:tcW w:w="747"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三级指标</w:t>
            </w:r>
          </w:p>
        </w:tc>
        <w:tc>
          <w:tcPr>
            <w:tcW w:w="411"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指标值</w:t>
            </w:r>
          </w:p>
        </w:tc>
        <w:tc>
          <w:tcPr>
            <w:tcW w:w="797" w:type="pct"/>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二级指标</w:t>
            </w:r>
          </w:p>
        </w:tc>
        <w:tc>
          <w:tcPr>
            <w:tcW w:w="747"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三级指标</w:t>
            </w:r>
          </w:p>
        </w:tc>
        <w:tc>
          <w:tcPr>
            <w:tcW w:w="661"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指标值</w:t>
            </w:r>
          </w:p>
        </w:tc>
      </w:tr>
      <w:tr>
        <w:tblPrEx>
          <w:tblCellMar>
            <w:top w:w="0" w:type="dxa"/>
            <w:left w:w="108" w:type="dxa"/>
            <w:bottom w:w="0" w:type="dxa"/>
            <w:right w:w="108" w:type="dxa"/>
          </w:tblCellMar>
        </w:tblPrEx>
        <w:trPr>
          <w:trHeight w:val="439" w:hRule="atLeast"/>
        </w:trPr>
        <w:tc>
          <w:tcPr>
            <w:tcW w:w="425"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4"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产出指标</w:t>
            </w: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数量指标</w:t>
            </w: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重点创新团队建设数</w:t>
            </w:r>
          </w:p>
        </w:tc>
        <w:tc>
          <w:tcPr>
            <w:tcW w:w="411"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≥10个</w:t>
            </w:r>
          </w:p>
        </w:tc>
        <w:tc>
          <w:tcPr>
            <w:tcW w:w="797" w:type="pct"/>
            <w:gridSpan w:val="3"/>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数量指标</w:t>
            </w: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重点创新团队建设数</w:t>
            </w:r>
          </w:p>
        </w:tc>
        <w:tc>
          <w:tcPr>
            <w:tcW w:w="66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≥18班</w:t>
            </w:r>
          </w:p>
        </w:tc>
      </w:tr>
      <w:tr>
        <w:tblPrEx>
          <w:tblCellMar>
            <w:top w:w="0" w:type="dxa"/>
            <w:left w:w="108" w:type="dxa"/>
            <w:bottom w:w="0" w:type="dxa"/>
            <w:right w:w="108" w:type="dxa"/>
          </w:tblCellMar>
        </w:tblPrEx>
        <w:trPr>
          <w:trHeight w:val="439" w:hRule="atLeast"/>
        </w:trPr>
        <w:tc>
          <w:tcPr>
            <w:tcW w:w="425"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质量指标</w:t>
            </w: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学校综合实力排名 </w:t>
            </w:r>
          </w:p>
        </w:tc>
        <w:tc>
          <w:tcPr>
            <w:tcW w:w="411"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完成</w:t>
            </w:r>
          </w:p>
        </w:tc>
        <w:tc>
          <w:tcPr>
            <w:tcW w:w="797" w:type="pct"/>
            <w:gridSpan w:val="3"/>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质量指标</w:t>
            </w: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学校综合实力排名 </w:t>
            </w:r>
          </w:p>
        </w:tc>
        <w:tc>
          <w:tcPr>
            <w:tcW w:w="66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完成</w:t>
            </w:r>
          </w:p>
        </w:tc>
      </w:tr>
      <w:tr>
        <w:tblPrEx>
          <w:tblCellMar>
            <w:top w:w="0" w:type="dxa"/>
            <w:left w:w="108" w:type="dxa"/>
            <w:bottom w:w="0" w:type="dxa"/>
            <w:right w:w="108" w:type="dxa"/>
          </w:tblCellMar>
        </w:tblPrEx>
        <w:trPr>
          <w:trHeight w:val="439" w:hRule="atLeast"/>
        </w:trPr>
        <w:tc>
          <w:tcPr>
            <w:tcW w:w="425"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时效指标</w:t>
            </w: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建设完成及时性</w:t>
            </w:r>
          </w:p>
        </w:tc>
        <w:tc>
          <w:tcPr>
            <w:tcW w:w="411"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及时100%</w:t>
            </w:r>
          </w:p>
        </w:tc>
        <w:tc>
          <w:tcPr>
            <w:tcW w:w="797" w:type="pct"/>
            <w:gridSpan w:val="3"/>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时效指标</w:t>
            </w: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建设完成及时性</w:t>
            </w:r>
          </w:p>
        </w:tc>
        <w:tc>
          <w:tcPr>
            <w:tcW w:w="66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及时100%</w:t>
            </w:r>
          </w:p>
        </w:tc>
      </w:tr>
      <w:tr>
        <w:tblPrEx>
          <w:tblCellMar>
            <w:top w:w="0" w:type="dxa"/>
            <w:left w:w="108" w:type="dxa"/>
            <w:bottom w:w="0" w:type="dxa"/>
            <w:right w:w="108" w:type="dxa"/>
          </w:tblCellMar>
        </w:tblPrEx>
        <w:trPr>
          <w:trHeight w:val="439" w:hRule="atLeast"/>
        </w:trPr>
        <w:tc>
          <w:tcPr>
            <w:tcW w:w="425"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成本指标</w:t>
            </w: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11"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97" w:type="pct"/>
            <w:gridSpan w:val="3"/>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成本指标</w:t>
            </w: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6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4"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效益指标</w:t>
            </w: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经济效益指标</w:t>
            </w: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11"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97" w:type="pct"/>
            <w:gridSpan w:val="3"/>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经济效益指标</w:t>
            </w: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6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社会效益指标</w:t>
            </w: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教师创新能力</w:t>
            </w:r>
          </w:p>
        </w:tc>
        <w:tc>
          <w:tcPr>
            <w:tcW w:w="411"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提升100%</w:t>
            </w:r>
          </w:p>
        </w:tc>
        <w:tc>
          <w:tcPr>
            <w:tcW w:w="797" w:type="pct"/>
            <w:gridSpan w:val="3"/>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社会效益指标</w:t>
            </w: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教师创新能力</w:t>
            </w:r>
          </w:p>
        </w:tc>
        <w:tc>
          <w:tcPr>
            <w:tcW w:w="66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提升100%</w:t>
            </w:r>
          </w:p>
        </w:tc>
      </w:tr>
      <w:tr>
        <w:tblPrEx>
          <w:tblCellMar>
            <w:top w:w="0" w:type="dxa"/>
            <w:left w:w="108" w:type="dxa"/>
            <w:bottom w:w="0" w:type="dxa"/>
            <w:right w:w="108" w:type="dxa"/>
          </w:tblCellMar>
        </w:tblPrEx>
        <w:trPr>
          <w:trHeight w:val="439" w:hRule="atLeast"/>
        </w:trPr>
        <w:tc>
          <w:tcPr>
            <w:tcW w:w="425"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教师需求满足度</w:t>
            </w:r>
          </w:p>
        </w:tc>
        <w:tc>
          <w:tcPr>
            <w:tcW w:w="411"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提高100%</w:t>
            </w:r>
          </w:p>
        </w:tc>
        <w:tc>
          <w:tcPr>
            <w:tcW w:w="797"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教师需求满足度</w:t>
            </w:r>
          </w:p>
        </w:tc>
        <w:tc>
          <w:tcPr>
            <w:tcW w:w="66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提高100%</w:t>
            </w:r>
          </w:p>
        </w:tc>
      </w:tr>
      <w:tr>
        <w:tblPrEx>
          <w:tblCellMar>
            <w:top w:w="0" w:type="dxa"/>
            <w:left w:w="108" w:type="dxa"/>
            <w:bottom w:w="0" w:type="dxa"/>
            <w:right w:w="108" w:type="dxa"/>
          </w:tblCellMar>
        </w:tblPrEx>
        <w:trPr>
          <w:trHeight w:val="439" w:hRule="atLeast"/>
        </w:trPr>
        <w:tc>
          <w:tcPr>
            <w:tcW w:w="425"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办学社会认可度</w:t>
            </w:r>
          </w:p>
        </w:tc>
        <w:tc>
          <w:tcPr>
            <w:tcW w:w="411"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满意100%</w:t>
            </w:r>
          </w:p>
        </w:tc>
        <w:tc>
          <w:tcPr>
            <w:tcW w:w="797"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办学社会认可度</w:t>
            </w:r>
          </w:p>
        </w:tc>
        <w:tc>
          <w:tcPr>
            <w:tcW w:w="66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满意100%</w:t>
            </w:r>
          </w:p>
        </w:tc>
      </w:tr>
      <w:tr>
        <w:tblPrEx>
          <w:tblCellMar>
            <w:top w:w="0" w:type="dxa"/>
            <w:left w:w="108" w:type="dxa"/>
            <w:bottom w:w="0" w:type="dxa"/>
            <w:right w:w="108" w:type="dxa"/>
          </w:tblCellMar>
        </w:tblPrEx>
        <w:trPr>
          <w:trHeight w:val="439" w:hRule="atLeast"/>
        </w:trPr>
        <w:tc>
          <w:tcPr>
            <w:tcW w:w="425"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教师专业化水平</w:t>
            </w:r>
          </w:p>
        </w:tc>
        <w:tc>
          <w:tcPr>
            <w:tcW w:w="411"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提高100%</w:t>
            </w:r>
          </w:p>
        </w:tc>
        <w:tc>
          <w:tcPr>
            <w:tcW w:w="797"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教师专业化水平</w:t>
            </w:r>
          </w:p>
        </w:tc>
        <w:tc>
          <w:tcPr>
            <w:tcW w:w="66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提高100%</w:t>
            </w:r>
          </w:p>
        </w:tc>
      </w:tr>
      <w:tr>
        <w:tblPrEx>
          <w:tblCellMar>
            <w:top w:w="0" w:type="dxa"/>
            <w:left w:w="108" w:type="dxa"/>
            <w:bottom w:w="0" w:type="dxa"/>
            <w:right w:w="108" w:type="dxa"/>
          </w:tblCellMar>
        </w:tblPrEx>
        <w:trPr>
          <w:trHeight w:val="439" w:hRule="atLeast"/>
        </w:trPr>
        <w:tc>
          <w:tcPr>
            <w:tcW w:w="425"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生态效益指标</w:t>
            </w: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11"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97" w:type="pct"/>
            <w:gridSpan w:val="3"/>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生态效益指标</w:t>
            </w: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6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可持续影响指标</w:t>
            </w: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11"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97" w:type="pct"/>
            <w:gridSpan w:val="3"/>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可持续影响指标</w:t>
            </w: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6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5"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4"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满意度指标</w:t>
            </w:r>
          </w:p>
        </w:tc>
        <w:tc>
          <w:tcPr>
            <w:tcW w:w="747"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服务对象满意度指标</w:t>
            </w: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教师满意度</w:t>
            </w:r>
          </w:p>
        </w:tc>
        <w:tc>
          <w:tcPr>
            <w:tcW w:w="411"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797" w:type="pct"/>
            <w:gridSpan w:val="3"/>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服务对象满意度指标</w:t>
            </w: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教师满意度</w:t>
            </w:r>
          </w:p>
        </w:tc>
        <w:tc>
          <w:tcPr>
            <w:tcW w:w="66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r>
      <w:tr>
        <w:tblPrEx>
          <w:tblCellMar>
            <w:top w:w="0" w:type="dxa"/>
            <w:left w:w="108" w:type="dxa"/>
            <w:bottom w:w="0" w:type="dxa"/>
            <w:right w:w="108" w:type="dxa"/>
          </w:tblCellMar>
        </w:tblPrEx>
        <w:trPr>
          <w:trHeight w:val="439" w:hRule="atLeast"/>
        </w:trPr>
        <w:tc>
          <w:tcPr>
            <w:tcW w:w="425"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用人单位满意度</w:t>
            </w:r>
          </w:p>
        </w:tc>
        <w:tc>
          <w:tcPr>
            <w:tcW w:w="411"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797"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用人单位满意度</w:t>
            </w:r>
          </w:p>
        </w:tc>
        <w:tc>
          <w:tcPr>
            <w:tcW w:w="66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r>
      <w:tr>
        <w:tblPrEx>
          <w:tblCellMar>
            <w:top w:w="0" w:type="dxa"/>
            <w:left w:w="108" w:type="dxa"/>
            <w:bottom w:w="0" w:type="dxa"/>
            <w:right w:w="108" w:type="dxa"/>
          </w:tblCellMar>
        </w:tblPrEx>
        <w:trPr>
          <w:trHeight w:val="291"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521" w:hRule="atLeast"/>
        </w:trPr>
        <w:tc>
          <w:tcPr>
            <w:tcW w:w="425" w:type="pct"/>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负责人：</w:t>
            </w:r>
          </w:p>
        </w:tc>
        <w:tc>
          <w:tcPr>
            <w:tcW w:w="46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4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经办人：</w:t>
            </w:r>
          </w:p>
        </w:tc>
        <w:tc>
          <w:tcPr>
            <w:tcW w:w="74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张玉生</w:t>
            </w:r>
          </w:p>
        </w:tc>
        <w:tc>
          <w:tcPr>
            <w:tcW w:w="411"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联系电话：</w:t>
            </w:r>
          </w:p>
        </w:tc>
        <w:tc>
          <w:tcPr>
            <w:tcW w:w="797"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13803420095</w:t>
            </w:r>
          </w:p>
        </w:tc>
        <w:tc>
          <w:tcPr>
            <w:tcW w:w="747"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填报日期：    </w:t>
            </w:r>
          </w:p>
        </w:tc>
        <w:tc>
          <w:tcPr>
            <w:tcW w:w="661"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20211122091806</w:t>
            </w:r>
          </w:p>
        </w:tc>
      </w:tr>
    </w:tbl>
    <w:p>
      <w:pPr>
        <w:ind w:firstLine="636"/>
        <w:rPr>
          <w:rFonts w:ascii="宋体" w:hAnsi="宋体"/>
          <w:color w:val="000000" w:themeColor="text1"/>
          <w:sz w:val="32"/>
          <w:szCs w:val="32"/>
          <w14:textFill>
            <w14:solidFill>
              <w14:schemeClr w14:val="tx1"/>
            </w14:solidFill>
          </w14:textFill>
        </w:rPr>
      </w:pPr>
    </w:p>
    <w:p>
      <w:pPr>
        <w:ind w:firstLine="636"/>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（二）奖励性绩效工资绩效目标申报表</w:t>
      </w:r>
    </w:p>
    <w:tbl>
      <w:tblPr>
        <w:tblStyle w:val="7"/>
        <w:tblW w:w="5000" w:type="pct"/>
        <w:tblInd w:w="0" w:type="dxa"/>
        <w:tblLayout w:type="autofit"/>
        <w:tblCellMar>
          <w:top w:w="0" w:type="dxa"/>
          <w:left w:w="108" w:type="dxa"/>
          <w:bottom w:w="0" w:type="dxa"/>
          <w:right w:w="108" w:type="dxa"/>
        </w:tblCellMar>
      </w:tblPr>
      <w:tblGrid>
        <w:gridCol w:w="794"/>
        <w:gridCol w:w="938"/>
        <w:gridCol w:w="1515"/>
        <w:gridCol w:w="1515"/>
        <w:gridCol w:w="830"/>
        <w:gridCol w:w="264"/>
        <w:gridCol w:w="210"/>
        <w:gridCol w:w="1046"/>
        <w:gridCol w:w="696"/>
        <w:gridCol w:w="819"/>
        <w:gridCol w:w="1227"/>
      </w:tblGrid>
      <w:tr>
        <w:tblPrEx>
          <w:tblCellMar>
            <w:top w:w="0" w:type="dxa"/>
            <w:left w:w="108" w:type="dxa"/>
            <w:bottom w:w="0" w:type="dxa"/>
            <w:right w:w="108" w:type="dxa"/>
          </w:tblCellMar>
        </w:tblPrEx>
        <w:trPr>
          <w:trHeight w:val="959" w:hRule="atLeast"/>
        </w:trPr>
        <w:tc>
          <w:tcPr>
            <w:tcW w:w="5000" w:type="pct"/>
            <w:gridSpan w:val="11"/>
            <w:tcBorders>
              <w:top w:val="nil"/>
              <w:left w:val="nil"/>
              <w:bottom w:val="nil"/>
              <w:right w:val="nil"/>
            </w:tcBorders>
            <w:shd w:val="clear" w:color="auto" w:fill="auto"/>
            <w:vAlign w:val="center"/>
          </w:tcPr>
          <w:p>
            <w:pPr>
              <w:widowControl/>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山西省省级预算部门（单位）项目支出绩效目标申报表</w:t>
            </w:r>
          </w:p>
          <w:p>
            <w:pPr>
              <w:widowControl/>
              <w:jc w:val="center"/>
              <w:rPr>
                <w:rFonts w:hint="eastAsia"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（2</w:t>
            </w:r>
            <w:r>
              <w:rPr>
                <w:rFonts w:ascii="宋体" w:hAnsi="宋体" w:cs="宋体"/>
                <w:b/>
                <w:bCs/>
                <w:color w:val="000000" w:themeColor="text1"/>
                <w:kern w:val="0"/>
                <w:sz w:val="32"/>
                <w:szCs w:val="32"/>
                <w14:textFill>
                  <w14:solidFill>
                    <w14:schemeClr w14:val="tx1"/>
                  </w14:solidFill>
                </w14:textFill>
              </w:rPr>
              <w:t>022</w:t>
            </w:r>
            <w:r>
              <w:rPr>
                <w:rFonts w:hint="eastAsia" w:ascii="宋体" w:hAnsi="宋体" w:cs="宋体"/>
                <w:b/>
                <w:bCs/>
                <w:color w:val="000000" w:themeColor="text1"/>
                <w:kern w:val="0"/>
                <w:sz w:val="32"/>
                <w:szCs w:val="32"/>
                <w14:textFill>
                  <w14:solidFill>
                    <w14:schemeClr w14:val="tx1"/>
                  </w14:solidFill>
                </w14:textFill>
              </w:rPr>
              <w:t>年度）</w:t>
            </w:r>
          </w:p>
        </w:tc>
      </w:tr>
      <w:tr>
        <w:tblPrEx>
          <w:tblCellMar>
            <w:top w:w="0" w:type="dxa"/>
            <w:left w:w="108" w:type="dxa"/>
            <w:bottom w:w="0" w:type="dxa"/>
            <w:right w:w="108" w:type="dxa"/>
          </w:tblCellMar>
        </w:tblPrEx>
        <w:trPr>
          <w:trHeight w:val="439" w:hRule="atLeast"/>
        </w:trPr>
        <w:tc>
          <w:tcPr>
            <w:tcW w:w="423" w:type="pct"/>
            <w:tcBorders>
              <w:top w:val="nil"/>
              <w:left w:val="nil"/>
              <w:bottom w:val="nil"/>
              <w:right w:val="nil"/>
            </w:tcBorders>
            <w:shd w:val="clear" w:color="auto" w:fill="auto"/>
            <w:vAlign w:val="center"/>
          </w:tcPr>
          <w:p>
            <w:pPr>
              <w:widowControl/>
              <w:jc w:val="center"/>
              <w:rPr>
                <w:rFonts w:ascii="宋体" w:hAnsi="宋体" w:cs="宋体"/>
                <w:b/>
                <w:bCs/>
                <w:color w:val="000000" w:themeColor="text1"/>
                <w:kern w:val="0"/>
                <w:szCs w:val="21"/>
                <w14:textFill>
                  <w14:solidFill>
                    <w14:schemeClr w14:val="tx1"/>
                  </w14:solidFill>
                </w14:textFill>
              </w:rPr>
            </w:pPr>
          </w:p>
        </w:tc>
        <w:tc>
          <w:tcPr>
            <w:tcW w:w="462" w:type="pct"/>
            <w:tcBorders>
              <w:top w:val="nil"/>
              <w:left w:val="nil"/>
              <w:bottom w:val="nil"/>
              <w:right w:val="nil"/>
            </w:tcBorders>
            <w:shd w:val="clear" w:color="auto" w:fill="auto"/>
            <w:vAlign w:val="center"/>
          </w:tcPr>
          <w:p>
            <w:pPr>
              <w:widowControl/>
              <w:jc w:val="left"/>
              <w:rPr>
                <w:rFonts w:ascii="宋体" w:hAnsi="宋体"/>
                <w:color w:val="000000" w:themeColor="text1"/>
                <w:kern w:val="0"/>
                <w:szCs w:val="21"/>
                <w14:textFill>
                  <w14:solidFill>
                    <w14:schemeClr w14:val="tx1"/>
                  </w14:solidFill>
                </w14:textFill>
              </w:rPr>
            </w:pPr>
          </w:p>
        </w:tc>
        <w:tc>
          <w:tcPr>
            <w:tcW w:w="743" w:type="pct"/>
            <w:tcBorders>
              <w:top w:val="nil"/>
              <w:left w:val="nil"/>
              <w:bottom w:val="nil"/>
              <w:right w:val="nil"/>
            </w:tcBorders>
            <w:shd w:val="clear" w:color="auto" w:fill="auto"/>
            <w:vAlign w:val="center"/>
          </w:tcPr>
          <w:p>
            <w:pPr>
              <w:widowControl/>
              <w:jc w:val="left"/>
              <w:rPr>
                <w:rFonts w:ascii="宋体" w:hAnsi="宋体"/>
                <w:color w:val="000000" w:themeColor="text1"/>
                <w:kern w:val="0"/>
                <w:szCs w:val="21"/>
                <w14:textFill>
                  <w14:solidFill>
                    <w14:schemeClr w14:val="tx1"/>
                  </w14:solidFill>
                </w14:textFill>
              </w:rPr>
            </w:pPr>
          </w:p>
        </w:tc>
        <w:tc>
          <w:tcPr>
            <w:tcW w:w="743" w:type="pct"/>
            <w:tcBorders>
              <w:top w:val="nil"/>
              <w:left w:val="nil"/>
              <w:bottom w:val="nil"/>
              <w:right w:val="nil"/>
            </w:tcBorders>
            <w:shd w:val="clear" w:color="auto" w:fill="auto"/>
            <w:vAlign w:val="center"/>
          </w:tcPr>
          <w:p>
            <w:pPr>
              <w:widowControl/>
              <w:jc w:val="left"/>
              <w:rPr>
                <w:rFonts w:ascii="宋体" w:hAnsi="宋体"/>
                <w:color w:val="000000" w:themeColor="text1"/>
                <w:kern w:val="0"/>
                <w:szCs w:val="21"/>
                <w14:textFill>
                  <w14:solidFill>
                    <w14:schemeClr w14:val="tx1"/>
                  </w14:solidFill>
                </w14:textFill>
              </w:rPr>
            </w:pPr>
          </w:p>
        </w:tc>
        <w:tc>
          <w:tcPr>
            <w:tcW w:w="409" w:type="pct"/>
            <w:tcBorders>
              <w:top w:val="nil"/>
              <w:left w:val="nil"/>
              <w:bottom w:val="nil"/>
              <w:right w:val="nil"/>
            </w:tcBorders>
            <w:shd w:val="clear" w:color="auto" w:fill="auto"/>
          </w:tcPr>
          <w:p>
            <w:pPr>
              <w:widowControl/>
              <w:jc w:val="center"/>
              <w:rPr>
                <w:rFonts w:ascii="宋体" w:hAnsi="宋体" w:cs="宋体"/>
                <w:color w:val="000000" w:themeColor="text1"/>
                <w:kern w:val="0"/>
                <w:szCs w:val="21"/>
                <w14:textFill>
                  <w14:solidFill>
                    <w14:schemeClr w14:val="tx1"/>
                  </w14:solidFill>
                </w14:textFill>
              </w:rPr>
            </w:pPr>
          </w:p>
        </w:tc>
        <w:tc>
          <w:tcPr>
            <w:tcW w:w="794" w:type="pct"/>
            <w:gridSpan w:val="3"/>
            <w:tcBorders>
              <w:top w:val="nil"/>
              <w:left w:val="nil"/>
              <w:bottom w:val="nil"/>
              <w:right w:val="nil"/>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p>
        </w:tc>
        <w:tc>
          <w:tcPr>
            <w:tcW w:w="768" w:type="pct"/>
            <w:gridSpan w:val="2"/>
            <w:tcBorders>
              <w:top w:val="nil"/>
              <w:left w:val="nil"/>
              <w:bottom w:val="nil"/>
              <w:right w:val="nil"/>
            </w:tcBorders>
            <w:shd w:val="clear" w:color="auto" w:fill="auto"/>
            <w:vAlign w:val="center"/>
          </w:tcPr>
          <w:p>
            <w:pPr>
              <w:widowControl/>
              <w:jc w:val="left"/>
              <w:rPr>
                <w:rFonts w:ascii="宋体" w:hAnsi="宋体"/>
                <w:color w:val="000000" w:themeColor="text1"/>
                <w:kern w:val="0"/>
                <w:szCs w:val="21"/>
                <w14:textFill>
                  <w14:solidFill>
                    <w14:schemeClr w14:val="tx1"/>
                  </w14:solidFill>
                </w14:textFill>
              </w:rPr>
            </w:pPr>
          </w:p>
        </w:tc>
        <w:tc>
          <w:tcPr>
            <w:tcW w:w="657" w:type="pct"/>
            <w:tcBorders>
              <w:top w:val="nil"/>
              <w:left w:val="nil"/>
              <w:bottom w:val="nil"/>
              <w:right w:val="nil"/>
            </w:tcBorders>
            <w:shd w:val="clear" w:color="auto" w:fill="auto"/>
            <w:vAlign w:val="center"/>
          </w:tcPr>
          <w:p>
            <w:pPr>
              <w:widowControl/>
              <w:jc w:val="left"/>
              <w:rPr>
                <w:rFonts w:ascii="宋体" w:hAnsi="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21" w:hRule="atLeast"/>
        </w:trPr>
        <w:tc>
          <w:tcPr>
            <w:tcW w:w="162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项目名称</w:t>
            </w:r>
          </w:p>
        </w:tc>
        <w:tc>
          <w:tcPr>
            <w:tcW w:w="3371" w:type="pct"/>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J奖励性绩效工资</w:t>
            </w:r>
          </w:p>
        </w:tc>
      </w:tr>
      <w:tr>
        <w:tblPrEx>
          <w:tblCellMar>
            <w:top w:w="0" w:type="dxa"/>
            <w:left w:w="108" w:type="dxa"/>
            <w:bottom w:w="0" w:type="dxa"/>
            <w:right w:w="108" w:type="dxa"/>
          </w:tblCellMar>
        </w:tblPrEx>
        <w:trPr>
          <w:trHeight w:val="521" w:hRule="atLeast"/>
        </w:trPr>
        <w:tc>
          <w:tcPr>
            <w:tcW w:w="162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主管部门及代码</w:t>
            </w:r>
          </w:p>
        </w:tc>
        <w:tc>
          <w:tcPr>
            <w:tcW w:w="1398"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050-大同市教育局[部门]</w:t>
            </w:r>
          </w:p>
        </w:tc>
        <w:tc>
          <w:tcPr>
            <w:tcW w:w="90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实施单位</w:t>
            </w:r>
          </w:p>
        </w:tc>
        <w:tc>
          <w:tcPr>
            <w:tcW w:w="106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大同市第十三中学校</w:t>
            </w:r>
          </w:p>
        </w:tc>
      </w:tr>
      <w:tr>
        <w:tblPrEx>
          <w:tblCellMar>
            <w:top w:w="0" w:type="dxa"/>
            <w:left w:w="108" w:type="dxa"/>
            <w:bottom w:w="0" w:type="dxa"/>
            <w:right w:w="108" w:type="dxa"/>
          </w:tblCellMar>
        </w:tblPrEx>
        <w:trPr>
          <w:trHeight w:val="521" w:hRule="atLeast"/>
        </w:trPr>
        <w:tc>
          <w:tcPr>
            <w:tcW w:w="162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项目属性</w:t>
            </w:r>
          </w:p>
        </w:tc>
        <w:tc>
          <w:tcPr>
            <w:tcW w:w="1398"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经常性项目（长期开展）</w:t>
            </w:r>
          </w:p>
        </w:tc>
        <w:tc>
          <w:tcPr>
            <w:tcW w:w="90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项目期</w:t>
            </w:r>
          </w:p>
        </w:tc>
        <w:tc>
          <w:tcPr>
            <w:tcW w:w="106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3年</w:t>
            </w:r>
          </w:p>
        </w:tc>
      </w:tr>
      <w:tr>
        <w:tblPrEx>
          <w:tblCellMar>
            <w:top w:w="0" w:type="dxa"/>
            <w:left w:w="108" w:type="dxa"/>
            <w:bottom w:w="0" w:type="dxa"/>
            <w:right w:w="108" w:type="dxa"/>
          </w:tblCellMar>
        </w:tblPrEx>
        <w:trPr>
          <w:trHeight w:val="521" w:hRule="atLeast"/>
        </w:trPr>
        <w:tc>
          <w:tcPr>
            <w:tcW w:w="162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项目资金</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（元）</w:t>
            </w:r>
          </w:p>
        </w:tc>
        <w:tc>
          <w:tcPr>
            <w:tcW w:w="74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实施期资金总额：</w:t>
            </w:r>
          </w:p>
        </w:tc>
        <w:tc>
          <w:tcPr>
            <w:tcW w:w="655"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1,620,000</w:t>
            </w:r>
          </w:p>
        </w:tc>
        <w:tc>
          <w:tcPr>
            <w:tcW w:w="90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年度资金总额：</w:t>
            </w:r>
          </w:p>
        </w:tc>
        <w:tc>
          <w:tcPr>
            <w:tcW w:w="106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540,000</w:t>
            </w:r>
          </w:p>
        </w:tc>
      </w:tr>
      <w:tr>
        <w:tblPrEx>
          <w:tblCellMar>
            <w:top w:w="0" w:type="dxa"/>
            <w:left w:w="108" w:type="dxa"/>
            <w:bottom w:w="0" w:type="dxa"/>
            <w:right w:w="108" w:type="dxa"/>
          </w:tblCellMar>
        </w:tblPrEx>
        <w:trPr>
          <w:trHeight w:val="521" w:hRule="atLeast"/>
        </w:trPr>
        <w:tc>
          <w:tcPr>
            <w:tcW w:w="1629"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其中：中央财政资金</w:t>
            </w:r>
          </w:p>
        </w:tc>
        <w:tc>
          <w:tcPr>
            <w:tcW w:w="655"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w:t>
            </w:r>
          </w:p>
        </w:tc>
        <w:tc>
          <w:tcPr>
            <w:tcW w:w="90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其中：中央财政资金</w:t>
            </w:r>
          </w:p>
        </w:tc>
        <w:tc>
          <w:tcPr>
            <w:tcW w:w="106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w:t>
            </w:r>
          </w:p>
        </w:tc>
      </w:tr>
      <w:tr>
        <w:tblPrEx>
          <w:tblCellMar>
            <w:top w:w="0" w:type="dxa"/>
            <w:left w:w="108" w:type="dxa"/>
            <w:bottom w:w="0" w:type="dxa"/>
            <w:right w:w="108" w:type="dxa"/>
          </w:tblCellMar>
        </w:tblPrEx>
        <w:trPr>
          <w:trHeight w:val="521" w:hRule="atLeast"/>
        </w:trPr>
        <w:tc>
          <w:tcPr>
            <w:tcW w:w="1629"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省级财政资金</w:t>
            </w:r>
          </w:p>
        </w:tc>
        <w:tc>
          <w:tcPr>
            <w:tcW w:w="655"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w:t>
            </w:r>
          </w:p>
        </w:tc>
        <w:tc>
          <w:tcPr>
            <w:tcW w:w="90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省级财政资金</w:t>
            </w:r>
          </w:p>
        </w:tc>
        <w:tc>
          <w:tcPr>
            <w:tcW w:w="106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w:t>
            </w:r>
          </w:p>
        </w:tc>
      </w:tr>
      <w:tr>
        <w:tblPrEx>
          <w:tblCellMar>
            <w:top w:w="0" w:type="dxa"/>
            <w:left w:w="108" w:type="dxa"/>
            <w:bottom w:w="0" w:type="dxa"/>
            <w:right w:w="108" w:type="dxa"/>
          </w:tblCellMar>
        </w:tblPrEx>
        <w:trPr>
          <w:trHeight w:val="521" w:hRule="atLeast"/>
        </w:trPr>
        <w:tc>
          <w:tcPr>
            <w:tcW w:w="1629"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市县（区）财政资金</w:t>
            </w:r>
          </w:p>
        </w:tc>
        <w:tc>
          <w:tcPr>
            <w:tcW w:w="655"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1,620,000</w:t>
            </w:r>
          </w:p>
        </w:tc>
        <w:tc>
          <w:tcPr>
            <w:tcW w:w="90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市县（区）财政资金</w:t>
            </w:r>
          </w:p>
        </w:tc>
        <w:tc>
          <w:tcPr>
            <w:tcW w:w="106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540,000</w:t>
            </w:r>
          </w:p>
        </w:tc>
      </w:tr>
      <w:tr>
        <w:tblPrEx>
          <w:tblCellMar>
            <w:top w:w="0" w:type="dxa"/>
            <w:left w:w="108" w:type="dxa"/>
            <w:bottom w:w="0" w:type="dxa"/>
            <w:right w:w="108" w:type="dxa"/>
          </w:tblCellMar>
        </w:tblPrEx>
        <w:trPr>
          <w:trHeight w:val="521" w:hRule="atLeast"/>
        </w:trPr>
        <w:tc>
          <w:tcPr>
            <w:tcW w:w="1629"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单位自筹</w:t>
            </w:r>
          </w:p>
        </w:tc>
        <w:tc>
          <w:tcPr>
            <w:tcW w:w="655"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w:t>
            </w:r>
          </w:p>
        </w:tc>
        <w:tc>
          <w:tcPr>
            <w:tcW w:w="90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单位自筹</w:t>
            </w:r>
          </w:p>
        </w:tc>
        <w:tc>
          <w:tcPr>
            <w:tcW w:w="106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w:t>
            </w:r>
          </w:p>
        </w:tc>
      </w:tr>
      <w:tr>
        <w:tblPrEx>
          <w:tblCellMar>
            <w:top w:w="0" w:type="dxa"/>
            <w:left w:w="108" w:type="dxa"/>
            <w:bottom w:w="0" w:type="dxa"/>
            <w:right w:w="108" w:type="dxa"/>
          </w:tblCellMar>
        </w:tblPrEx>
        <w:trPr>
          <w:trHeight w:val="521" w:hRule="atLeast"/>
        </w:trPr>
        <w:tc>
          <w:tcPr>
            <w:tcW w:w="1629"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其他资金</w:t>
            </w:r>
          </w:p>
        </w:tc>
        <w:tc>
          <w:tcPr>
            <w:tcW w:w="655"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90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其他资金</w:t>
            </w:r>
          </w:p>
        </w:tc>
        <w:tc>
          <w:tcPr>
            <w:tcW w:w="106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642" w:hRule="atLeast"/>
        </w:trPr>
        <w:tc>
          <w:tcPr>
            <w:tcW w:w="162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项目概况</w:t>
            </w:r>
          </w:p>
        </w:tc>
        <w:tc>
          <w:tcPr>
            <w:tcW w:w="3371" w:type="pct"/>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初中校长基金：用于日常教学业务活动等方面的经常性开支。严格执行上级部门的决定，做好支付工作，更好的为广大市民服务，使大同教育迎来新的春天。</w:t>
            </w:r>
          </w:p>
        </w:tc>
      </w:tr>
      <w:tr>
        <w:tblPrEx>
          <w:tblCellMar>
            <w:top w:w="0" w:type="dxa"/>
            <w:left w:w="108" w:type="dxa"/>
            <w:bottom w:w="0" w:type="dxa"/>
            <w:right w:w="108" w:type="dxa"/>
          </w:tblCellMar>
        </w:tblPrEx>
        <w:trPr>
          <w:trHeight w:val="642" w:hRule="atLeast"/>
        </w:trPr>
        <w:tc>
          <w:tcPr>
            <w:tcW w:w="162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立项依据</w:t>
            </w:r>
          </w:p>
        </w:tc>
        <w:tc>
          <w:tcPr>
            <w:tcW w:w="3371" w:type="pct"/>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参照《中华人民共和国预算法》及往年情况设立，根据学校办公会议纪要。       </w:t>
            </w:r>
          </w:p>
        </w:tc>
      </w:tr>
      <w:tr>
        <w:tblPrEx>
          <w:tblCellMar>
            <w:top w:w="0" w:type="dxa"/>
            <w:left w:w="108" w:type="dxa"/>
            <w:bottom w:w="0" w:type="dxa"/>
            <w:right w:w="108" w:type="dxa"/>
          </w:tblCellMar>
        </w:tblPrEx>
        <w:trPr>
          <w:trHeight w:val="642" w:hRule="atLeast"/>
        </w:trPr>
        <w:tc>
          <w:tcPr>
            <w:tcW w:w="162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项目设立必要性</w:t>
            </w:r>
          </w:p>
        </w:tc>
        <w:tc>
          <w:tcPr>
            <w:tcW w:w="3371" w:type="pct"/>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实施初中义务教育，促进基础教育发展。培养目标为“培养具有良好道德素质，扎实的基础理论，健康的心理素质，健全的人格素养，全面发展的主会主义现代化建设者和接班人。”       </w:t>
            </w:r>
          </w:p>
        </w:tc>
      </w:tr>
      <w:tr>
        <w:tblPrEx>
          <w:tblCellMar>
            <w:top w:w="0" w:type="dxa"/>
            <w:left w:w="108" w:type="dxa"/>
            <w:bottom w:w="0" w:type="dxa"/>
            <w:right w:w="108" w:type="dxa"/>
          </w:tblCellMar>
        </w:tblPrEx>
        <w:trPr>
          <w:trHeight w:val="642" w:hRule="atLeast"/>
        </w:trPr>
        <w:tc>
          <w:tcPr>
            <w:tcW w:w="162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保证项目实施的制度、措施</w:t>
            </w:r>
          </w:p>
        </w:tc>
        <w:tc>
          <w:tcPr>
            <w:tcW w:w="3371" w:type="pct"/>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1、严格执行《大同市第十三中学内控制度》及公用经费补助实施标准。2、严格执行《政府会计制度》。  </w:t>
            </w:r>
          </w:p>
        </w:tc>
      </w:tr>
      <w:tr>
        <w:tblPrEx>
          <w:tblCellMar>
            <w:top w:w="0" w:type="dxa"/>
            <w:left w:w="108" w:type="dxa"/>
            <w:bottom w:w="0" w:type="dxa"/>
            <w:right w:w="108" w:type="dxa"/>
          </w:tblCellMar>
        </w:tblPrEx>
        <w:trPr>
          <w:trHeight w:val="642" w:hRule="atLeast"/>
        </w:trPr>
        <w:tc>
          <w:tcPr>
            <w:tcW w:w="162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项目实施计划</w:t>
            </w:r>
          </w:p>
        </w:tc>
        <w:tc>
          <w:tcPr>
            <w:tcW w:w="3371" w:type="pct"/>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初中校长基金从2022年1月开始到2022年12月结束。       </w:t>
            </w:r>
          </w:p>
        </w:tc>
      </w:tr>
      <w:tr>
        <w:tblPrEx>
          <w:tblCellMar>
            <w:top w:w="0" w:type="dxa"/>
            <w:left w:w="108" w:type="dxa"/>
            <w:bottom w:w="0" w:type="dxa"/>
            <w:right w:w="108" w:type="dxa"/>
          </w:tblCellMar>
        </w:tblPrEx>
        <w:trPr>
          <w:trHeight w:val="642"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642" w:hRule="atLeast"/>
        </w:trPr>
        <w:tc>
          <w:tcPr>
            <w:tcW w:w="291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实施期目标</w:t>
            </w:r>
          </w:p>
        </w:tc>
        <w:tc>
          <w:tcPr>
            <w:tcW w:w="2082" w:type="pct"/>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年度目标</w:t>
            </w:r>
          </w:p>
        </w:tc>
      </w:tr>
      <w:tr>
        <w:tblPrEx>
          <w:tblCellMar>
            <w:top w:w="0" w:type="dxa"/>
            <w:left w:w="108" w:type="dxa"/>
            <w:bottom w:w="0" w:type="dxa"/>
            <w:right w:w="108" w:type="dxa"/>
          </w:tblCellMar>
        </w:tblPrEx>
        <w:trPr>
          <w:trHeight w:val="1002" w:hRule="atLeast"/>
        </w:trPr>
        <w:tc>
          <w:tcPr>
            <w:tcW w:w="423"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总体目标</w:t>
            </w:r>
          </w:p>
        </w:tc>
        <w:tc>
          <w:tcPr>
            <w:tcW w:w="2494" w:type="pct"/>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通过支付校长基金经费工作，使学校的基层管理工作扎实落到实处。</w:t>
            </w:r>
          </w:p>
        </w:tc>
        <w:tc>
          <w:tcPr>
            <w:tcW w:w="2082" w:type="pct"/>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通过支付奖励性绩效工资，使学校的基层管理工作扎实落到实处。</w:t>
            </w:r>
          </w:p>
        </w:tc>
      </w:tr>
      <w:tr>
        <w:tblPrEx>
          <w:tblCellMar>
            <w:top w:w="0" w:type="dxa"/>
            <w:left w:w="108" w:type="dxa"/>
            <w:bottom w:w="0" w:type="dxa"/>
            <w:right w:w="108" w:type="dxa"/>
          </w:tblCellMar>
        </w:tblPrEx>
        <w:trPr>
          <w:trHeight w:val="436" w:hRule="atLeast"/>
        </w:trPr>
        <w:tc>
          <w:tcPr>
            <w:tcW w:w="423" w:type="pct"/>
            <w:vMerge w:val="restart"/>
            <w:tcBorders>
              <w:top w:val="nil"/>
              <w:left w:val="single" w:color="000000" w:sz="4" w:space="0"/>
              <w:bottom w:val="nil"/>
              <w:right w:val="single" w:color="000000" w:sz="4" w:space="0"/>
            </w:tcBorders>
            <w:shd w:val="clear" w:color="auto" w:fill="auto"/>
            <w:textDirection w:val="tbRlV"/>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绩效指标</w:t>
            </w:r>
          </w:p>
        </w:tc>
        <w:tc>
          <w:tcPr>
            <w:tcW w:w="462"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一级指标</w:t>
            </w:r>
          </w:p>
        </w:tc>
        <w:tc>
          <w:tcPr>
            <w:tcW w:w="74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二级指标</w:t>
            </w:r>
          </w:p>
        </w:tc>
        <w:tc>
          <w:tcPr>
            <w:tcW w:w="74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三级指标</w:t>
            </w:r>
          </w:p>
        </w:tc>
        <w:tc>
          <w:tcPr>
            <w:tcW w:w="409"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指标值</w:t>
            </w:r>
          </w:p>
        </w:tc>
        <w:tc>
          <w:tcPr>
            <w:tcW w:w="794" w:type="pct"/>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二级指标</w:t>
            </w:r>
          </w:p>
        </w:tc>
        <w:tc>
          <w:tcPr>
            <w:tcW w:w="768" w:type="pct"/>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三级指标</w:t>
            </w:r>
          </w:p>
        </w:tc>
        <w:tc>
          <w:tcPr>
            <w:tcW w:w="65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指标值</w:t>
            </w:r>
          </w:p>
        </w:tc>
      </w:tr>
      <w:tr>
        <w:tblPrEx>
          <w:tblCellMar>
            <w:top w:w="0" w:type="dxa"/>
            <w:left w:w="108" w:type="dxa"/>
            <w:bottom w:w="0" w:type="dxa"/>
            <w:right w:w="108" w:type="dxa"/>
          </w:tblCellMar>
        </w:tblPrEx>
        <w:trPr>
          <w:trHeight w:val="439" w:hRule="atLeast"/>
        </w:trPr>
        <w:tc>
          <w:tcPr>
            <w:tcW w:w="423"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2"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产出指标</w:t>
            </w:r>
          </w:p>
        </w:tc>
        <w:tc>
          <w:tcPr>
            <w:tcW w:w="74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数量指标</w:t>
            </w:r>
          </w:p>
        </w:tc>
        <w:tc>
          <w:tcPr>
            <w:tcW w:w="74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重点创新团队建设数</w:t>
            </w:r>
          </w:p>
        </w:tc>
        <w:tc>
          <w:tcPr>
            <w:tcW w:w="409"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≥10个</w:t>
            </w:r>
          </w:p>
        </w:tc>
        <w:tc>
          <w:tcPr>
            <w:tcW w:w="794" w:type="pct"/>
            <w:gridSpan w:val="3"/>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数量指标</w:t>
            </w:r>
          </w:p>
        </w:tc>
        <w:tc>
          <w:tcPr>
            <w:tcW w:w="768"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重点创新团队建设数</w:t>
            </w:r>
          </w:p>
        </w:tc>
        <w:tc>
          <w:tcPr>
            <w:tcW w:w="65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≥18班</w:t>
            </w:r>
          </w:p>
        </w:tc>
      </w:tr>
      <w:tr>
        <w:tblPrEx>
          <w:tblCellMar>
            <w:top w:w="0" w:type="dxa"/>
            <w:left w:w="108" w:type="dxa"/>
            <w:bottom w:w="0" w:type="dxa"/>
            <w:right w:w="108" w:type="dxa"/>
          </w:tblCellMar>
        </w:tblPrEx>
        <w:trPr>
          <w:trHeight w:val="439" w:hRule="atLeast"/>
        </w:trPr>
        <w:tc>
          <w:tcPr>
            <w:tcW w:w="423"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质量指标</w:t>
            </w:r>
          </w:p>
        </w:tc>
        <w:tc>
          <w:tcPr>
            <w:tcW w:w="74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学校综合实力排名 </w:t>
            </w:r>
          </w:p>
        </w:tc>
        <w:tc>
          <w:tcPr>
            <w:tcW w:w="409"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提高100%</w:t>
            </w:r>
          </w:p>
        </w:tc>
        <w:tc>
          <w:tcPr>
            <w:tcW w:w="794" w:type="pct"/>
            <w:gridSpan w:val="3"/>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质量指标</w:t>
            </w:r>
          </w:p>
        </w:tc>
        <w:tc>
          <w:tcPr>
            <w:tcW w:w="768"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学校综合实力排名 </w:t>
            </w:r>
          </w:p>
        </w:tc>
        <w:tc>
          <w:tcPr>
            <w:tcW w:w="65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提高100%</w:t>
            </w:r>
          </w:p>
        </w:tc>
      </w:tr>
      <w:tr>
        <w:tblPrEx>
          <w:tblCellMar>
            <w:top w:w="0" w:type="dxa"/>
            <w:left w:w="108" w:type="dxa"/>
            <w:bottom w:w="0" w:type="dxa"/>
            <w:right w:w="108" w:type="dxa"/>
          </w:tblCellMar>
        </w:tblPrEx>
        <w:trPr>
          <w:trHeight w:val="439" w:hRule="atLeast"/>
        </w:trPr>
        <w:tc>
          <w:tcPr>
            <w:tcW w:w="423"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时效指标</w:t>
            </w:r>
          </w:p>
        </w:tc>
        <w:tc>
          <w:tcPr>
            <w:tcW w:w="74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建设完成及时性</w:t>
            </w:r>
          </w:p>
        </w:tc>
        <w:tc>
          <w:tcPr>
            <w:tcW w:w="409"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及时100%</w:t>
            </w:r>
          </w:p>
        </w:tc>
        <w:tc>
          <w:tcPr>
            <w:tcW w:w="794" w:type="pct"/>
            <w:gridSpan w:val="3"/>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时效指标</w:t>
            </w:r>
          </w:p>
        </w:tc>
        <w:tc>
          <w:tcPr>
            <w:tcW w:w="768"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建设完成及时性</w:t>
            </w:r>
          </w:p>
        </w:tc>
        <w:tc>
          <w:tcPr>
            <w:tcW w:w="65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及时100%</w:t>
            </w:r>
          </w:p>
        </w:tc>
      </w:tr>
      <w:tr>
        <w:tblPrEx>
          <w:tblCellMar>
            <w:top w:w="0" w:type="dxa"/>
            <w:left w:w="108" w:type="dxa"/>
            <w:bottom w:w="0" w:type="dxa"/>
            <w:right w:w="108" w:type="dxa"/>
          </w:tblCellMar>
        </w:tblPrEx>
        <w:trPr>
          <w:trHeight w:val="439" w:hRule="atLeast"/>
        </w:trPr>
        <w:tc>
          <w:tcPr>
            <w:tcW w:w="423"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成本指标</w:t>
            </w:r>
          </w:p>
        </w:tc>
        <w:tc>
          <w:tcPr>
            <w:tcW w:w="74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09"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94" w:type="pct"/>
            <w:gridSpan w:val="3"/>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成本指标</w:t>
            </w:r>
          </w:p>
        </w:tc>
        <w:tc>
          <w:tcPr>
            <w:tcW w:w="768"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5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3"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2"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效益指标</w:t>
            </w:r>
          </w:p>
        </w:tc>
        <w:tc>
          <w:tcPr>
            <w:tcW w:w="74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经济效益指标</w:t>
            </w:r>
          </w:p>
        </w:tc>
        <w:tc>
          <w:tcPr>
            <w:tcW w:w="74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09"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94" w:type="pct"/>
            <w:gridSpan w:val="3"/>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经济效益指标</w:t>
            </w:r>
          </w:p>
        </w:tc>
        <w:tc>
          <w:tcPr>
            <w:tcW w:w="768"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5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3"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3"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社会效益指标</w:t>
            </w:r>
          </w:p>
        </w:tc>
        <w:tc>
          <w:tcPr>
            <w:tcW w:w="74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教师创新能力</w:t>
            </w:r>
          </w:p>
        </w:tc>
        <w:tc>
          <w:tcPr>
            <w:tcW w:w="409"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提升100%</w:t>
            </w:r>
          </w:p>
        </w:tc>
        <w:tc>
          <w:tcPr>
            <w:tcW w:w="794" w:type="pct"/>
            <w:gridSpan w:val="3"/>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社会效益指标</w:t>
            </w:r>
          </w:p>
        </w:tc>
        <w:tc>
          <w:tcPr>
            <w:tcW w:w="768"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教师创新能力</w:t>
            </w:r>
          </w:p>
        </w:tc>
        <w:tc>
          <w:tcPr>
            <w:tcW w:w="65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提升100%</w:t>
            </w:r>
          </w:p>
        </w:tc>
      </w:tr>
      <w:tr>
        <w:tblPrEx>
          <w:tblCellMar>
            <w:top w:w="0" w:type="dxa"/>
            <w:left w:w="108" w:type="dxa"/>
            <w:bottom w:w="0" w:type="dxa"/>
            <w:right w:w="108" w:type="dxa"/>
          </w:tblCellMar>
        </w:tblPrEx>
        <w:trPr>
          <w:trHeight w:val="439" w:hRule="atLeast"/>
        </w:trPr>
        <w:tc>
          <w:tcPr>
            <w:tcW w:w="423"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教师需求满足度</w:t>
            </w:r>
          </w:p>
        </w:tc>
        <w:tc>
          <w:tcPr>
            <w:tcW w:w="409"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满意100%</w:t>
            </w:r>
          </w:p>
        </w:tc>
        <w:tc>
          <w:tcPr>
            <w:tcW w:w="794"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68"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教师需求满足度</w:t>
            </w:r>
          </w:p>
        </w:tc>
        <w:tc>
          <w:tcPr>
            <w:tcW w:w="65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满意100%</w:t>
            </w:r>
          </w:p>
        </w:tc>
      </w:tr>
      <w:tr>
        <w:tblPrEx>
          <w:tblCellMar>
            <w:top w:w="0" w:type="dxa"/>
            <w:left w:w="108" w:type="dxa"/>
            <w:bottom w:w="0" w:type="dxa"/>
            <w:right w:w="108" w:type="dxa"/>
          </w:tblCellMar>
        </w:tblPrEx>
        <w:trPr>
          <w:trHeight w:val="439" w:hRule="atLeast"/>
        </w:trPr>
        <w:tc>
          <w:tcPr>
            <w:tcW w:w="423"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教师专业化水平</w:t>
            </w:r>
          </w:p>
        </w:tc>
        <w:tc>
          <w:tcPr>
            <w:tcW w:w="409"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提高100%</w:t>
            </w:r>
          </w:p>
        </w:tc>
        <w:tc>
          <w:tcPr>
            <w:tcW w:w="794"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68"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教师专业化水平</w:t>
            </w:r>
          </w:p>
        </w:tc>
        <w:tc>
          <w:tcPr>
            <w:tcW w:w="65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提高100%</w:t>
            </w:r>
          </w:p>
        </w:tc>
      </w:tr>
      <w:tr>
        <w:tblPrEx>
          <w:tblCellMar>
            <w:top w:w="0" w:type="dxa"/>
            <w:left w:w="108" w:type="dxa"/>
            <w:bottom w:w="0" w:type="dxa"/>
            <w:right w:w="108" w:type="dxa"/>
          </w:tblCellMar>
        </w:tblPrEx>
        <w:trPr>
          <w:trHeight w:val="439" w:hRule="atLeast"/>
        </w:trPr>
        <w:tc>
          <w:tcPr>
            <w:tcW w:w="423"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生态效益指标</w:t>
            </w:r>
          </w:p>
        </w:tc>
        <w:tc>
          <w:tcPr>
            <w:tcW w:w="74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09"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94" w:type="pct"/>
            <w:gridSpan w:val="3"/>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生态效益指标</w:t>
            </w:r>
          </w:p>
        </w:tc>
        <w:tc>
          <w:tcPr>
            <w:tcW w:w="768"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5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3"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可持续影响指标</w:t>
            </w:r>
          </w:p>
        </w:tc>
        <w:tc>
          <w:tcPr>
            <w:tcW w:w="74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409"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94" w:type="pct"/>
            <w:gridSpan w:val="3"/>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可持续影响指标</w:t>
            </w:r>
          </w:p>
        </w:tc>
        <w:tc>
          <w:tcPr>
            <w:tcW w:w="768"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5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423"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2"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满意度指标</w:t>
            </w:r>
          </w:p>
        </w:tc>
        <w:tc>
          <w:tcPr>
            <w:tcW w:w="743"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服务对象满意度指标</w:t>
            </w:r>
          </w:p>
        </w:tc>
        <w:tc>
          <w:tcPr>
            <w:tcW w:w="74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教师满意度</w:t>
            </w:r>
          </w:p>
        </w:tc>
        <w:tc>
          <w:tcPr>
            <w:tcW w:w="409"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794" w:type="pct"/>
            <w:gridSpan w:val="3"/>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服务对象满意度指标</w:t>
            </w:r>
          </w:p>
        </w:tc>
        <w:tc>
          <w:tcPr>
            <w:tcW w:w="768"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教师满意度</w:t>
            </w:r>
          </w:p>
        </w:tc>
        <w:tc>
          <w:tcPr>
            <w:tcW w:w="65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r>
      <w:tr>
        <w:tblPrEx>
          <w:tblCellMar>
            <w:top w:w="0" w:type="dxa"/>
            <w:left w:w="108" w:type="dxa"/>
            <w:bottom w:w="0" w:type="dxa"/>
            <w:right w:w="108" w:type="dxa"/>
          </w:tblCellMar>
        </w:tblPrEx>
        <w:trPr>
          <w:trHeight w:val="439" w:hRule="atLeast"/>
        </w:trPr>
        <w:tc>
          <w:tcPr>
            <w:tcW w:w="423"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46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4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用人单位满意度</w:t>
            </w:r>
          </w:p>
        </w:tc>
        <w:tc>
          <w:tcPr>
            <w:tcW w:w="409" w:type="pct"/>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794"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68"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用人单位满意度</w:t>
            </w:r>
          </w:p>
        </w:tc>
        <w:tc>
          <w:tcPr>
            <w:tcW w:w="65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r>
      <w:tr>
        <w:tblPrEx>
          <w:tblCellMar>
            <w:top w:w="0" w:type="dxa"/>
            <w:left w:w="108" w:type="dxa"/>
            <w:bottom w:w="0" w:type="dxa"/>
            <w:right w:w="108" w:type="dxa"/>
          </w:tblCellMar>
        </w:tblPrEx>
        <w:trPr>
          <w:trHeight w:val="291"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521" w:hRule="atLeast"/>
        </w:trPr>
        <w:tc>
          <w:tcPr>
            <w:tcW w:w="423" w:type="pct"/>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负责人：</w:t>
            </w:r>
          </w:p>
        </w:tc>
        <w:tc>
          <w:tcPr>
            <w:tcW w:w="46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43"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经办人：</w:t>
            </w:r>
          </w:p>
        </w:tc>
        <w:tc>
          <w:tcPr>
            <w:tcW w:w="743"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王锋</w:t>
            </w:r>
          </w:p>
        </w:tc>
        <w:tc>
          <w:tcPr>
            <w:tcW w:w="409"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联系电话：</w:t>
            </w:r>
          </w:p>
        </w:tc>
        <w:tc>
          <w:tcPr>
            <w:tcW w:w="794"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13038096145</w:t>
            </w:r>
          </w:p>
        </w:tc>
        <w:tc>
          <w:tcPr>
            <w:tcW w:w="768"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填报日期：    </w:t>
            </w:r>
          </w:p>
        </w:tc>
        <w:tc>
          <w:tcPr>
            <w:tcW w:w="65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20211122093817</w:t>
            </w:r>
          </w:p>
        </w:tc>
      </w:tr>
    </w:tbl>
    <w:p>
      <w:pPr>
        <w:ind w:firstLine="636"/>
        <w:rPr>
          <w:rFonts w:ascii="宋体" w:hAnsi="宋体"/>
          <w:color w:val="000000" w:themeColor="text1"/>
          <w:sz w:val="32"/>
          <w:szCs w:val="32"/>
          <w14:textFill>
            <w14:solidFill>
              <w14:schemeClr w14:val="tx1"/>
            </w14:solidFill>
          </w14:textFill>
        </w:rPr>
      </w:pPr>
    </w:p>
    <w:p>
      <w:pPr>
        <w:ind w:firstLine="636"/>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（三）物业管理费绩效目标申报表</w:t>
      </w:r>
    </w:p>
    <w:tbl>
      <w:tblPr>
        <w:tblStyle w:val="7"/>
        <w:tblW w:w="5000" w:type="pct"/>
        <w:tblInd w:w="0" w:type="dxa"/>
        <w:tblLayout w:type="autofit"/>
        <w:tblCellMar>
          <w:top w:w="0" w:type="dxa"/>
          <w:left w:w="108" w:type="dxa"/>
          <w:bottom w:w="0" w:type="dxa"/>
          <w:right w:w="108" w:type="dxa"/>
        </w:tblCellMar>
      </w:tblPr>
      <w:tblGrid>
        <w:gridCol w:w="660"/>
        <w:gridCol w:w="771"/>
        <w:gridCol w:w="1215"/>
        <w:gridCol w:w="1437"/>
        <w:gridCol w:w="1259"/>
        <w:gridCol w:w="311"/>
        <w:gridCol w:w="1215"/>
        <w:gridCol w:w="1437"/>
        <w:gridCol w:w="1549"/>
      </w:tblGrid>
      <w:tr>
        <w:tblPrEx>
          <w:tblCellMar>
            <w:top w:w="0" w:type="dxa"/>
            <w:left w:w="108" w:type="dxa"/>
            <w:bottom w:w="0" w:type="dxa"/>
            <w:right w:w="108" w:type="dxa"/>
          </w:tblCellMar>
        </w:tblPrEx>
        <w:trPr>
          <w:trHeight w:val="959" w:hRule="atLeast"/>
        </w:trPr>
        <w:tc>
          <w:tcPr>
            <w:tcW w:w="5000" w:type="pct"/>
            <w:gridSpan w:val="9"/>
            <w:tcBorders>
              <w:top w:val="nil"/>
              <w:left w:val="nil"/>
              <w:bottom w:val="nil"/>
              <w:right w:val="nil"/>
            </w:tcBorders>
            <w:shd w:val="clear" w:color="auto" w:fill="auto"/>
            <w:vAlign w:val="center"/>
          </w:tcPr>
          <w:p>
            <w:pPr>
              <w:widowControl/>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山西省省级预算部门（单位）项目支出绩效目标申报表</w:t>
            </w:r>
          </w:p>
          <w:p>
            <w:pPr>
              <w:widowControl/>
              <w:jc w:val="center"/>
              <w:rPr>
                <w:rFonts w:hint="eastAsia"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（2</w:t>
            </w:r>
            <w:r>
              <w:rPr>
                <w:rFonts w:ascii="宋体" w:hAnsi="宋体" w:cs="宋体"/>
                <w:b/>
                <w:bCs/>
                <w:color w:val="000000" w:themeColor="text1"/>
                <w:kern w:val="0"/>
                <w:sz w:val="32"/>
                <w:szCs w:val="32"/>
                <w14:textFill>
                  <w14:solidFill>
                    <w14:schemeClr w14:val="tx1"/>
                  </w14:solidFill>
                </w14:textFill>
              </w:rPr>
              <w:t>022</w:t>
            </w:r>
            <w:r>
              <w:rPr>
                <w:rFonts w:hint="eastAsia" w:ascii="宋体" w:hAnsi="宋体" w:cs="宋体"/>
                <w:b/>
                <w:bCs/>
                <w:color w:val="000000" w:themeColor="text1"/>
                <w:kern w:val="0"/>
                <w:sz w:val="32"/>
                <w:szCs w:val="32"/>
                <w14:textFill>
                  <w14:solidFill>
                    <w14:schemeClr w14:val="tx1"/>
                  </w14:solidFill>
                </w14:textFill>
              </w:rPr>
              <w:t>年度）</w:t>
            </w:r>
          </w:p>
        </w:tc>
      </w:tr>
      <w:tr>
        <w:tblPrEx>
          <w:tblCellMar>
            <w:top w:w="0" w:type="dxa"/>
            <w:left w:w="108" w:type="dxa"/>
            <w:bottom w:w="0" w:type="dxa"/>
            <w:right w:w="108" w:type="dxa"/>
          </w:tblCellMar>
        </w:tblPrEx>
        <w:trPr>
          <w:trHeight w:val="439" w:hRule="atLeast"/>
        </w:trPr>
        <w:tc>
          <w:tcPr>
            <w:tcW w:w="358" w:type="pct"/>
            <w:tcBorders>
              <w:top w:val="nil"/>
              <w:left w:val="nil"/>
              <w:bottom w:val="nil"/>
              <w:right w:val="nil"/>
            </w:tcBorders>
            <w:shd w:val="clear" w:color="auto" w:fill="auto"/>
            <w:vAlign w:val="center"/>
          </w:tcPr>
          <w:p>
            <w:pPr>
              <w:widowControl/>
              <w:jc w:val="center"/>
              <w:rPr>
                <w:rFonts w:ascii="宋体" w:hAnsi="宋体" w:cs="宋体"/>
                <w:b/>
                <w:bCs/>
                <w:color w:val="000000" w:themeColor="text1"/>
                <w:kern w:val="0"/>
                <w:sz w:val="32"/>
                <w:szCs w:val="32"/>
                <w14:textFill>
                  <w14:solidFill>
                    <w14:schemeClr w14:val="tx1"/>
                  </w14:solidFill>
                </w14:textFill>
              </w:rPr>
            </w:pPr>
          </w:p>
        </w:tc>
        <w:tc>
          <w:tcPr>
            <w:tcW w:w="389" w:type="pct"/>
            <w:tcBorders>
              <w:top w:val="nil"/>
              <w:left w:val="nil"/>
              <w:bottom w:val="nil"/>
              <w:right w:val="nil"/>
            </w:tcBorders>
            <w:shd w:val="clear" w:color="auto" w:fill="auto"/>
            <w:vAlign w:val="center"/>
          </w:tcPr>
          <w:p>
            <w:pPr>
              <w:widowControl/>
              <w:jc w:val="left"/>
              <w:rPr>
                <w:rFonts w:ascii="宋体" w:hAnsi="宋体"/>
                <w:color w:val="000000" w:themeColor="text1"/>
                <w:kern w:val="0"/>
                <w:sz w:val="32"/>
                <w:szCs w:val="32"/>
                <w14:textFill>
                  <w14:solidFill>
                    <w14:schemeClr w14:val="tx1"/>
                  </w14:solidFill>
                </w14:textFill>
              </w:rPr>
            </w:pPr>
          </w:p>
        </w:tc>
        <w:tc>
          <w:tcPr>
            <w:tcW w:w="610" w:type="pct"/>
            <w:tcBorders>
              <w:top w:val="nil"/>
              <w:left w:val="nil"/>
              <w:bottom w:val="nil"/>
              <w:right w:val="nil"/>
            </w:tcBorders>
            <w:shd w:val="clear" w:color="auto" w:fill="auto"/>
            <w:vAlign w:val="center"/>
          </w:tcPr>
          <w:p>
            <w:pPr>
              <w:widowControl/>
              <w:jc w:val="left"/>
              <w:rPr>
                <w:rFonts w:ascii="宋体" w:hAnsi="宋体"/>
                <w:color w:val="000000" w:themeColor="text1"/>
                <w:kern w:val="0"/>
                <w:sz w:val="32"/>
                <w:szCs w:val="32"/>
                <w14:textFill>
                  <w14:solidFill>
                    <w14:schemeClr w14:val="tx1"/>
                  </w14:solidFill>
                </w14:textFill>
              </w:rPr>
            </w:pPr>
          </w:p>
        </w:tc>
        <w:tc>
          <w:tcPr>
            <w:tcW w:w="720" w:type="pct"/>
            <w:tcBorders>
              <w:top w:val="nil"/>
              <w:left w:val="nil"/>
              <w:bottom w:val="nil"/>
              <w:right w:val="nil"/>
            </w:tcBorders>
            <w:shd w:val="clear" w:color="auto" w:fill="auto"/>
            <w:vAlign w:val="center"/>
          </w:tcPr>
          <w:p>
            <w:pPr>
              <w:widowControl/>
              <w:jc w:val="left"/>
              <w:rPr>
                <w:rFonts w:ascii="宋体" w:hAnsi="宋体"/>
                <w:color w:val="000000" w:themeColor="text1"/>
                <w:kern w:val="0"/>
                <w:sz w:val="32"/>
                <w:szCs w:val="32"/>
                <w14:textFill>
                  <w14:solidFill>
                    <w14:schemeClr w14:val="tx1"/>
                  </w14:solidFill>
                </w14:textFill>
              </w:rPr>
            </w:pPr>
          </w:p>
        </w:tc>
        <w:tc>
          <w:tcPr>
            <w:tcW w:w="821" w:type="pct"/>
            <w:gridSpan w:val="2"/>
            <w:tcBorders>
              <w:top w:val="nil"/>
              <w:left w:val="nil"/>
              <w:bottom w:val="nil"/>
              <w:right w:val="nil"/>
            </w:tcBorders>
            <w:shd w:val="clear" w:color="auto" w:fill="auto"/>
          </w:tcPr>
          <w:p>
            <w:pPr>
              <w:widowControl/>
              <w:jc w:val="center"/>
              <w:rPr>
                <w:rFonts w:ascii="宋体" w:hAnsi="宋体" w:cs="宋体"/>
                <w:color w:val="000000" w:themeColor="text1"/>
                <w:kern w:val="0"/>
                <w:sz w:val="32"/>
                <w:szCs w:val="32"/>
                <w14:textFill>
                  <w14:solidFill>
                    <w14:schemeClr w14:val="tx1"/>
                  </w14:solidFill>
                </w14:textFill>
              </w:rPr>
            </w:pPr>
          </w:p>
        </w:tc>
        <w:tc>
          <w:tcPr>
            <w:tcW w:w="609" w:type="pct"/>
            <w:tcBorders>
              <w:top w:val="nil"/>
              <w:left w:val="nil"/>
              <w:bottom w:val="nil"/>
              <w:right w:val="nil"/>
            </w:tcBorders>
            <w:shd w:val="clear" w:color="auto" w:fill="auto"/>
            <w:vAlign w:val="center"/>
          </w:tcPr>
          <w:p>
            <w:pPr>
              <w:widowControl/>
              <w:jc w:val="center"/>
              <w:rPr>
                <w:rFonts w:ascii="宋体" w:hAnsi="宋体" w:cs="宋体"/>
                <w:color w:val="000000" w:themeColor="text1"/>
                <w:kern w:val="0"/>
                <w:sz w:val="32"/>
                <w:szCs w:val="32"/>
                <w14:textFill>
                  <w14:solidFill>
                    <w14:schemeClr w14:val="tx1"/>
                  </w14:solidFill>
                </w14:textFill>
              </w:rPr>
            </w:pPr>
          </w:p>
        </w:tc>
        <w:tc>
          <w:tcPr>
            <w:tcW w:w="720" w:type="pct"/>
            <w:tcBorders>
              <w:top w:val="nil"/>
              <w:left w:val="nil"/>
              <w:bottom w:val="nil"/>
              <w:right w:val="nil"/>
            </w:tcBorders>
            <w:shd w:val="clear" w:color="auto" w:fill="auto"/>
            <w:vAlign w:val="center"/>
          </w:tcPr>
          <w:p>
            <w:pPr>
              <w:widowControl/>
              <w:jc w:val="left"/>
              <w:rPr>
                <w:rFonts w:ascii="宋体" w:hAnsi="宋体"/>
                <w:color w:val="000000" w:themeColor="text1"/>
                <w:kern w:val="0"/>
                <w:sz w:val="32"/>
                <w:szCs w:val="32"/>
                <w14:textFill>
                  <w14:solidFill>
                    <w14:schemeClr w14:val="tx1"/>
                  </w14:solidFill>
                </w14:textFill>
              </w:rPr>
            </w:pPr>
          </w:p>
        </w:tc>
        <w:tc>
          <w:tcPr>
            <w:tcW w:w="775" w:type="pct"/>
            <w:tcBorders>
              <w:top w:val="nil"/>
              <w:left w:val="nil"/>
              <w:bottom w:val="nil"/>
              <w:right w:val="nil"/>
            </w:tcBorders>
            <w:shd w:val="clear" w:color="auto" w:fill="auto"/>
            <w:vAlign w:val="center"/>
          </w:tcPr>
          <w:p>
            <w:pPr>
              <w:widowControl/>
              <w:jc w:val="left"/>
              <w:rPr>
                <w:rFonts w:ascii="宋体" w:hAnsi="宋体"/>
                <w:color w:val="000000" w:themeColor="text1"/>
                <w:kern w:val="0"/>
                <w:sz w:val="32"/>
                <w:szCs w:val="32"/>
                <w14:textFill>
                  <w14:solidFill>
                    <w14:schemeClr w14:val="tx1"/>
                  </w14:solidFill>
                </w14:textFill>
              </w:rPr>
            </w:pPr>
          </w:p>
        </w:tc>
      </w:tr>
      <w:tr>
        <w:tblPrEx>
          <w:tblCellMar>
            <w:top w:w="0" w:type="dxa"/>
            <w:left w:w="108" w:type="dxa"/>
            <w:bottom w:w="0" w:type="dxa"/>
            <w:right w:w="108" w:type="dxa"/>
          </w:tblCellMar>
        </w:tblPrEx>
        <w:trPr>
          <w:trHeight w:val="521" w:hRule="atLeast"/>
        </w:trPr>
        <w:tc>
          <w:tcPr>
            <w:tcW w:w="135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项目名称</w:t>
            </w:r>
          </w:p>
        </w:tc>
        <w:tc>
          <w:tcPr>
            <w:tcW w:w="3644"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J物业管理费</w:t>
            </w:r>
          </w:p>
        </w:tc>
      </w:tr>
      <w:tr>
        <w:tblPrEx>
          <w:tblCellMar>
            <w:top w:w="0" w:type="dxa"/>
            <w:left w:w="108" w:type="dxa"/>
            <w:bottom w:w="0" w:type="dxa"/>
            <w:right w:w="108" w:type="dxa"/>
          </w:tblCellMar>
        </w:tblPrEx>
        <w:trPr>
          <w:trHeight w:val="521" w:hRule="atLeast"/>
        </w:trPr>
        <w:tc>
          <w:tcPr>
            <w:tcW w:w="135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主管部门及代码</w:t>
            </w:r>
          </w:p>
        </w:tc>
        <w:tc>
          <w:tcPr>
            <w:tcW w:w="1377"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050-大同市教育局[部门]</w:t>
            </w:r>
          </w:p>
        </w:tc>
        <w:tc>
          <w:tcPr>
            <w:tcW w:w="77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实施单位</w:t>
            </w:r>
          </w:p>
        </w:tc>
        <w:tc>
          <w:tcPr>
            <w:tcW w:w="149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大同市第十三中学校</w:t>
            </w:r>
          </w:p>
        </w:tc>
      </w:tr>
      <w:tr>
        <w:tblPrEx>
          <w:tblCellMar>
            <w:top w:w="0" w:type="dxa"/>
            <w:left w:w="108" w:type="dxa"/>
            <w:bottom w:w="0" w:type="dxa"/>
            <w:right w:w="108" w:type="dxa"/>
          </w:tblCellMar>
        </w:tblPrEx>
        <w:trPr>
          <w:trHeight w:val="521" w:hRule="atLeast"/>
        </w:trPr>
        <w:tc>
          <w:tcPr>
            <w:tcW w:w="135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项目属性</w:t>
            </w:r>
          </w:p>
        </w:tc>
        <w:tc>
          <w:tcPr>
            <w:tcW w:w="1377"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经常性项目（长期开展）</w:t>
            </w:r>
          </w:p>
        </w:tc>
        <w:tc>
          <w:tcPr>
            <w:tcW w:w="77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项目期</w:t>
            </w:r>
          </w:p>
        </w:tc>
        <w:tc>
          <w:tcPr>
            <w:tcW w:w="149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3年</w:t>
            </w:r>
          </w:p>
        </w:tc>
      </w:tr>
      <w:tr>
        <w:tblPrEx>
          <w:tblCellMar>
            <w:top w:w="0" w:type="dxa"/>
            <w:left w:w="108" w:type="dxa"/>
            <w:bottom w:w="0" w:type="dxa"/>
            <w:right w:w="108" w:type="dxa"/>
          </w:tblCellMar>
        </w:tblPrEx>
        <w:trPr>
          <w:trHeight w:val="521" w:hRule="atLeast"/>
        </w:trPr>
        <w:tc>
          <w:tcPr>
            <w:tcW w:w="1356"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项目资金</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（元）</w:t>
            </w:r>
          </w:p>
        </w:tc>
        <w:tc>
          <w:tcPr>
            <w:tcW w:w="72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实施期资金总额：</w:t>
            </w:r>
          </w:p>
        </w:tc>
        <w:tc>
          <w:tcPr>
            <w:tcW w:w="65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750,000</w:t>
            </w:r>
          </w:p>
        </w:tc>
        <w:tc>
          <w:tcPr>
            <w:tcW w:w="77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年度资金总额：</w:t>
            </w:r>
          </w:p>
        </w:tc>
        <w:tc>
          <w:tcPr>
            <w:tcW w:w="149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250,000</w:t>
            </w:r>
          </w:p>
        </w:tc>
      </w:tr>
      <w:tr>
        <w:tblPrEx>
          <w:tblCellMar>
            <w:top w:w="0" w:type="dxa"/>
            <w:left w:w="108" w:type="dxa"/>
            <w:bottom w:w="0" w:type="dxa"/>
            <w:right w:w="108" w:type="dxa"/>
          </w:tblCellMar>
        </w:tblPrEx>
        <w:trPr>
          <w:trHeight w:val="521" w:hRule="atLeast"/>
        </w:trPr>
        <w:tc>
          <w:tcPr>
            <w:tcW w:w="135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2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其中：中央财政资金</w:t>
            </w:r>
          </w:p>
        </w:tc>
        <w:tc>
          <w:tcPr>
            <w:tcW w:w="65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w:t>
            </w:r>
          </w:p>
        </w:tc>
        <w:tc>
          <w:tcPr>
            <w:tcW w:w="77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其中：中央财政资金</w:t>
            </w:r>
          </w:p>
        </w:tc>
        <w:tc>
          <w:tcPr>
            <w:tcW w:w="149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w:t>
            </w:r>
          </w:p>
        </w:tc>
      </w:tr>
      <w:tr>
        <w:trPr>
          <w:trHeight w:val="521" w:hRule="atLeast"/>
        </w:trPr>
        <w:tc>
          <w:tcPr>
            <w:tcW w:w="135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2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省级财政资金</w:t>
            </w:r>
          </w:p>
        </w:tc>
        <w:tc>
          <w:tcPr>
            <w:tcW w:w="65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w:t>
            </w:r>
          </w:p>
        </w:tc>
        <w:tc>
          <w:tcPr>
            <w:tcW w:w="77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省级财政资金</w:t>
            </w:r>
          </w:p>
        </w:tc>
        <w:tc>
          <w:tcPr>
            <w:tcW w:w="149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w:t>
            </w:r>
          </w:p>
        </w:tc>
      </w:tr>
      <w:tr>
        <w:tblPrEx>
          <w:tblCellMar>
            <w:top w:w="0" w:type="dxa"/>
            <w:left w:w="108" w:type="dxa"/>
            <w:bottom w:w="0" w:type="dxa"/>
            <w:right w:w="108" w:type="dxa"/>
          </w:tblCellMar>
        </w:tblPrEx>
        <w:trPr>
          <w:trHeight w:val="521" w:hRule="atLeast"/>
        </w:trPr>
        <w:tc>
          <w:tcPr>
            <w:tcW w:w="135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2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市县（区）财政资金</w:t>
            </w:r>
          </w:p>
        </w:tc>
        <w:tc>
          <w:tcPr>
            <w:tcW w:w="65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750,000</w:t>
            </w:r>
          </w:p>
        </w:tc>
        <w:tc>
          <w:tcPr>
            <w:tcW w:w="77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市县（区）财政资金</w:t>
            </w:r>
          </w:p>
        </w:tc>
        <w:tc>
          <w:tcPr>
            <w:tcW w:w="149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250,000</w:t>
            </w:r>
          </w:p>
        </w:tc>
      </w:tr>
      <w:tr>
        <w:tblPrEx>
          <w:tblCellMar>
            <w:top w:w="0" w:type="dxa"/>
            <w:left w:w="108" w:type="dxa"/>
            <w:bottom w:w="0" w:type="dxa"/>
            <w:right w:w="108" w:type="dxa"/>
          </w:tblCellMar>
        </w:tblPrEx>
        <w:trPr>
          <w:trHeight w:val="521" w:hRule="atLeast"/>
        </w:trPr>
        <w:tc>
          <w:tcPr>
            <w:tcW w:w="135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2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单位自筹</w:t>
            </w:r>
          </w:p>
        </w:tc>
        <w:tc>
          <w:tcPr>
            <w:tcW w:w="65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w:t>
            </w:r>
          </w:p>
        </w:tc>
        <w:tc>
          <w:tcPr>
            <w:tcW w:w="77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单位自筹</w:t>
            </w:r>
          </w:p>
        </w:tc>
        <w:tc>
          <w:tcPr>
            <w:tcW w:w="149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w:t>
            </w:r>
          </w:p>
        </w:tc>
      </w:tr>
      <w:tr>
        <w:tblPrEx>
          <w:tblCellMar>
            <w:top w:w="0" w:type="dxa"/>
            <w:left w:w="108" w:type="dxa"/>
            <w:bottom w:w="0" w:type="dxa"/>
            <w:right w:w="108" w:type="dxa"/>
          </w:tblCellMar>
        </w:tblPrEx>
        <w:trPr>
          <w:trHeight w:val="521" w:hRule="atLeast"/>
        </w:trPr>
        <w:tc>
          <w:tcPr>
            <w:tcW w:w="135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2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其他资金</w:t>
            </w:r>
          </w:p>
        </w:tc>
        <w:tc>
          <w:tcPr>
            <w:tcW w:w="65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7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其他资金</w:t>
            </w:r>
          </w:p>
        </w:tc>
        <w:tc>
          <w:tcPr>
            <w:tcW w:w="149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642" w:hRule="atLeast"/>
        </w:trPr>
        <w:tc>
          <w:tcPr>
            <w:tcW w:w="135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项目概况</w:t>
            </w:r>
          </w:p>
        </w:tc>
        <w:tc>
          <w:tcPr>
            <w:tcW w:w="3644"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随着学校后勤服务社会化的改革的不断深入，我校通过政府采购实施后后勤服务质量，创建整洁和谐文明的校园环境。</w:t>
            </w:r>
          </w:p>
        </w:tc>
      </w:tr>
      <w:tr>
        <w:tblPrEx>
          <w:tblCellMar>
            <w:top w:w="0" w:type="dxa"/>
            <w:left w:w="108" w:type="dxa"/>
            <w:bottom w:w="0" w:type="dxa"/>
            <w:right w:w="108" w:type="dxa"/>
          </w:tblCellMar>
        </w:tblPrEx>
        <w:trPr>
          <w:trHeight w:val="642" w:hRule="atLeast"/>
        </w:trPr>
        <w:tc>
          <w:tcPr>
            <w:tcW w:w="135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立项依据</w:t>
            </w:r>
          </w:p>
        </w:tc>
        <w:tc>
          <w:tcPr>
            <w:tcW w:w="3644"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参照《中华人民共和国预算法》、《大同十三中学校内控制度》、学校办公会议纪要及往年情况设立。</w:t>
            </w:r>
          </w:p>
        </w:tc>
      </w:tr>
      <w:tr>
        <w:tblPrEx>
          <w:tblCellMar>
            <w:top w:w="0" w:type="dxa"/>
            <w:left w:w="108" w:type="dxa"/>
            <w:bottom w:w="0" w:type="dxa"/>
            <w:right w:w="108" w:type="dxa"/>
          </w:tblCellMar>
        </w:tblPrEx>
        <w:trPr>
          <w:trHeight w:val="642" w:hRule="atLeast"/>
        </w:trPr>
        <w:tc>
          <w:tcPr>
            <w:tcW w:w="135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项目设立必要性</w:t>
            </w:r>
          </w:p>
        </w:tc>
        <w:tc>
          <w:tcPr>
            <w:tcW w:w="3644"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减轻学校后勤人员短缺的工作压力，提高学校后勤服务质量，创建整洁和谐文明的校园环境。</w:t>
            </w:r>
          </w:p>
        </w:tc>
      </w:tr>
      <w:tr>
        <w:tblPrEx>
          <w:tblCellMar>
            <w:top w:w="0" w:type="dxa"/>
            <w:left w:w="108" w:type="dxa"/>
            <w:bottom w:w="0" w:type="dxa"/>
            <w:right w:w="108" w:type="dxa"/>
          </w:tblCellMar>
        </w:tblPrEx>
        <w:trPr>
          <w:trHeight w:val="642" w:hRule="atLeast"/>
        </w:trPr>
        <w:tc>
          <w:tcPr>
            <w:tcW w:w="135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保证项目实施的制度、措施</w:t>
            </w:r>
          </w:p>
        </w:tc>
        <w:tc>
          <w:tcPr>
            <w:tcW w:w="3644"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1、严格执行《大同市第十三中学校内控制度》。2、严格执行十三中校级会议纪要及物业管理合同实施。       </w:t>
            </w:r>
          </w:p>
        </w:tc>
      </w:tr>
      <w:tr>
        <w:tblPrEx>
          <w:tblCellMar>
            <w:top w:w="0" w:type="dxa"/>
            <w:left w:w="108" w:type="dxa"/>
            <w:bottom w:w="0" w:type="dxa"/>
            <w:right w:w="108" w:type="dxa"/>
          </w:tblCellMar>
        </w:tblPrEx>
        <w:trPr>
          <w:trHeight w:val="642" w:hRule="atLeast"/>
        </w:trPr>
        <w:tc>
          <w:tcPr>
            <w:tcW w:w="135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项目实施计划</w:t>
            </w:r>
          </w:p>
        </w:tc>
        <w:tc>
          <w:tcPr>
            <w:tcW w:w="3644"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物业管理费从2022年1月开始到2022年12月结束。 </w:t>
            </w:r>
          </w:p>
        </w:tc>
      </w:tr>
      <w:tr>
        <w:tblPrEx>
          <w:tblCellMar>
            <w:top w:w="0" w:type="dxa"/>
            <w:left w:w="108" w:type="dxa"/>
            <w:bottom w:w="0" w:type="dxa"/>
            <w:right w:w="108" w:type="dxa"/>
          </w:tblCellMar>
        </w:tblPrEx>
        <w:trPr>
          <w:trHeight w:val="642"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642" w:hRule="atLeast"/>
        </w:trPr>
        <w:tc>
          <w:tcPr>
            <w:tcW w:w="289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实施期目标</w:t>
            </w:r>
          </w:p>
        </w:tc>
        <w:tc>
          <w:tcPr>
            <w:tcW w:w="2104"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年度目标</w:t>
            </w:r>
          </w:p>
        </w:tc>
      </w:tr>
      <w:tr>
        <w:tblPrEx>
          <w:tblCellMar>
            <w:top w:w="0" w:type="dxa"/>
            <w:left w:w="108" w:type="dxa"/>
            <w:bottom w:w="0" w:type="dxa"/>
            <w:right w:w="108" w:type="dxa"/>
          </w:tblCellMar>
        </w:tblPrEx>
        <w:trPr>
          <w:trHeight w:val="1002" w:hRule="atLeast"/>
        </w:trPr>
        <w:tc>
          <w:tcPr>
            <w:tcW w:w="358"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总体目标</w:t>
            </w:r>
          </w:p>
        </w:tc>
        <w:tc>
          <w:tcPr>
            <w:tcW w:w="2538" w:type="pct"/>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提高学校后勤服务质量，创建整洁和谐文明的校园环境 </w:t>
            </w:r>
          </w:p>
        </w:tc>
        <w:tc>
          <w:tcPr>
            <w:tcW w:w="2104"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提高学校后勤服务质量，创建整洁和谐文明的校园环境。</w:t>
            </w:r>
          </w:p>
        </w:tc>
      </w:tr>
      <w:tr>
        <w:tblPrEx>
          <w:tblCellMar>
            <w:top w:w="0" w:type="dxa"/>
            <w:left w:w="108" w:type="dxa"/>
            <w:bottom w:w="0" w:type="dxa"/>
            <w:right w:w="108" w:type="dxa"/>
          </w:tblCellMar>
        </w:tblPrEx>
        <w:trPr>
          <w:trHeight w:val="436" w:hRule="atLeast"/>
        </w:trPr>
        <w:tc>
          <w:tcPr>
            <w:tcW w:w="358" w:type="pct"/>
            <w:vMerge w:val="restart"/>
            <w:tcBorders>
              <w:top w:val="nil"/>
              <w:left w:val="single" w:color="000000" w:sz="4" w:space="0"/>
              <w:bottom w:val="nil"/>
              <w:right w:val="single" w:color="000000" w:sz="4" w:space="0"/>
            </w:tcBorders>
            <w:shd w:val="clear" w:color="auto" w:fill="auto"/>
            <w:textDirection w:val="tbRlV"/>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绩效指标</w:t>
            </w:r>
          </w:p>
        </w:tc>
        <w:tc>
          <w:tcPr>
            <w:tcW w:w="3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一级指标</w:t>
            </w:r>
          </w:p>
        </w:tc>
        <w:tc>
          <w:tcPr>
            <w:tcW w:w="61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二级指标</w:t>
            </w:r>
          </w:p>
        </w:tc>
        <w:tc>
          <w:tcPr>
            <w:tcW w:w="72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三级指标</w:t>
            </w:r>
          </w:p>
        </w:tc>
        <w:tc>
          <w:tcPr>
            <w:tcW w:w="82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指标值</w:t>
            </w:r>
          </w:p>
        </w:tc>
        <w:tc>
          <w:tcPr>
            <w:tcW w:w="60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二级指标</w:t>
            </w:r>
          </w:p>
        </w:tc>
        <w:tc>
          <w:tcPr>
            <w:tcW w:w="72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三级指标</w:t>
            </w:r>
          </w:p>
        </w:tc>
        <w:tc>
          <w:tcPr>
            <w:tcW w:w="7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指标值</w:t>
            </w:r>
          </w:p>
        </w:tc>
      </w:tr>
      <w:tr>
        <w:tblPrEx>
          <w:tblCellMar>
            <w:top w:w="0" w:type="dxa"/>
            <w:left w:w="108" w:type="dxa"/>
            <w:bottom w:w="0" w:type="dxa"/>
            <w:right w:w="108" w:type="dxa"/>
          </w:tblCellMar>
        </w:tblPrEx>
        <w:trPr>
          <w:trHeight w:val="439" w:hRule="atLeast"/>
        </w:trPr>
        <w:tc>
          <w:tcPr>
            <w:tcW w:w="358"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89"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产出指标</w:t>
            </w:r>
          </w:p>
        </w:tc>
        <w:tc>
          <w:tcPr>
            <w:tcW w:w="61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数量指标</w:t>
            </w: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物业管理面积</w:t>
            </w:r>
          </w:p>
        </w:tc>
        <w:tc>
          <w:tcPr>
            <w:tcW w:w="82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100平方米</w:t>
            </w:r>
          </w:p>
        </w:tc>
        <w:tc>
          <w:tcPr>
            <w:tcW w:w="60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数量指标</w:t>
            </w: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物业管理面积</w:t>
            </w:r>
          </w:p>
        </w:tc>
        <w:tc>
          <w:tcPr>
            <w:tcW w:w="77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14125.4平方米</w:t>
            </w:r>
          </w:p>
        </w:tc>
      </w:tr>
      <w:tr>
        <w:tblPrEx>
          <w:tblCellMar>
            <w:top w:w="0" w:type="dxa"/>
            <w:left w:w="108" w:type="dxa"/>
            <w:bottom w:w="0" w:type="dxa"/>
            <w:right w:w="108" w:type="dxa"/>
          </w:tblCellMar>
        </w:tblPrEx>
        <w:trPr>
          <w:trHeight w:val="439" w:hRule="atLeast"/>
        </w:trPr>
        <w:tc>
          <w:tcPr>
            <w:tcW w:w="358"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8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610"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质量指标</w:t>
            </w: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物业管理工作验收合格率</w:t>
            </w:r>
          </w:p>
        </w:tc>
        <w:tc>
          <w:tcPr>
            <w:tcW w:w="82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609"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质量指标</w:t>
            </w: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物业管理工作验收合格率</w:t>
            </w:r>
          </w:p>
        </w:tc>
        <w:tc>
          <w:tcPr>
            <w:tcW w:w="77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r>
      <w:tr>
        <w:tblPrEx>
          <w:tblCellMar>
            <w:top w:w="0" w:type="dxa"/>
            <w:left w:w="108" w:type="dxa"/>
            <w:bottom w:w="0" w:type="dxa"/>
            <w:right w:w="108" w:type="dxa"/>
          </w:tblCellMar>
        </w:tblPrEx>
        <w:trPr>
          <w:trHeight w:val="439" w:hRule="atLeast"/>
        </w:trPr>
        <w:tc>
          <w:tcPr>
            <w:tcW w:w="358"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8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610"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修缮验收合格率</w:t>
            </w:r>
          </w:p>
        </w:tc>
        <w:tc>
          <w:tcPr>
            <w:tcW w:w="82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60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修缮验收合格率</w:t>
            </w:r>
          </w:p>
        </w:tc>
        <w:tc>
          <w:tcPr>
            <w:tcW w:w="77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r>
      <w:tr>
        <w:tblPrEx>
          <w:tblCellMar>
            <w:top w:w="0" w:type="dxa"/>
            <w:left w:w="108" w:type="dxa"/>
            <w:bottom w:w="0" w:type="dxa"/>
            <w:right w:w="108" w:type="dxa"/>
          </w:tblCellMar>
        </w:tblPrEx>
        <w:trPr>
          <w:trHeight w:val="439" w:hRule="atLeast"/>
        </w:trPr>
        <w:tc>
          <w:tcPr>
            <w:tcW w:w="358"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8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61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时效指标</w:t>
            </w: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物业管理服务时间</w:t>
            </w:r>
          </w:p>
        </w:tc>
        <w:tc>
          <w:tcPr>
            <w:tcW w:w="82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100%XX月XX日-XX月XX日</w:t>
            </w:r>
          </w:p>
        </w:tc>
        <w:tc>
          <w:tcPr>
            <w:tcW w:w="60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时效指标</w:t>
            </w: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物业管理服务时间</w:t>
            </w:r>
          </w:p>
        </w:tc>
        <w:tc>
          <w:tcPr>
            <w:tcW w:w="77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100%XX月XX日-XX月XX日</w:t>
            </w:r>
          </w:p>
        </w:tc>
      </w:tr>
      <w:tr>
        <w:tblPrEx>
          <w:tblCellMar>
            <w:top w:w="0" w:type="dxa"/>
            <w:left w:w="108" w:type="dxa"/>
            <w:bottom w:w="0" w:type="dxa"/>
            <w:right w:w="108" w:type="dxa"/>
          </w:tblCellMar>
        </w:tblPrEx>
        <w:trPr>
          <w:trHeight w:val="439" w:hRule="atLeast"/>
        </w:trPr>
        <w:tc>
          <w:tcPr>
            <w:tcW w:w="358"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8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61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成本指标</w:t>
            </w: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82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0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成本指标</w:t>
            </w: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7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358"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89"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效益指标</w:t>
            </w:r>
          </w:p>
        </w:tc>
        <w:tc>
          <w:tcPr>
            <w:tcW w:w="61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经济效益指标</w:t>
            </w: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82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0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经济效益指标</w:t>
            </w: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7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358"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8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610"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社会效益指标</w:t>
            </w: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公共服务能力提升度</w:t>
            </w:r>
          </w:p>
        </w:tc>
        <w:tc>
          <w:tcPr>
            <w:tcW w:w="82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100%提升</w:t>
            </w:r>
          </w:p>
        </w:tc>
        <w:tc>
          <w:tcPr>
            <w:tcW w:w="609"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社会效益指标</w:t>
            </w: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公共服务能力提升度</w:t>
            </w:r>
          </w:p>
        </w:tc>
        <w:tc>
          <w:tcPr>
            <w:tcW w:w="77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100%提升</w:t>
            </w:r>
          </w:p>
        </w:tc>
      </w:tr>
      <w:tr>
        <w:tblPrEx>
          <w:tblCellMar>
            <w:top w:w="0" w:type="dxa"/>
            <w:left w:w="108" w:type="dxa"/>
            <w:bottom w:w="0" w:type="dxa"/>
            <w:right w:w="108" w:type="dxa"/>
          </w:tblCellMar>
        </w:tblPrEx>
        <w:trPr>
          <w:trHeight w:val="439" w:hRule="atLeast"/>
        </w:trPr>
        <w:tc>
          <w:tcPr>
            <w:tcW w:w="358"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8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610"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工作效率提升度</w:t>
            </w:r>
          </w:p>
        </w:tc>
        <w:tc>
          <w:tcPr>
            <w:tcW w:w="82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100%提升</w:t>
            </w:r>
          </w:p>
        </w:tc>
        <w:tc>
          <w:tcPr>
            <w:tcW w:w="60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工作效率提升度</w:t>
            </w:r>
          </w:p>
        </w:tc>
        <w:tc>
          <w:tcPr>
            <w:tcW w:w="77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100%提升</w:t>
            </w:r>
          </w:p>
        </w:tc>
      </w:tr>
      <w:tr>
        <w:tblPrEx>
          <w:tblCellMar>
            <w:top w:w="0" w:type="dxa"/>
            <w:left w:w="108" w:type="dxa"/>
            <w:bottom w:w="0" w:type="dxa"/>
            <w:right w:w="108" w:type="dxa"/>
          </w:tblCellMar>
        </w:tblPrEx>
        <w:trPr>
          <w:trHeight w:val="439" w:hRule="atLeast"/>
        </w:trPr>
        <w:tc>
          <w:tcPr>
            <w:tcW w:w="358"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8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61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生态效益指标</w:t>
            </w: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82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0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生态效益指标</w:t>
            </w: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7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358"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8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61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可持续影响指标</w:t>
            </w: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82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0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可持续影响指标</w:t>
            </w: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77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358" w:type="pct"/>
            <w:vMerge w:val="continue"/>
            <w:tcBorders>
              <w:top w:val="nil"/>
              <w:left w:val="single" w:color="000000" w:sz="4" w:space="0"/>
              <w:bottom w:val="nil"/>
              <w:right w:val="single" w:color="000000" w:sz="4"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38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满意度指标</w:t>
            </w:r>
          </w:p>
        </w:tc>
        <w:tc>
          <w:tcPr>
            <w:tcW w:w="61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服务对象满意度指标</w:t>
            </w: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单位人员满意度</w:t>
            </w:r>
          </w:p>
        </w:tc>
        <w:tc>
          <w:tcPr>
            <w:tcW w:w="82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c>
          <w:tcPr>
            <w:tcW w:w="60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服务对象满意度指标</w:t>
            </w:r>
          </w:p>
        </w:tc>
        <w:tc>
          <w:tcPr>
            <w:tcW w:w="72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单位人员满意度</w:t>
            </w:r>
          </w:p>
        </w:tc>
        <w:tc>
          <w:tcPr>
            <w:tcW w:w="77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≥100%</w:t>
            </w:r>
          </w:p>
        </w:tc>
      </w:tr>
      <w:tr>
        <w:tblPrEx>
          <w:tblCellMar>
            <w:top w:w="0" w:type="dxa"/>
            <w:left w:w="108" w:type="dxa"/>
            <w:bottom w:w="0" w:type="dxa"/>
            <w:right w:w="108" w:type="dxa"/>
          </w:tblCellMar>
        </w:tblPrEx>
        <w:trPr>
          <w:trHeight w:val="291"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521" w:hRule="atLeast"/>
        </w:trPr>
        <w:tc>
          <w:tcPr>
            <w:tcW w:w="358" w:type="pct"/>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负责人：</w:t>
            </w:r>
          </w:p>
        </w:tc>
        <w:tc>
          <w:tcPr>
            <w:tcW w:w="3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610"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经办人：</w:t>
            </w:r>
          </w:p>
        </w:tc>
        <w:tc>
          <w:tcPr>
            <w:tcW w:w="720"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杜文生</w:t>
            </w:r>
          </w:p>
        </w:tc>
        <w:tc>
          <w:tcPr>
            <w:tcW w:w="82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联系电话：</w:t>
            </w:r>
          </w:p>
        </w:tc>
        <w:tc>
          <w:tcPr>
            <w:tcW w:w="60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13834122408</w:t>
            </w:r>
          </w:p>
        </w:tc>
        <w:tc>
          <w:tcPr>
            <w:tcW w:w="720"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填报日期：    </w:t>
            </w:r>
          </w:p>
        </w:tc>
        <w:tc>
          <w:tcPr>
            <w:tcW w:w="7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20211122085924</w:t>
            </w:r>
          </w:p>
        </w:tc>
      </w:tr>
    </w:tbl>
    <w:p>
      <w:pPr>
        <w:ind w:firstLine="636"/>
        <w:rPr>
          <w:rFonts w:ascii="宋体" w:hAnsi="宋体" w:cs="黑体"/>
          <w:bCs/>
          <w:color w:val="000000" w:themeColor="text1"/>
          <w:sz w:val="32"/>
          <w:szCs w:val="32"/>
          <w14:textFill>
            <w14:solidFill>
              <w14:schemeClr w14:val="tx1"/>
            </w14:solidFill>
          </w14:textFill>
        </w:rPr>
      </w:pPr>
    </w:p>
    <w:p>
      <w:pPr>
        <w:ind w:firstLine="636"/>
        <w:rPr>
          <w:rFonts w:hint="eastAsia" w:ascii="黑体" w:hAnsi="黑体" w:eastAsia="黑体" w:cs="黑体"/>
          <w:bCs/>
          <w:sz w:val="32"/>
          <w:szCs w:val="32"/>
        </w:rPr>
      </w:pPr>
      <w:r>
        <w:rPr>
          <w:rFonts w:hint="eastAsia" w:ascii="黑体" w:hAnsi="黑体" w:eastAsia="黑体" w:cs="黑体"/>
          <w:bCs/>
          <w:sz w:val="32"/>
          <w:szCs w:val="32"/>
        </w:rPr>
        <w:t>六、国有资产占有使用情况</w:t>
      </w:r>
    </w:p>
    <w:p>
      <w:pPr>
        <w:ind w:firstLine="636"/>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1、车辆情况；</w:t>
      </w:r>
    </w:p>
    <w:p>
      <w:pPr>
        <w:ind w:firstLine="636"/>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我校公车编制1辆，实际运行1辆。</w:t>
      </w:r>
    </w:p>
    <w:p>
      <w:pPr>
        <w:ind w:firstLine="636"/>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2、房屋情况；</w:t>
      </w:r>
    </w:p>
    <w:p>
      <w:pPr>
        <w:ind w:firstLine="636"/>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我校房屋总建筑面积</w:t>
      </w:r>
      <w:r>
        <w:rPr>
          <w:rFonts w:ascii="宋体" w:hAnsi="宋体"/>
          <w:color w:val="000000" w:themeColor="text1"/>
          <w:sz w:val="32"/>
          <w:szCs w:val="32"/>
          <w14:textFill>
            <w14:solidFill>
              <w14:schemeClr w14:val="tx1"/>
            </w14:solidFill>
          </w14:textFill>
        </w:rPr>
        <w:t>18912.07</w:t>
      </w:r>
      <w:r>
        <w:rPr>
          <w:rFonts w:hint="eastAsia" w:ascii="宋体" w:hAnsi="宋体"/>
          <w:color w:val="000000" w:themeColor="text1"/>
          <w:sz w:val="32"/>
          <w:szCs w:val="32"/>
          <w14:textFill>
            <w14:solidFill>
              <w14:schemeClr w14:val="tx1"/>
            </w14:solidFill>
          </w14:textFill>
        </w:rPr>
        <w:t>平米。</w:t>
      </w:r>
    </w:p>
    <w:p>
      <w:pPr>
        <w:ind w:firstLine="636"/>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3、其他国有资产占有使用情况。</w:t>
      </w:r>
    </w:p>
    <w:p>
      <w:pPr>
        <w:ind w:firstLine="636"/>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我校共有通用设备</w:t>
      </w:r>
      <w:r>
        <w:rPr>
          <w:rFonts w:ascii="宋体" w:hAnsi="宋体"/>
          <w:color w:val="000000" w:themeColor="text1"/>
          <w:sz w:val="32"/>
          <w:szCs w:val="32"/>
          <w14:textFill>
            <w14:solidFill>
              <w14:schemeClr w14:val="tx1"/>
            </w14:solidFill>
          </w14:textFill>
        </w:rPr>
        <w:t>596</w:t>
      </w:r>
      <w:r>
        <w:rPr>
          <w:rFonts w:hint="eastAsia" w:ascii="宋体" w:hAnsi="宋体"/>
          <w:color w:val="000000" w:themeColor="text1"/>
          <w:sz w:val="32"/>
          <w:szCs w:val="32"/>
          <w14:textFill>
            <w14:solidFill>
              <w14:schemeClr w14:val="tx1"/>
            </w14:solidFill>
          </w14:textFill>
        </w:rPr>
        <w:t>台（套），专用设备</w:t>
      </w:r>
      <w:r>
        <w:rPr>
          <w:rFonts w:ascii="宋体" w:hAnsi="宋体"/>
          <w:color w:val="000000" w:themeColor="text1"/>
          <w:sz w:val="32"/>
          <w:szCs w:val="32"/>
          <w14:textFill>
            <w14:solidFill>
              <w14:schemeClr w14:val="tx1"/>
            </w14:solidFill>
          </w14:textFill>
        </w:rPr>
        <w:t>63</w:t>
      </w:r>
      <w:r>
        <w:rPr>
          <w:rFonts w:hint="eastAsia" w:ascii="宋体" w:hAnsi="宋体"/>
          <w:color w:val="000000" w:themeColor="text1"/>
          <w:sz w:val="32"/>
          <w:szCs w:val="32"/>
          <w14:textFill>
            <w14:solidFill>
              <w14:schemeClr w14:val="tx1"/>
            </w14:solidFill>
          </w14:textFill>
        </w:rPr>
        <w:t>台（套）。</w:t>
      </w:r>
    </w:p>
    <w:p>
      <w:pPr>
        <w:pStyle w:val="13"/>
        <w:ind w:firstLine="640"/>
        <w:outlineLvl w:val="3"/>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固定资产明细信息如下：</w:t>
      </w:r>
    </w:p>
    <w:tbl>
      <w:tblPr>
        <w:tblStyle w:val="7"/>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270" w:hRule="exact"/>
          <w:jc w:val="center"/>
        </w:trPr>
        <w:tc>
          <w:tcPr>
            <w:tcW w:w="8528" w:type="dxa"/>
            <w:tcBorders>
              <w:top w:val="nil"/>
              <w:left w:val="nil"/>
              <w:bottom w:val="nil"/>
              <w:right w:val="nil"/>
            </w:tcBorders>
            <w:shd w:val="clear" w:color="FFFFFF" w:fill="FFFFFF"/>
            <w:vAlign w:val="center"/>
          </w:tcPr>
          <w:p>
            <w:pPr>
              <w:rPr>
                <w:rFonts w:ascii="宋体" w:hAnsi="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57" w:hRule="exact"/>
          <w:jc w:val="center"/>
        </w:trPr>
        <w:tc>
          <w:tcPr>
            <w:tcW w:w="8528" w:type="dxa"/>
            <w:tcBorders>
              <w:top w:val="nil"/>
              <w:left w:val="nil"/>
              <w:bottom w:val="nil"/>
              <w:right w:val="nil"/>
            </w:tcBorders>
            <w:shd w:val="clear" w:color="FFFFFF" w:fill="FFFFFF"/>
          </w:tcPr>
          <w:p>
            <w:pPr>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固定资产明细表</w:t>
            </w:r>
          </w:p>
        </w:tc>
      </w:tr>
      <w:tr>
        <w:tblPrEx>
          <w:tblCellMar>
            <w:top w:w="0" w:type="dxa"/>
            <w:left w:w="108" w:type="dxa"/>
            <w:bottom w:w="0" w:type="dxa"/>
            <w:right w:w="108" w:type="dxa"/>
          </w:tblCellMar>
        </w:tblPrEx>
        <w:trPr>
          <w:trHeight w:val="397" w:hRule="exact"/>
          <w:jc w:val="center"/>
        </w:trPr>
        <w:tc>
          <w:tcPr>
            <w:tcW w:w="8528" w:type="dxa"/>
            <w:tcBorders>
              <w:top w:val="nil"/>
              <w:left w:val="nil"/>
              <w:bottom w:val="nil"/>
              <w:right w:val="nil"/>
            </w:tcBorders>
            <w:shd w:val="clear" w:color="FFFFFF" w:fill="FFFFFF"/>
            <w:vAlign w:val="center"/>
          </w:tcPr>
          <w:p>
            <w:pPr>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单位：万元</w:t>
            </w:r>
          </w:p>
        </w:tc>
      </w:tr>
    </w:tbl>
    <w:p>
      <w:pPr>
        <w:spacing w:line="20" w:lineRule="exact"/>
        <w:jc w:val="right"/>
        <w:rPr>
          <w:rFonts w:ascii="宋体" w:hAnsi="宋体" w:cs="宋体"/>
          <w:color w:val="000000" w:themeColor="text1"/>
          <w:sz w:val="32"/>
          <w:szCs w:val="32"/>
          <w14:textFill>
            <w14:solidFill>
              <w14:schemeClr w14:val="tx1"/>
            </w14:solidFill>
          </w14:textFill>
        </w:rPr>
      </w:pPr>
    </w:p>
    <w:tbl>
      <w:tblPr>
        <w:tblStyle w:val="7"/>
        <w:tblW w:w="9607" w:type="dxa"/>
        <w:jc w:val="center"/>
        <w:tblLayout w:type="fixed"/>
        <w:tblCellMar>
          <w:top w:w="0" w:type="dxa"/>
          <w:left w:w="108" w:type="dxa"/>
          <w:bottom w:w="0" w:type="dxa"/>
          <w:right w:w="108" w:type="dxa"/>
        </w:tblCellMar>
      </w:tblPr>
      <w:tblGrid>
        <w:gridCol w:w="3545"/>
        <w:gridCol w:w="1908"/>
        <w:gridCol w:w="1166"/>
        <w:gridCol w:w="1222"/>
        <w:gridCol w:w="1766"/>
      </w:tblGrid>
      <w:tr>
        <w:tblPrEx>
          <w:tblCellMar>
            <w:top w:w="0" w:type="dxa"/>
            <w:left w:w="108" w:type="dxa"/>
            <w:bottom w:w="0" w:type="dxa"/>
            <w:right w:w="108" w:type="dxa"/>
          </w:tblCellMar>
        </w:tblPrEx>
        <w:trPr>
          <w:trHeight w:val="397" w:hRule="atLeast"/>
          <w:tblHeader/>
          <w:jc w:val="center"/>
        </w:trPr>
        <w:tc>
          <w:tcPr>
            <w:tcW w:w="3545" w:type="dxa"/>
            <w:tcBorders>
              <w:top w:val="single" w:color="auto" w:sz="4" w:space="0"/>
              <w:bottom w:val="single" w:color="auto" w:sz="4" w:space="0"/>
            </w:tcBorders>
            <w:shd w:val="clear" w:color="FFFFFF" w:fill="FFFFFF"/>
            <w:vAlign w:val="center"/>
          </w:tcPr>
          <w:p>
            <w:pPr>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项目</w:t>
            </w:r>
          </w:p>
        </w:tc>
        <w:tc>
          <w:tcPr>
            <w:tcW w:w="1908" w:type="dxa"/>
            <w:tcBorders>
              <w:top w:val="single" w:color="auto" w:sz="4" w:space="0"/>
              <w:bottom w:val="single" w:color="auto" w:sz="4" w:space="0"/>
            </w:tcBorders>
            <w:shd w:val="clear" w:color="FFFFFF" w:fill="FFFFFF"/>
            <w:vAlign w:val="center"/>
          </w:tcPr>
          <w:p>
            <w:pPr>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年初数</w:t>
            </w:r>
          </w:p>
        </w:tc>
        <w:tc>
          <w:tcPr>
            <w:tcW w:w="1166" w:type="dxa"/>
            <w:tcBorders>
              <w:top w:val="single" w:color="auto" w:sz="4" w:space="0"/>
              <w:bottom w:val="single" w:color="auto" w:sz="4" w:space="0"/>
            </w:tcBorders>
            <w:shd w:val="clear" w:color="FFFFFF" w:fill="FFFFFF"/>
            <w:vAlign w:val="center"/>
          </w:tcPr>
          <w:p>
            <w:pPr>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本年增加</w:t>
            </w:r>
          </w:p>
        </w:tc>
        <w:tc>
          <w:tcPr>
            <w:tcW w:w="1222" w:type="dxa"/>
            <w:tcBorders>
              <w:top w:val="single" w:color="auto" w:sz="4" w:space="0"/>
              <w:bottom w:val="single" w:color="auto" w:sz="4" w:space="0"/>
            </w:tcBorders>
            <w:shd w:val="clear" w:color="FFFFFF" w:fill="FFFFFF"/>
            <w:vAlign w:val="center"/>
          </w:tcPr>
          <w:p>
            <w:pPr>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本年减少</w:t>
            </w:r>
          </w:p>
        </w:tc>
        <w:tc>
          <w:tcPr>
            <w:tcW w:w="1766" w:type="dxa"/>
            <w:tcBorders>
              <w:top w:val="single" w:color="auto" w:sz="4" w:space="0"/>
              <w:bottom w:val="single" w:color="auto" w:sz="4" w:space="0"/>
            </w:tcBorders>
            <w:shd w:val="clear" w:color="FFFFFF" w:fill="FFFFFF"/>
            <w:vAlign w:val="center"/>
          </w:tcPr>
          <w:p>
            <w:pPr>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年末数</w:t>
            </w:r>
          </w:p>
        </w:tc>
      </w:tr>
      <w:tr>
        <w:tblPrEx>
          <w:tblCellMar>
            <w:top w:w="0" w:type="dxa"/>
            <w:left w:w="108" w:type="dxa"/>
            <w:bottom w:w="0" w:type="dxa"/>
            <w:right w:w="108" w:type="dxa"/>
          </w:tblCellMar>
        </w:tblPrEx>
        <w:trPr>
          <w:trHeight w:val="20" w:hRule="exact"/>
          <w:tblHeader/>
          <w:jc w:val="center"/>
        </w:trPr>
        <w:tc>
          <w:tcPr>
            <w:tcW w:w="3545" w:type="dxa"/>
            <w:tcBorders>
              <w:top w:val="single" w:color="auto" w:sz="4" w:space="0"/>
            </w:tcBorders>
            <w:shd w:val="clear" w:color="FFFFFF" w:fill="FFFFFF"/>
            <w:vAlign w:val="center"/>
          </w:tcPr>
          <w:p>
            <w:pPr>
              <w:jc w:val="center"/>
              <w:rPr>
                <w:rFonts w:ascii="宋体" w:hAnsi="宋体" w:cs="宋体"/>
                <w:color w:val="000000" w:themeColor="text1"/>
                <w:sz w:val="32"/>
                <w:szCs w:val="32"/>
                <w14:textFill>
                  <w14:solidFill>
                    <w14:schemeClr w14:val="tx1"/>
                  </w14:solidFill>
                </w14:textFill>
              </w:rPr>
            </w:pPr>
          </w:p>
        </w:tc>
        <w:tc>
          <w:tcPr>
            <w:tcW w:w="1908" w:type="dxa"/>
            <w:tcBorders>
              <w:top w:val="single" w:color="auto" w:sz="4" w:space="0"/>
            </w:tcBorders>
            <w:shd w:val="clear" w:color="FFFFFF" w:fill="FFFFFF"/>
            <w:vAlign w:val="center"/>
          </w:tcPr>
          <w:p>
            <w:pPr>
              <w:jc w:val="center"/>
              <w:rPr>
                <w:rFonts w:ascii="宋体" w:hAnsi="宋体" w:cs="宋体"/>
                <w:color w:val="000000" w:themeColor="text1"/>
                <w:sz w:val="32"/>
                <w:szCs w:val="32"/>
                <w14:textFill>
                  <w14:solidFill>
                    <w14:schemeClr w14:val="tx1"/>
                  </w14:solidFill>
                </w14:textFill>
              </w:rPr>
            </w:pPr>
          </w:p>
        </w:tc>
        <w:tc>
          <w:tcPr>
            <w:tcW w:w="1166" w:type="dxa"/>
            <w:tcBorders>
              <w:top w:val="single" w:color="auto" w:sz="4" w:space="0"/>
            </w:tcBorders>
            <w:shd w:val="clear" w:color="FFFFFF" w:fill="FFFFFF"/>
            <w:vAlign w:val="center"/>
          </w:tcPr>
          <w:p>
            <w:pPr>
              <w:jc w:val="center"/>
              <w:rPr>
                <w:rFonts w:ascii="宋体" w:hAnsi="宋体" w:cs="宋体"/>
                <w:color w:val="000000" w:themeColor="text1"/>
                <w:sz w:val="32"/>
                <w:szCs w:val="32"/>
                <w14:textFill>
                  <w14:solidFill>
                    <w14:schemeClr w14:val="tx1"/>
                  </w14:solidFill>
                </w14:textFill>
              </w:rPr>
            </w:pPr>
          </w:p>
        </w:tc>
        <w:tc>
          <w:tcPr>
            <w:tcW w:w="1222" w:type="dxa"/>
            <w:tcBorders>
              <w:top w:val="single" w:color="auto" w:sz="4" w:space="0"/>
            </w:tcBorders>
            <w:shd w:val="clear" w:color="FFFFFF" w:fill="FFFFFF"/>
            <w:vAlign w:val="center"/>
          </w:tcPr>
          <w:p>
            <w:pPr>
              <w:jc w:val="center"/>
              <w:rPr>
                <w:rFonts w:ascii="宋体" w:hAnsi="宋体" w:cs="宋体"/>
                <w:color w:val="000000" w:themeColor="text1"/>
                <w:sz w:val="32"/>
                <w:szCs w:val="32"/>
                <w14:textFill>
                  <w14:solidFill>
                    <w14:schemeClr w14:val="tx1"/>
                  </w14:solidFill>
                </w14:textFill>
              </w:rPr>
            </w:pPr>
          </w:p>
        </w:tc>
        <w:tc>
          <w:tcPr>
            <w:tcW w:w="1766" w:type="dxa"/>
            <w:tcBorders>
              <w:top w:val="single" w:color="auto" w:sz="4" w:space="0"/>
            </w:tcBorders>
            <w:shd w:val="clear" w:color="FFFFFF" w:fill="FFFFFF"/>
            <w:vAlign w:val="center"/>
          </w:tcPr>
          <w:p>
            <w:pPr>
              <w:jc w:val="center"/>
              <w:rPr>
                <w:rFonts w:ascii="宋体" w:hAnsi="宋体" w:cs="宋体"/>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原值合计</w:t>
            </w:r>
          </w:p>
        </w:tc>
        <w:tc>
          <w:tcPr>
            <w:tcW w:w="1908"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1192.05</w:t>
            </w:r>
          </w:p>
        </w:tc>
        <w:tc>
          <w:tcPr>
            <w:tcW w:w="11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48</w:t>
            </w:r>
          </w:p>
        </w:tc>
        <w:tc>
          <w:tcPr>
            <w:tcW w:w="1222"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7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1240.05</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 xml:space="preserve">  房屋及构筑物</w:t>
            </w:r>
          </w:p>
        </w:tc>
        <w:tc>
          <w:tcPr>
            <w:tcW w:w="1908"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356.81</w:t>
            </w:r>
          </w:p>
        </w:tc>
        <w:tc>
          <w:tcPr>
            <w:tcW w:w="11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222"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222.95</w:t>
            </w:r>
          </w:p>
        </w:tc>
        <w:tc>
          <w:tcPr>
            <w:tcW w:w="17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356.81</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 xml:space="preserve">  通用设备</w:t>
            </w:r>
          </w:p>
        </w:tc>
        <w:tc>
          <w:tcPr>
            <w:tcW w:w="1908"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519.73</w:t>
            </w:r>
          </w:p>
        </w:tc>
        <w:tc>
          <w:tcPr>
            <w:tcW w:w="11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44.76</w:t>
            </w:r>
          </w:p>
        </w:tc>
        <w:tc>
          <w:tcPr>
            <w:tcW w:w="1222"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7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564.49</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 xml:space="preserve">  专用设备</w:t>
            </w:r>
          </w:p>
        </w:tc>
        <w:tc>
          <w:tcPr>
            <w:tcW w:w="1908"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11.75</w:t>
            </w:r>
          </w:p>
        </w:tc>
        <w:tc>
          <w:tcPr>
            <w:tcW w:w="11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222"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7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11.75</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 xml:space="preserve">  文物和陈列品</w:t>
            </w:r>
          </w:p>
        </w:tc>
        <w:tc>
          <w:tcPr>
            <w:tcW w:w="1908"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1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222"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7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 xml:space="preserve">  图书、档案</w:t>
            </w:r>
          </w:p>
        </w:tc>
        <w:tc>
          <w:tcPr>
            <w:tcW w:w="1908"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21.62</w:t>
            </w:r>
          </w:p>
        </w:tc>
        <w:tc>
          <w:tcPr>
            <w:tcW w:w="11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222"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7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21.62</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 xml:space="preserve">  家具、用具、装具及动植物</w:t>
            </w:r>
          </w:p>
        </w:tc>
        <w:tc>
          <w:tcPr>
            <w:tcW w:w="1908"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59.19</w:t>
            </w:r>
          </w:p>
        </w:tc>
        <w:tc>
          <w:tcPr>
            <w:tcW w:w="11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3.24</w:t>
            </w:r>
          </w:p>
        </w:tc>
        <w:tc>
          <w:tcPr>
            <w:tcW w:w="1222"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7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62.43</w:t>
            </w:r>
          </w:p>
        </w:tc>
      </w:tr>
      <w:tr>
        <w:tblPrEx>
          <w:tblCellMar>
            <w:top w:w="0" w:type="dxa"/>
            <w:left w:w="108" w:type="dxa"/>
            <w:bottom w:w="0" w:type="dxa"/>
            <w:right w:w="108" w:type="dxa"/>
          </w:tblCellMar>
        </w:tblPrEx>
        <w:trPr>
          <w:trHeight w:val="455" w:hRule="atLeast"/>
          <w:jc w:val="center"/>
        </w:trPr>
        <w:tc>
          <w:tcPr>
            <w:tcW w:w="3545" w:type="dxa"/>
            <w:tcBorders>
              <w:top w:val="single" w:color="auto" w:sz="4" w:space="0"/>
            </w:tcBorders>
            <w:shd w:val="clear" w:color="FFFFFF" w:fill="FFFFFF"/>
            <w:vAlign w:val="center"/>
          </w:tcPr>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累计折旧合计</w:t>
            </w:r>
          </w:p>
        </w:tc>
        <w:tc>
          <w:tcPr>
            <w:tcW w:w="1908" w:type="dxa"/>
            <w:tcBorders>
              <w:top w:val="single" w:color="auto" w:sz="4" w:space="0"/>
            </w:tcBorders>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815.59</w:t>
            </w:r>
          </w:p>
        </w:tc>
        <w:tc>
          <w:tcPr>
            <w:tcW w:w="1166" w:type="dxa"/>
            <w:tcBorders>
              <w:top w:val="single" w:color="auto" w:sz="4" w:space="0"/>
            </w:tcBorders>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31.7</w:t>
            </w:r>
          </w:p>
        </w:tc>
        <w:tc>
          <w:tcPr>
            <w:tcW w:w="1222" w:type="dxa"/>
            <w:tcBorders>
              <w:top w:val="single" w:color="auto" w:sz="4" w:space="0"/>
            </w:tcBorders>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766" w:type="dxa"/>
            <w:tcBorders>
              <w:top w:val="single" w:color="auto" w:sz="4" w:space="0"/>
            </w:tcBorders>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847.29</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 xml:space="preserve">  房屋及构筑物</w:t>
            </w:r>
          </w:p>
        </w:tc>
        <w:tc>
          <w:tcPr>
            <w:tcW w:w="1908"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356.82</w:t>
            </w:r>
          </w:p>
        </w:tc>
        <w:tc>
          <w:tcPr>
            <w:tcW w:w="11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222"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7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356.82</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 xml:space="preserve">  通用设备</w:t>
            </w:r>
          </w:p>
        </w:tc>
        <w:tc>
          <w:tcPr>
            <w:tcW w:w="1908"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398.69</w:t>
            </w:r>
          </w:p>
        </w:tc>
        <w:tc>
          <w:tcPr>
            <w:tcW w:w="11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29.18</w:t>
            </w:r>
          </w:p>
        </w:tc>
        <w:tc>
          <w:tcPr>
            <w:tcW w:w="1222"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7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427.87</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 xml:space="preserve">  专用设备</w:t>
            </w:r>
          </w:p>
        </w:tc>
        <w:tc>
          <w:tcPr>
            <w:tcW w:w="1908"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11.75</w:t>
            </w:r>
          </w:p>
        </w:tc>
        <w:tc>
          <w:tcPr>
            <w:tcW w:w="11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222"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7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11.75</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 xml:space="preserve">  文物和陈列品</w:t>
            </w:r>
          </w:p>
        </w:tc>
        <w:tc>
          <w:tcPr>
            <w:tcW w:w="1908"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1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222"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7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 xml:space="preserve">  图书、档案</w:t>
            </w:r>
          </w:p>
        </w:tc>
        <w:tc>
          <w:tcPr>
            <w:tcW w:w="1908"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1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222"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7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 xml:space="preserve">  家具、用具、装具及动植物</w:t>
            </w:r>
          </w:p>
        </w:tc>
        <w:tc>
          <w:tcPr>
            <w:tcW w:w="1908"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48.33</w:t>
            </w:r>
          </w:p>
        </w:tc>
        <w:tc>
          <w:tcPr>
            <w:tcW w:w="11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2.52</w:t>
            </w:r>
          </w:p>
        </w:tc>
        <w:tc>
          <w:tcPr>
            <w:tcW w:w="1222"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7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50.85</w:t>
            </w:r>
          </w:p>
        </w:tc>
      </w:tr>
      <w:tr>
        <w:tblPrEx>
          <w:tblCellMar>
            <w:top w:w="0" w:type="dxa"/>
            <w:left w:w="108" w:type="dxa"/>
            <w:bottom w:w="0" w:type="dxa"/>
            <w:right w:w="108" w:type="dxa"/>
          </w:tblCellMar>
        </w:tblPrEx>
        <w:trPr>
          <w:trHeight w:val="455" w:hRule="atLeast"/>
          <w:jc w:val="center"/>
        </w:trPr>
        <w:tc>
          <w:tcPr>
            <w:tcW w:w="3545" w:type="dxa"/>
            <w:tcBorders>
              <w:top w:val="single" w:color="auto" w:sz="4" w:space="0"/>
            </w:tcBorders>
            <w:shd w:val="clear" w:color="FFFFFF" w:fill="FFFFFF"/>
            <w:vAlign w:val="center"/>
          </w:tcPr>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净值合计</w:t>
            </w:r>
          </w:p>
        </w:tc>
        <w:tc>
          <w:tcPr>
            <w:tcW w:w="1908" w:type="dxa"/>
            <w:tcBorders>
              <w:top w:val="single" w:color="auto" w:sz="4" w:space="0"/>
            </w:tcBorders>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376.47</w:t>
            </w:r>
          </w:p>
        </w:tc>
        <w:tc>
          <w:tcPr>
            <w:tcW w:w="1166" w:type="dxa"/>
            <w:tcBorders>
              <w:top w:val="single" w:color="auto" w:sz="4" w:space="0"/>
            </w:tcBorders>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16.29</w:t>
            </w:r>
          </w:p>
        </w:tc>
        <w:tc>
          <w:tcPr>
            <w:tcW w:w="1222" w:type="dxa"/>
            <w:tcBorders>
              <w:top w:val="single" w:color="auto" w:sz="4" w:space="0"/>
            </w:tcBorders>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766" w:type="dxa"/>
            <w:tcBorders>
              <w:top w:val="single" w:color="auto" w:sz="4" w:space="0"/>
            </w:tcBorders>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392.76</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 xml:space="preserve">  房屋及构筑物</w:t>
            </w:r>
          </w:p>
        </w:tc>
        <w:tc>
          <w:tcPr>
            <w:tcW w:w="1908"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w:t>
            </w:r>
          </w:p>
        </w:tc>
        <w:tc>
          <w:tcPr>
            <w:tcW w:w="11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222"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222.95</w:t>
            </w:r>
          </w:p>
        </w:tc>
        <w:tc>
          <w:tcPr>
            <w:tcW w:w="17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 xml:space="preserve">  通用设备</w:t>
            </w:r>
          </w:p>
        </w:tc>
        <w:tc>
          <w:tcPr>
            <w:tcW w:w="1908"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121.04</w:t>
            </w:r>
          </w:p>
        </w:tc>
        <w:tc>
          <w:tcPr>
            <w:tcW w:w="11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15.58</w:t>
            </w:r>
          </w:p>
        </w:tc>
        <w:tc>
          <w:tcPr>
            <w:tcW w:w="1222"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7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136.62</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 xml:space="preserve">  专用设备</w:t>
            </w:r>
          </w:p>
        </w:tc>
        <w:tc>
          <w:tcPr>
            <w:tcW w:w="1908"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1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222"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7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 xml:space="preserve">  文物和陈列品</w:t>
            </w:r>
          </w:p>
        </w:tc>
        <w:tc>
          <w:tcPr>
            <w:tcW w:w="1908"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1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222"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7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r>
      <w:tr>
        <w:tblPrEx>
          <w:tblCellMar>
            <w:top w:w="0" w:type="dxa"/>
            <w:left w:w="108" w:type="dxa"/>
            <w:bottom w:w="0" w:type="dxa"/>
            <w:right w:w="108" w:type="dxa"/>
          </w:tblCellMar>
        </w:tblPrEx>
        <w:trPr>
          <w:trHeight w:val="397" w:hRule="atLeast"/>
          <w:jc w:val="center"/>
        </w:trPr>
        <w:tc>
          <w:tcPr>
            <w:tcW w:w="3545" w:type="dxa"/>
            <w:shd w:val="clear" w:color="FFFFFF" w:fill="FFFFFF"/>
            <w:vAlign w:val="center"/>
          </w:tcPr>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 xml:space="preserve">  图书、档案</w:t>
            </w:r>
          </w:p>
        </w:tc>
        <w:tc>
          <w:tcPr>
            <w:tcW w:w="1908"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21.62</w:t>
            </w:r>
          </w:p>
        </w:tc>
        <w:tc>
          <w:tcPr>
            <w:tcW w:w="11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222"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766" w:type="dxa"/>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21.62</w:t>
            </w:r>
          </w:p>
        </w:tc>
      </w:tr>
      <w:tr>
        <w:tblPrEx>
          <w:tblCellMar>
            <w:top w:w="0" w:type="dxa"/>
            <w:left w:w="108" w:type="dxa"/>
            <w:bottom w:w="0" w:type="dxa"/>
            <w:right w:w="108" w:type="dxa"/>
          </w:tblCellMar>
        </w:tblPrEx>
        <w:trPr>
          <w:trHeight w:val="455" w:hRule="atLeast"/>
          <w:jc w:val="center"/>
        </w:trPr>
        <w:tc>
          <w:tcPr>
            <w:tcW w:w="3545" w:type="dxa"/>
            <w:tcBorders>
              <w:bottom w:val="single" w:color="auto" w:sz="4" w:space="0"/>
            </w:tcBorders>
            <w:shd w:val="clear" w:color="FFFFFF" w:fill="FFFFFF"/>
            <w:vAlign w:val="center"/>
          </w:tcPr>
          <w:p>
            <w:pP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 xml:space="preserve">  家具、用具、装具及动植物</w:t>
            </w:r>
          </w:p>
        </w:tc>
        <w:tc>
          <w:tcPr>
            <w:tcW w:w="1908" w:type="dxa"/>
            <w:tcBorders>
              <w:bottom w:val="single" w:color="auto" w:sz="4" w:space="0"/>
            </w:tcBorders>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10.87</w:t>
            </w:r>
          </w:p>
        </w:tc>
        <w:tc>
          <w:tcPr>
            <w:tcW w:w="1166" w:type="dxa"/>
            <w:tcBorders>
              <w:bottom w:val="single" w:color="auto" w:sz="4" w:space="0"/>
            </w:tcBorders>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0.71</w:t>
            </w:r>
          </w:p>
        </w:tc>
        <w:tc>
          <w:tcPr>
            <w:tcW w:w="1222" w:type="dxa"/>
            <w:tcBorders>
              <w:bottom w:val="single" w:color="auto" w:sz="4" w:space="0"/>
            </w:tcBorders>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0.00</w:t>
            </w:r>
          </w:p>
        </w:tc>
        <w:tc>
          <w:tcPr>
            <w:tcW w:w="1766" w:type="dxa"/>
            <w:tcBorders>
              <w:bottom w:val="single" w:color="auto" w:sz="4" w:space="0"/>
            </w:tcBorders>
            <w:shd w:val="clear" w:color="FFFFFF" w:fill="FFFFFF"/>
            <w:vAlign w:val="center"/>
          </w:tcPr>
          <w:p>
            <w:pPr>
              <w:jc w:val="righ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position w:val="-1"/>
                <w:sz w:val="32"/>
                <w:szCs w:val="32"/>
                <w14:textFill>
                  <w14:solidFill>
                    <w14:schemeClr w14:val="tx1"/>
                  </w14:solidFill>
                </w14:textFill>
              </w:rPr>
              <w:t>11.58</w:t>
            </w:r>
          </w:p>
        </w:tc>
      </w:tr>
    </w:tbl>
    <w:p>
      <w:pPr>
        <w:ind w:firstLine="636"/>
        <w:rPr>
          <w:rFonts w:ascii="宋体" w:hAnsi="宋体" w:cs="黑体"/>
          <w:bCs/>
          <w:color w:val="000000" w:themeColor="text1"/>
          <w:sz w:val="32"/>
          <w:szCs w:val="32"/>
          <w14:textFill>
            <w14:solidFill>
              <w14:schemeClr w14:val="tx1"/>
            </w14:solidFill>
          </w14:textFill>
        </w:rPr>
      </w:pPr>
    </w:p>
    <w:p>
      <w:pPr>
        <w:ind w:firstLine="636"/>
        <w:rPr>
          <w:rFonts w:hint="eastAsia" w:ascii="黑体" w:hAnsi="黑体" w:eastAsia="黑体" w:cs="黑体"/>
          <w:bCs/>
          <w:sz w:val="32"/>
          <w:szCs w:val="32"/>
        </w:rPr>
      </w:pPr>
      <w:r>
        <w:rPr>
          <w:rFonts w:hint="eastAsia" w:ascii="黑体" w:hAnsi="黑体" w:eastAsia="黑体" w:cs="黑体"/>
          <w:bCs/>
          <w:sz w:val="32"/>
          <w:szCs w:val="32"/>
        </w:rPr>
        <w:t>七、其他说明</w:t>
      </w:r>
    </w:p>
    <w:p>
      <w:pPr>
        <w:autoSpaceDE w:val="0"/>
        <w:autoSpaceDN w:val="0"/>
        <w:adjustRightInd w:val="0"/>
        <w:ind w:firstLine="640" w:firstLineChars="200"/>
        <w:rPr>
          <w:rFonts w:hint="eastAsia" w:ascii="宋体" w:hAnsi="宋体"/>
          <w:color w:val="000000" w:themeColor="text1"/>
          <w:sz w:val="32"/>
          <w:szCs w:val="32"/>
          <w:lang w:val="en-US" w:eastAsia="zh-CN"/>
          <w14:textFill>
            <w14:solidFill>
              <w14:schemeClr w14:val="tx1"/>
            </w14:solidFill>
          </w14:textFill>
        </w:rPr>
      </w:pPr>
      <w:r>
        <w:rPr>
          <w:rFonts w:hint="eastAsia" w:ascii="宋体" w:hAnsi="宋体"/>
          <w:color w:val="000000" w:themeColor="text1"/>
          <w:sz w:val="32"/>
          <w:szCs w:val="32"/>
          <w:lang w:val="en-US" w:eastAsia="zh-CN"/>
          <w14:textFill>
            <w14:solidFill>
              <w14:schemeClr w14:val="tx1"/>
            </w14:solidFill>
          </w14:textFill>
        </w:rPr>
        <w:t>无</w:t>
      </w:r>
    </w:p>
    <w:p>
      <w:pPr>
        <w:jc w:val="center"/>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第四部分  名词解释</w:t>
      </w:r>
    </w:p>
    <w:p>
      <w:pPr>
        <w:autoSpaceDE w:val="0"/>
        <w:autoSpaceDN w:val="0"/>
        <w:adjustRightInd w:val="0"/>
        <w:ind w:firstLine="640" w:firstLineChars="200"/>
        <w:rPr>
          <w:rFonts w:hint="eastAsia" w:ascii="仿宋_GB2312" w:hAnsi="仿宋" w:eastAsia="仿宋_GB2312"/>
          <w:sz w:val="32"/>
          <w:szCs w:val="32"/>
        </w:rPr>
      </w:pPr>
      <w:r>
        <w:rPr>
          <w:rFonts w:hint="eastAsia" w:ascii="宋体" w:hAnsi="宋体"/>
          <w:color w:val="000000" w:themeColor="text1"/>
          <w:sz w:val="32"/>
          <w:szCs w:val="32"/>
          <w14:textFill>
            <w14:solidFill>
              <w14:schemeClr w14:val="tx1"/>
            </w14:solidFill>
          </w14:textFill>
        </w:rPr>
        <w:t xml:space="preserve">    </w:t>
      </w:r>
      <w:r>
        <w:rPr>
          <w:rFonts w:hint="eastAsia" w:ascii="仿宋_GB2312" w:hAnsi="楷体" w:eastAsia="仿宋_GB2312"/>
          <w:b/>
          <w:sz w:val="32"/>
          <w:szCs w:val="32"/>
        </w:rPr>
        <w:t>一、基本支出</w:t>
      </w:r>
      <w:r>
        <w:rPr>
          <w:rFonts w:hint="eastAsia" w:ascii="仿宋_GB2312" w:hAnsi="仿宋" w:eastAsia="仿宋_GB2312"/>
          <w:sz w:val="32"/>
          <w:szCs w:val="32"/>
        </w:rPr>
        <w:t>：指为保障机构正常运转、完成日常</w:t>
      </w:r>
    </w:p>
    <w:p>
      <w:pPr>
        <w:autoSpaceDE w:val="0"/>
        <w:autoSpaceDN w:val="0"/>
        <w:adjustRightInd w:val="0"/>
        <w:rPr>
          <w:rFonts w:hint="eastAsia" w:ascii="仿宋_GB2312" w:hAnsi="仿宋" w:eastAsia="仿宋_GB2312"/>
          <w:sz w:val="32"/>
          <w:szCs w:val="32"/>
        </w:rPr>
      </w:pPr>
      <w:r>
        <w:rPr>
          <w:rFonts w:hint="eastAsia" w:ascii="仿宋_GB2312" w:hAnsi="仿宋" w:eastAsia="仿宋_GB2312"/>
          <w:sz w:val="32"/>
          <w:szCs w:val="32"/>
        </w:rPr>
        <w:t>工作任务而发生的人员支出和公用支出。</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楷体" w:eastAsia="仿宋_GB2312"/>
          <w:b/>
          <w:sz w:val="32"/>
          <w:szCs w:val="32"/>
        </w:rPr>
        <w:t>二、项目支出</w:t>
      </w:r>
      <w:r>
        <w:rPr>
          <w:rFonts w:hint="eastAsia" w:ascii="仿宋_GB2312" w:hAnsi="仿宋" w:eastAsia="仿宋_GB2312"/>
          <w:sz w:val="32"/>
          <w:szCs w:val="32"/>
        </w:rPr>
        <w:t>：指在基本支出之外为完成特定行政任</w:t>
      </w:r>
    </w:p>
    <w:p>
      <w:pPr>
        <w:rPr>
          <w:rFonts w:hint="eastAsia" w:ascii="仿宋_GB2312" w:hAnsi="仿宋" w:eastAsia="仿宋_GB2312"/>
          <w:sz w:val="32"/>
          <w:szCs w:val="32"/>
        </w:rPr>
      </w:pPr>
      <w:r>
        <w:rPr>
          <w:rFonts w:hint="eastAsia" w:ascii="仿宋_GB2312" w:hAnsi="仿宋" w:eastAsia="仿宋_GB2312"/>
          <w:sz w:val="32"/>
          <w:szCs w:val="32"/>
        </w:rPr>
        <w:t>务和事业发展目标所发生的支出。</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楷体" w:eastAsia="仿宋_GB2312"/>
          <w:b/>
          <w:sz w:val="32"/>
          <w:szCs w:val="32"/>
        </w:rPr>
        <w:t>三、“三公”经费</w:t>
      </w:r>
      <w:r>
        <w:rPr>
          <w:rFonts w:hint="eastAsia" w:ascii="仿宋_GB2312" w:hAnsi="仿宋" w:eastAsia="仿宋_GB2312"/>
          <w:sz w:val="32"/>
          <w:szCs w:val="32"/>
        </w:rPr>
        <w:t>：指省直部门用一般公共预算安排的因公出国（境）费用、公务用车购置及运行费和公务接待费。其中：因公出国（境）费用反映单位公务出国（境）的国际旅费、国外城市间交通费、住宿费、伙食费、培训费、公杂费等支出；公务用车购置费反映公务用车购置支出（含车辆购置税、牌照费）；公务用车运行维护费反映单位按规定保留的公务用车燃料费、维修费、过路过桥费、保险费、安全奖励费用等支出；公务接待费反映机关和参公事业单位按规定开支的各类公务接待（含外宾接待）支出。</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楷体" w:eastAsia="仿宋_GB2312"/>
          <w:b/>
          <w:sz w:val="32"/>
          <w:szCs w:val="32"/>
        </w:rPr>
        <w:t>四、机关运行经费</w:t>
      </w:r>
      <w:r>
        <w:rPr>
          <w:rFonts w:hint="eastAsia" w:ascii="仿宋_GB2312" w:hAnsi="仿宋" w:eastAsia="仿宋_GB2312"/>
          <w:sz w:val="32"/>
          <w:szCs w:val="32"/>
        </w:rPr>
        <w:t>：指行政单位和参照公务员法管理的事业单位使用一般公共预算财政拨款安排的基本支出中的公用经费支出。</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楷体" w:eastAsia="仿宋_GB2312"/>
          <w:b/>
          <w:sz w:val="32"/>
          <w:szCs w:val="32"/>
        </w:rPr>
        <w:t>五、政府购买服务</w:t>
      </w:r>
      <w:r>
        <w:rPr>
          <w:rFonts w:hint="eastAsia" w:ascii="仿宋_GB2312" w:hAnsi="仿宋" w:eastAsia="仿宋_GB2312"/>
          <w:sz w:val="32"/>
          <w:szCs w:val="32"/>
        </w:rPr>
        <w:t>：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六</w:t>
      </w:r>
      <w:r>
        <w:rPr>
          <w:rFonts w:hint="eastAsia" w:ascii="仿宋_GB2312" w:hAnsi="仿宋" w:eastAsia="仿宋_GB2312"/>
          <w:b/>
          <w:sz w:val="32"/>
          <w:szCs w:val="32"/>
        </w:rPr>
        <w:t>、一般公共预算：</w:t>
      </w:r>
      <w:r>
        <w:rPr>
          <w:rFonts w:hint="eastAsia" w:ascii="仿宋_GB2312" w:hAnsi="仿宋" w:eastAsia="仿宋_GB2312"/>
          <w:sz w:val="32"/>
          <w:szCs w:val="32"/>
        </w:rPr>
        <w:t>是指以税收为主体的财政收入，安排用于保障和改善民生、推动经济社会发展、维护国家安全、维持国家机构正常运转等方面的收支预算。</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七</w:t>
      </w:r>
      <w:r>
        <w:rPr>
          <w:rFonts w:hint="eastAsia" w:ascii="仿宋_GB2312" w:hAnsi="仿宋" w:eastAsia="仿宋_GB2312"/>
          <w:b/>
          <w:sz w:val="32"/>
          <w:szCs w:val="32"/>
        </w:rPr>
        <w:t>、政府性基金预算</w:t>
      </w:r>
      <w:r>
        <w:rPr>
          <w:rFonts w:hint="eastAsia" w:ascii="仿宋_GB2312" w:hAnsi="仿宋" w:eastAsia="仿宋_GB2312"/>
          <w:sz w:val="32"/>
          <w:szCs w:val="32"/>
        </w:rPr>
        <w:t>：是对依照法律、行政法规的规定在一定期限内向特定对象征收、收取或者以其他方式筹集的资金，专项用于特定公共事业发展的收支预算。</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八</w:t>
      </w:r>
      <w:r>
        <w:rPr>
          <w:rFonts w:hint="eastAsia" w:ascii="仿宋_GB2312" w:hAnsi="仿宋" w:eastAsia="仿宋_GB2312"/>
          <w:b/>
          <w:sz w:val="32"/>
          <w:szCs w:val="32"/>
        </w:rPr>
        <w:t>、国有资本经营预算</w:t>
      </w:r>
      <w:r>
        <w:rPr>
          <w:rFonts w:hint="eastAsia" w:ascii="仿宋_GB2312" w:hAnsi="仿宋" w:eastAsia="仿宋_GB2312"/>
          <w:sz w:val="32"/>
          <w:szCs w:val="32"/>
        </w:rPr>
        <w:t>：是对国有资本收益作出支出安排的收支预算。</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九</w:t>
      </w:r>
      <w:r>
        <w:rPr>
          <w:rFonts w:hint="eastAsia" w:ascii="仿宋_GB2312" w:hAnsi="仿宋" w:eastAsia="仿宋_GB2312"/>
          <w:b/>
          <w:sz w:val="32"/>
          <w:szCs w:val="32"/>
        </w:rPr>
        <w:t>、财政专户管理资金</w:t>
      </w:r>
      <w:r>
        <w:rPr>
          <w:rFonts w:hint="eastAsia" w:ascii="仿宋_GB2312" w:hAnsi="仿宋" w:eastAsia="仿宋_GB2312"/>
          <w:sz w:val="32"/>
          <w:szCs w:val="32"/>
        </w:rPr>
        <w:t xml:space="preserve">：专指教育收费，包括目前在财政专户管理的高中以上学费、住宿费，高校委托培养费，党校收费，教育考试考务费，函大、电大、夜大及短训班培训费等。  </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十</w:t>
      </w:r>
      <w:r>
        <w:rPr>
          <w:rFonts w:hint="eastAsia" w:ascii="仿宋_GB2312" w:hAnsi="仿宋" w:eastAsia="仿宋_GB2312"/>
          <w:b/>
          <w:sz w:val="32"/>
          <w:szCs w:val="32"/>
        </w:rPr>
        <w:t>、单位资金</w:t>
      </w:r>
      <w:r>
        <w:rPr>
          <w:rFonts w:hint="eastAsia" w:ascii="仿宋_GB2312" w:hAnsi="仿宋" w:eastAsia="仿宋_GB2312"/>
          <w:sz w:val="32"/>
          <w:szCs w:val="32"/>
        </w:rPr>
        <w:t>：是指除政府预算资金和财政专户管理资金以外的资金，包括事业收入、事业单位经营收入、上级补助收入、附属单位上缴收入、其他收入。</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十一</w:t>
      </w:r>
      <w:r>
        <w:rPr>
          <w:rFonts w:hint="eastAsia" w:ascii="仿宋_GB2312" w:hAnsi="仿宋" w:eastAsia="仿宋_GB2312"/>
          <w:b/>
          <w:sz w:val="32"/>
          <w:szCs w:val="32"/>
        </w:rPr>
        <w:t>、上年结转</w:t>
      </w:r>
      <w:r>
        <w:rPr>
          <w:rFonts w:hint="eastAsia" w:ascii="仿宋_GB2312" w:hAnsi="仿宋" w:eastAsia="仿宋_GB2312"/>
          <w:sz w:val="32"/>
          <w:szCs w:val="32"/>
        </w:rPr>
        <w:t>：指以前年度预算安排、结转到本年仍按原规定用途继续使用的资金。</w:t>
      </w:r>
    </w:p>
    <w:p>
      <w:pPr>
        <w:autoSpaceDE w:val="0"/>
        <w:autoSpaceDN w:val="0"/>
        <w:adjustRightInd w:val="0"/>
        <w:ind w:firstLine="640" w:firstLineChars="200"/>
        <w:rPr>
          <w:rFonts w:ascii="仿宋_GB2312" w:hAnsi="仿宋" w:eastAsia="仿宋_GB2312"/>
          <w:sz w:val="32"/>
          <w:szCs w:val="32"/>
        </w:rPr>
      </w:pPr>
    </w:p>
    <w:p/>
    <w:p>
      <w:pPr>
        <w:autoSpaceDE w:val="0"/>
        <w:autoSpaceDN w:val="0"/>
        <w:adjustRightInd w:val="0"/>
        <w:ind w:firstLine="640" w:firstLineChars="200"/>
        <w:rPr>
          <w:rFonts w:hint="eastAsia" w:ascii="宋体" w:hAnsi="宋体"/>
          <w:color w:val="000000" w:themeColor="text1"/>
          <w:sz w:val="32"/>
          <w:szCs w:val="32"/>
          <w14:textFill>
            <w14:solidFill>
              <w14:schemeClr w14:val="tx1"/>
            </w14:solidFill>
          </w14:textFill>
        </w:rPr>
      </w:pPr>
    </w:p>
    <w:p>
      <w:pPr>
        <w:rPr>
          <w:rFonts w:ascii="宋体" w:hAnsi="宋体" w:cs="宋体"/>
          <w:color w:val="000000" w:themeColor="text1"/>
          <w:sz w:val="32"/>
          <w:szCs w:val="32"/>
          <w14:textFill>
            <w14:solidFill>
              <w14:schemeClr w14:val="tx1"/>
            </w14:solidFill>
          </w14:textFill>
        </w:rPr>
      </w:pPr>
    </w:p>
    <w:sectPr>
      <w:footerReference r:id="rId4" w:type="default"/>
      <w:pgSz w:w="11906" w:h="16838"/>
      <w:pgMar w:top="567" w:right="1134" w:bottom="567" w:left="113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modern"/>
    <w:pitch w:val="default"/>
    <w:sig w:usb0="00000000" w:usb1="00000000" w:usb2="00000010"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0"/>
      </w:rPr>
      <w:id w:val="-1860271980"/>
      <w:docPartObj>
        <w:docPartGallery w:val="AutoText"/>
      </w:docPartObj>
    </w:sdtPr>
    <w:sdtEndPr>
      <w:rPr>
        <w:rStyle w:val="10"/>
      </w:rPr>
    </w:sdtEndPr>
    <w:sdtContent>
      <w:p>
        <w:pPr>
          <w:pStyle w:val="4"/>
          <w:framePr w:wrap="auto" w:vAnchor="text" w:hAnchor="margin" w:xAlign="center" w:y="1"/>
          <w:rPr>
            <w:rStyle w:val="10"/>
          </w:rPr>
        </w:pPr>
        <w:r>
          <w:rPr>
            <w:rStyle w:val="10"/>
          </w:rPr>
          <w:fldChar w:fldCharType="begin"/>
        </w:r>
        <w:r>
          <w:rPr>
            <w:rStyle w:val="10"/>
          </w:rPr>
          <w:instrText xml:space="preserve"> PAGE </w:instrText>
        </w:r>
        <w:r>
          <w:rPr>
            <w:rStyle w:val="10"/>
          </w:rPr>
          <w:fldChar w:fldCharType="separate"/>
        </w:r>
        <w:r>
          <w:rPr>
            <w:rStyle w:val="10"/>
          </w:rPr>
          <w:t>1</w:t>
        </w:r>
        <w:r>
          <w:rPr>
            <w:rStyle w:val="10"/>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0"/>
      </w:rPr>
      <w:id w:val="1087658163"/>
      <w:docPartObj>
        <w:docPartGallery w:val="AutoText"/>
      </w:docPartObj>
    </w:sdtPr>
    <w:sdtEndPr>
      <w:rPr>
        <w:rStyle w:val="10"/>
      </w:rPr>
    </w:sdtEndPr>
    <w:sdtContent>
      <w:p>
        <w:pPr>
          <w:pStyle w:val="4"/>
          <w:framePr w:wrap="auto" w:vAnchor="text" w:hAnchor="margin" w:xAlign="center" w:y="1"/>
          <w:rPr>
            <w:rStyle w:val="10"/>
          </w:rPr>
        </w:pPr>
        <w:r>
          <w:rPr>
            <w:rStyle w:val="10"/>
          </w:rPr>
          <w:fldChar w:fldCharType="begin"/>
        </w:r>
        <w:r>
          <w:rPr>
            <w:rStyle w:val="10"/>
          </w:rPr>
          <w:instrText xml:space="preserve"> PAGE </w:instrText>
        </w:r>
        <w:r>
          <w:rPr>
            <w:rStyle w:val="10"/>
          </w:rPr>
          <w:fldChar w:fldCharType="separate"/>
        </w:r>
        <w:r>
          <w:rPr>
            <w:rStyle w:val="10"/>
          </w:rPr>
          <w:t>1</w:t>
        </w:r>
        <w:r>
          <w:rPr>
            <w:rStyle w:val="10"/>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E8ED11"/>
    <w:multiLevelType w:val="singleLevel"/>
    <w:tmpl w:val="61E8ED1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2MDU2NmQ3NDBjMGM5NWFiNmQzMDJlM2ZlMjNhODIifQ=="/>
  </w:docVars>
  <w:rsids>
    <w:rsidRoot w:val="004C77DC"/>
    <w:rsid w:val="00003322"/>
    <w:rsid w:val="00023155"/>
    <w:rsid w:val="00044402"/>
    <w:rsid w:val="00070368"/>
    <w:rsid w:val="000A66B2"/>
    <w:rsid w:val="000B09A1"/>
    <w:rsid w:val="000B5103"/>
    <w:rsid w:val="000D7D65"/>
    <w:rsid w:val="000F2337"/>
    <w:rsid w:val="000F3C96"/>
    <w:rsid w:val="000F446A"/>
    <w:rsid w:val="00104C8B"/>
    <w:rsid w:val="00131A9C"/>
    <w:rsid w:val="00134FCC"/>
    <w:rsid w:val="00137109"/>
    <w:rsid w:val="0014418D"/>
    <w:rsid w:val="00146C9D"/>
    <w:rsid w:val="00153B50"/>
    <w:rsid w:val="001642A7"/>
    <w:rsid w:val="00171CD7"/>
    <w:rsid w:val="00172B2B"/>
    <w:rsid w:val="001A672B"/>
    <w:rsid w:val="001A6967"/>
    <w:rsid w:val="001B47BD"/>
    <w:rsid w:val="001C0943"/>
    <w:rsid w:val="001D4B73"/>
    <w:rsid w:val="001D7511"/>
    <w:rsid w:val="002035D6"/>
    <w:rsid w:val="00205EC6"/>
    <w:rsid w:val="00225B8D"/>
    <w:rsid w:val="002273CC"/>
    <w:rsid w:val="002646B9"/>
    <w:rsid w:val="00272A51"/>
    <w:rsid w:val="00296ACA"/>
    <w:rsid w:val="00297D3B"/>
    <w:rsid w:val="002A3E18"/>
    <w:rsid w:val="002B2A61"/>
    <w:rsid w:val="002B2C6C"/>
    <w:rsid w:val="0030556B"/>
    <w:rsid w:val="00306311"/>
    <w:rsid w:val="00317EB9"/>
    <w:rsid w:val="00323CBE"/>
    <w:rsid w:val="003342E4"/>
    <w:rsid w:val="003449AA"/>
    <w:rsid w:val="00353812"/>
    <w:rsid w:val="00365D29"/>
    <w:rsid w:val="0038113A"/>
    <w:rsid w:val="00390686"/>
    <w:rsid w:val="003A3654"/>
    <w:rsid w:val="003C19C6"/>
    <w:rsid w:val="003D7D03"/>
    <w:rsid w:val="003F3744"/>
    <w:rsid w:val="0042637A"/>
    <w:rsid w:val="00461FCC"/>
    <w:rsid w:val="00472C6F"/>
    <w:rsid w:val="00477BA9"/>
    <w:rsid w:val="00481E51"/>
    <w:rsid w:val="0048255B"/>
    <w:rsid w:val="00496080"/>
    <w:rsid w:val="004A755D"/>
    <w:rsid w:val="004B36E3"/>
    <w:rsid w:val="004C3B83"/>
    <w:rsid w:val="004C44C6"/>
    <w:rsid w:val="004C77DC"/>
    <w:rsid w:val="004E0142"/>
    <w:rsid w:val="004E4991"/>
    <w:rsid w:val="00500451"/>
    <w:rsid w:val="00513C1B"/>
    <w:rsid w:val="00520161"/>
    <w:rsid w:val="005256C4"/>
    <w:rsid w:val="00530C16"/>
    <w:rsid w:val="0053712F"/>
    <w:rsid w:val="005445AF"/>
    <w:rsid w:val="005450DB"/>
    <w:rsid w:val="00545468"/>
    <w:rsid w:val="00547DFE"/>
    <w:rsid w:val="00576247"/>
    <w:rsid w:val="005762D5"/>
    <w:rsid w:val="00586240"/>
    <w:rsid w:val="00592527"/>
    <w:rsid w:val="00596FF5"/>
    <w:rsid w:val="005B167F"/>
    <w:rsid w:val="005F3DD7"/>
    <w:rsid w:val="005F6982"/>
    <w:rsid w:val="005F7237"/>
    <w:rsid w:val="00612D35"/>
    <w:rsid w:val="006445DD"/>
    <w:rsid w:val="006638C0"/>
    <w:rsid w:val="006705A3"/>
    <w:rsid w:val="00673F79"/>
    <w:rsid w:val="006B49E8"/>
    <w:rsid w:val="006C4904"/>
    <w:rsid w:val="006D3188"/>
    <w:rsid w:val="006D4904"/>
    <w:rsid w:val="006D7A5E"/>
    <w:rsid w:val="006E1D74"/>
    <w:rsid w:val="006F44C5"/>
    <w:rsid w:val="006F6475"/>
    <w:rsid w:val="00727F82"/>
    <w:rsid w:val="00733936"/>
    <w:rsid w:val="007462FB"/>
    <w:rsid w:val="00751E11"/>
    <w:rsid w:val="0075664F"/>
    <w:rsid w:val="00762005"/>
    <w:rsid w:val="007669D0"/>
    <w:rsid w:val="0077199A"/>
    <w:rsid w:val="007726C5"/>
    <w:rsid w:val="00777F4B"/>
    <w:rsid w:val="00784EEB"/>
    <w:rsid w:val="00793C7C"/>
    <w:rsid w:val="00797C94"/>
    <w:rsid w:val="00797FBA"/>
    <w:rsid w:val="007D5064"/>
    <w:rsid w:val="007F2057"/>
    <w:rsid w:val="00806E84"/>
    <w:rsid w:val="0082004B"/>
    <w:rsid w:val="00827EC5"/>
    <w:rsid w:val="008716F2"/>
    <w:rsid w:val="008755A5"/>
    <w:rsid w:val="0089270B"/>
    <w:rsid w:val="008948A7"/>
    <w:rsid w:val="008A5CE8"/>
    <w:rsid w:val="008C2B55"/>
    <w:rsid w:val="008C4D0B"/>
    <w:rsid w:val="008D0CF9"/>
    <w:rsid w:val="008F21EA"/>
    <w:rsid w:val="008F4BED"/>
    <w:rsid w:val="00901AC8"/>
    <w:rsid w:val="009076CA"/>
    <w:rsid w:val="00915BF7"/>
    <w:rsid w:val="00933207"/>
    <w:rsid w:val="0093383D"/>
    <w:rsid w:val="00942241"/>
    <w:rsid w:val="009468D7"/>
    <w:rsid w:val="00972E75"/>
    <w:rsid w:val="009733BA"/>
    <w:rsid w:val="00993ED3"/>
    <w:rsid w:val="009A698A"/>
    <w:rsid w:val="009B671E"/>
    <w:rsid w:val="009F2A42"/>
    <w:rsid w:val="00A046D7"/>
    <w:rsid w:val="00A057BD"/>
    <w:rsid w:val="00A0778A"/>
    <w:rsid w:val="00A20E2A"/>
    <w:rsid w:val="00A23B27"/>
    <w:rsid w:val="00A23FD2"/>
    <w:rsid w:val="00A37831"/>
    <w:rsid w:val="00A408FA"/>
    <w:rsid w:val="00A42DDC"/>
    <w:rsid w:val="00A8495C"/>
    <w:rsid w:val="00AA11C9"/>
    <w:rsid w:val="00AA734E"/>
    <w:rsid w:val="00AA75D9"/>
    <w:rsid w:val="00AB0469"/>
    <w:rsid w:val="00AC33CE"/>
    <w:rsid w:val="00AC794D"/>
    <w:rsid w:val="00AD2409"/>
    <w:rsid w:val="00AD732D"/>
    <w:rsid w:val="00AF2A93"/>
    <w:rsid w:val="00AF5D1F"/>
    <w:rsid w:val="00B02E5E"/>
    <w:rsid w:val="00B07006"/>
    <w:rsid w:val="00B2343F"/>
    <w:rsid w:val="00B45E45"/>
    <w:rsid w:val="00B61C7A"/>
    <w:rsid w:val="00B629AF"/>
    <w:rsid w:val="00B651C5"/>
    <w:rsid w:val="00B71C24"/>
    <w:rsid w:val="00B85F31"/>
    <w:rsid w:val="00B9132A"/>
    <w:rsid w:val="00B946FA"/>
    <w:rsid w:val="00BC1150"/>
    <w:rsid w:val="00BE388A"/>
    <w:rsid w:val="00BE7A08"/>
    <w:rsid w:val="00BF7905"/>
    <w:rsid w:val="00C01D2C"/>
    <w:rsid w:val="00C30393"/>
    <w:rsid w:val="00C4706F"/>
    <w:rsid w:val="00C55481"/>
    <w:rsid w:val="00C63C33"/>
    <w:rsid w:val="00CA0305"/>
    <w:rsid w:val="00CC237D"/>
    <w:rsid w:val="00CC5AF6"/>
    <w:rsid w:val="00CD0A56"/>
    <w:rsid w:val="00CE616B"/>
    <w:rsid w:val="00CE740E"/>
    <w:rsid w:val="00CE7ECB"/>
    <w:rsid w:val="00CF4A9E"/>
    <w:rsid w:val="00D0314E"/>
    <w:rsid w:val="00D117FA"/>
    <w:rsid w:val="00D22F5D"/>
    <w:rsid w:val="00D36982"/>
    <w:rsid w:val="00D56A8B"/>
    <w:rsid w:val="00D67FA9"/>
    <w:rsid w:val="00D7068E"/>
    <w:rsid w:val="00D72D19"/>
    <w:rsid w:val="00D73664"/>
    <w:rsid w:val="00D8065E"/>
    <w:rsid w:val="00D84C85"/>
    <w:rsid w:val="00DB3DB5"/>
    <w:rsid w:val="00DC2E9F"/>
    <w:rsid w:val="00DC49A0"/>
    <w:rsid w:val="00DC77F4"/>
    <w:rsid w:val="00DD6A6D"/>
    <w:rsid w:val="00DE2228"/>
    <w:rsid w:val="00E04F1B"/>
    <w:rsid w:val="00E15C98"/>
    <w:rsid w:val="00E165B0"/>
    <w:rsid w:val="00E22FB1"/>
    <w:rsid w:val="00E260A6"/>
    <w:rsid w:val="00E32986"/>
    <w:rsid w:val="00E457FB"/>
    <w:rsid w:val="00E5239A"/>
    <w:rsid w:val="00E57AE7"/>
    <w:rsid w:val="00E659F8"/>
    <w:rsid w:val="00E66D5E"/>
    <w:rsid w:val="00E771B0"/>
    <w:rsid w:val="00E91E94"/>
    <w:rsid w:val="00EC1921"/>
    <w:rsid w:val="00EC5BE5"/>
    <w:rsid w:val="00ED0FBB"/>
    <w:rsid w:val="00EF0704"/>
    <w:rsid w:val="00EF6615"/>
    <w:rsid w:val="00F13733"/>
    <w:rsid w:val="00F14A9B"/>
    <w:rsid w:val="00F311DF"/>
    <w:rsid w:val="00F42131"/>
    <w:rsid w:val="00F539A2"/>
    <w:rsid w:val="00F62E2E"/>
    <w:rsid w:val="00F75A67"/>
    <w:rsid w:val="00F823D1"/>
    <w:rsid w:val="00F94352"/>
    <w:rsid w:val="00FA65F5"/>
    <w:rsid w:val="00FB323B"/>
    <w:rsid w:val="00FB3A49"/>
    <w:rsid w:val="00FB3AF9"/>
    <w:rsid w:val="00FC59BF"/>
    <w:rsid w:val="00FE3E34"/>
    <w:rsid w:val="00FE4DB9"/>
    <w:rsid w:val="00FF26D6"/>
    <w:rsid w:val="04A15406"/>
    <w:rsid w:val="178D35C8"/>
    <w:rsid w:val="24897EDE"/>
    <w:rsid w:val="24B934E4"/>
    <w:rsid w:val="251610A0"/>
    <w:rsid w:val="28851C9E"/>
    <w:rsid w:val="2AF43EB6"/>
    <w:rsid w:val="3373BDBD"/>
    <w:rsid w:val="37F49965"/>
    <w:rsid w:val="3FE87EBA"/>
    <w:rsid w:val="3FFC61B8"/>
    <w:rsid w:val="430345BA"/>
    <w:rsid w:val="4A143192"/>
    <w:rsid w:val="51397EB0"/>
    <w:rsid w:val="57BEC90F"/>
    <w:rsid w:val="5EC7C9C3"/>
    <w:rsid w:val="5FF374B4"/>
    <w:rsid w:val="74EE74E7"/>
    <w:rsid w:val="78FFD4B1"/>
    <w:rsid w:val="7BFFBDAF"/>
    <w:rsid w:val="7C3A15B4"/>
    <w:rsid w:val="7F7CFEA3"/>
    <w:rsid w:val="97CA79BF"/>
    <w:rsid w:val="A75F389D"/>
    <w:rsid w:val="ABD9E347"/>
    <w:rsid w:val="ACEE5380"/>
    <w:rsid w:val="BFDF41D9"/>
    <w:rsid w:val="EFCFF8CA"/>
    <w:rsid w:val="FBBF2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qFormat/>
    <w:uiPriority w:val="99"/>
    <w:rPr>
      <w:rFonts w:cs="Times New Roman"/>
      <w:color w:val="0000FF"/>
      <w:u w:val="single"/>
    </w:rPr>
  </w:style>
  <w:style w:type="character" w:customStyle="1" w:styleId="12">
    <w:name w:val="apple-converted-space"/>
    <w:basedOn w:val="9"/>
    <w:qFormat/>
    <w:uiPriority w:val="0"/>
  </w:style>
  <w:style w:type="paragraph" w:customStyle="1" w:styleId="13">
    <w:name w:val="无间隔1"/>
    <w:qFormat/>
    <w:uiPriority w:val="99"/>
    <w:pPr>
      <w:ind w:firstLine="200" w:firstLineChars="200"/>
    </w:pPr>
    <w:rPr>
      <w:rFonts w:ascii="Times New Roman" w:hAnsi="Times New Roman" w:eastAsia="仿宋_GB2312" w:cs="Times New Roman"/>
      <w:sz w:val="30"/>
      <w:szCs w:val="22"/>
      <w:lang w:val="en-US" w:eastAsia="zh-CN" w:bidi="ar-SA"/>
    </w:rPr>
  </w:style>
  <w:style w:type="paragraph" w:customStyle="1" w:styleId="14">
    <w:name w:val="No Spacing1"/>
    <w:qFormat/>
    <w:uiPriority w:val="99"/>
    <w:pPr>
      <w:ind w:firstLine="200" w:firstLineChars="200"/>
    </w:pPr>
    <w:rPr>
      <w:rFonts w:ascii="Calibri" w:hAnsi="Calibri" w:eastAsia="微软雅黑" w:cs="Times New Roman"/>
      <w:sz w:val="30"/>
      <w:szCs w:val="22"/>
      <w:lang w:val="en-US" w:eastAsia="zh-CN" w:bidi="ar-SA"/>
    </w:rPr>
  </w:style>
  <w:style w:type="character" w:customStyle="1" w:styleId="15">
    <w:name w:val="页眉 字符"/>
    <w:basedOn w:val="9"/>
    <w:link w:val="5"/>
    <w:qFormat/>
    <w:uiPriority w:val="0"/>
    <w:rPr>
      <w:kern w:val="2"/>
      <w:sz w:val="18"/>
      <w:szCs w:val="18"/>
    </w:rPr>
  </w:style>
  <w:style w:type="character" w:customStyle="1" w:styleId="16">
    <w:name w:val="页脚 字符"/>
    <w:basedOn w:val="9"/>
    <w:link w:val="4"/>
    <w:uiPriority w:val="0"/>
    <w:rPr>
      <w:kern w:val="2"/>
      <w:sz w:val="18"/>
      <w:szCs w:val="18"/>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C9897-F891-A243-BBB6-13F030F39247}">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11300</Words>
  <Characters>13016</Characters>
  <Lines>117</Lines>
  <Paragraphs>33</Paragraphs>
  <TotalTime>0</TotalTime>
  <ScaleCrop>false</ScaleCrop>
  <LinksUpToDate>false</LinksUpToDate>
  <CharactersWithSpaces>13916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2023-09-27T14:36:00Z</dcterms:created>
  <dc:creator>tf</dc:creator>
  <cp:lastModifiedBy>~ing</cp:lastModifiedBy>
  <cp:lastPrinted>2018-04-27T15:53:00Z</cp:lastPrinted>
  <dcterms:modified xsi:type="dcterms:W3CDTF">2023-09-28T06:39:32Z</dcterms:modified>
  <dc:title>大同市教育局为正县级建制，是大同市人民政府主管全市教育事业和语言文字工作的组成部门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4C9AFBBAE6694A899C3E315FA9618950_13</vt:lpwstr>
  </property>
</Properties>
</file>