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ind w:left="433"/>
        <w:spacing w:before="122" w:line="603" w:lineRule="exact"/>
        <w:outlineLvl w:val="0"/>
        <w:rPr>
          <w:sz w:val="43"/>
          <w:szCs w:val="43"/>
        </w:rPr>
      </w:pPr>
      <w:r>
        <w:rPr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lim="0"/>
          </w14:textOutline>
          <w:spacing w:val="9"/>
          <w:position w:val="3"/>
        </w:rPr>
        <w:t>大同市煤炭清洁高效利用研究所筹备处</w:t>
      </w:r>
    </w:p>
    <w:p>
      <w:pPr>
        <w:pStyle w:val="BodyText"/>
        <w:ind w:left="2358"/>
        <w:spacing w:before="62" w:line="218" w:lineRule="auto"/>
        <w:rPr>
          <w:sz w:val="43"/>
          <w:szCs w:val="43"/>
        </w:rPr>
      </w:pPr>
      <w:r>
        <w:rPr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lim="0"/>
          </w14:textOutline>
          <w:spacing w:val="5"/>
        </w:rPr>
        <w:t>2022</w:t>
      </w:r>
      <w:r>
        <w:rPr>
          <w:sz w:val="43"/>
          <w:szCs w:val="43"/>
          <w:spacing w:val="-85"/>
        </w:rPr>
        <w:t xml:space="preserve"> </w:t>
      </w:r>
      <w:r>
        <w:rPr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lim="0"/>
          </w14:textOutline>
          <w:spacing w:val="5"/>
        </w:rPr>
        <w:t>年度预算公开</w:t>
      </w:r>
    </w:p>
    <w:p>
      <w:pPr>
        <w:spacing w:line="322" w:lineRule="auto"/>
        <w:rPr>
          <w:rFonts w:ascii="Arial"/>
          <w:sz w:val="21"/>
        </w:rPr>
      </w:pPr>
      <w:r/>
    </w:p>
    <w:p>
      <w:pPr>
        <w:pStyle w:val="BodyText"/>
        <w:ind w:left="3617"/>
        <w:spacing w:before="113" w:line="227" w:lineRule="auto"/>
        <w:rPr>
          <w:sz w:val="35"/>
          <w:szCs w:val="35"/>
        </w:rPr>
      </w:pPr>
      <w:r>
        <w:rPr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  <w:spacing w:val="-37"/>
        </w:rPr>
        <w:t>目</w:t>
      </w:r>
      <w:r>
        <w:rPr>
          <w:sz w:val="35"/>
          <w:szCs w:val="35"/>
          <w:spacing w:val="11"/>
        </w:rPr>
        <w:t xml:space="preserve">   </w:t>
      </w:r>
      <w:r>
        <w:rPr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  <w:spacing w:val="-37"/>
        </w:rPr>
        <w:t>录</w:t>
      </w:r>
    </w:p>
    <w:p>
      <w:pPr>
        <w:spacing w:line="423" w:lineRule="auto"/>
        <w:rPr>
          <w:rFonts w:ascii="Arial"/>
          <w:sz w:val="21"/>
        </w:rPr>
      </w:pPr>
      <w:r/>
    </w:p>
    <w:sdt>
      <w:sdtPr>
        <w:rPr>
          <w:rFonts w:ascii="SimSun" w:hAnsi="SimSun" w:eastAsia="SimSun" w:cs="SimSun"/>
          <w:sz w:val="31"/>
          <w:szCs w:val="31"/>
        </w:rPr>
        <w:docPartObj>
          <w:docPartGallery w:val="Table of Contents"/>
          <w:docPartUnique/>
        </w:docPartObj>
      </w:sdtPr>
      <w:sdtEndPr>
        <w:rPr>
          <w:rFonts w:ascii="Times New Roman" w:hAnsi="Times New Roman" w:eastAsia="Times New Roman" w:cs="Times New Roman"/>
          <w:sz w:val="31"/>
          <w:szCs w:val="31"/>
        </w:rPr>
      </w:sdtEndPr>
      <w:sdtContent>
        <w:p>
          <w:pPr>
            <w:pStyle w:val="BodyText"/>
            <w:ind w:left="26"/>
            <w:spacing w:before="100" w:line="190" w:lineRule="auto"/>
            <w:tabs>
              <w:tab w:val="right" w:leader="dot" w:pos="8319"/>
            </w:tabs>
            <w:rPr>
              <w:rFonts w:ascii="Times New Roman" w:hAnsi="Times New Roman" w:eastAsia="Times New Roman" w:cs="Times New Roman"/>
            </w:rPr>
          </w:pPr>
          <w:hyperlink w:history="true" w:anchor="bookmark1">
            <w:r>
              <w:rPr>
                <w14:textOutline w14:w="579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8"/>
              </w:rPr>
              <w:t>第一部分概况</w:t>
            </w:r>
            <w:r>
              <w:rPr>
                <w:spacing w:val="-97"/>
              </w:rPr>
              <w:t xml:space="preserve"> </w:t>
            </w:r>
            <w:r>
              <w:rPr/>
              <w:tab/>
            </w:r>
            <w:r>
              <w:rPr>
                <w:rFonts w:ascii="Times New Roman" w:hAnsi="Times New Roman" w:eastAsia="Times New Roman" w:cs="Times New Roman"/>
                <w:b/>
                <w:bCs/>
                <w:spacing w:val="22"/>
              </w:rPr>
              <w:t>2</w:t>
            </w:r>
          </w:hyperlink>
        </w:p>
        <w:p>
          <w:pPr>
            <w:ind w:left="672"/>
            <w:spacing w:before="305" w:line="193" w:lineRule="auto"/>
            <w:tabs>
              <w:tab w:val="right" w:leader="dot" w:pos="8319"/>
            </w:tabs>
            <w:rPr>
              <w:rFonts w:ascii="Times New Roman" w:hAnsi="Times New Roman" w:eastAsia="Times New Roman" w:cs="Times New Roman"/>
              <w:sz w:val="31"/>
              <w:szCs w:val="31"/>
            </w:rPr>
          </w:pPr>
          <w:hyperlink w:history="true" w:anchor="bookmark2">
            <w:r>
              <w:rPr>
                <w:rFonts w:ascii="SimHei" w:hAnsi="SimHei" w:eastAsia="SimHei" w:cs="SimHei"/>
                <w:sz w:val="31"/>
                <w:szCs w:val="31"/>
                <w:spacing w:val="7"/>
              </w:rPr>
              <w:t>一、主要职能</w:t>
            </w:r>
            <w:r>
              <w:rPr>
                <w:rFonts w:ascii="SimHei" w:hAnsi="SimHei" w:eastAsia="SimHei" w:cs="SimHei"/>
                <w:sz w:val="31"/>
                <w:szCs w:val="31"/>
              </w:rPr>
              <w:tab/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20"/>
              </w:rPr>
              <w:t>2</w:t>
            </w:r>
          </w:hyperlink>
        </w:p>
        <w:p>
          <w:pPr>
            <w:ind w:left="672"/>
            <w:spacing w:before="300" w:line="193" w:lineRule="auto"/>
            <w:tabs>
              <w:tab w:val="right" w:leader="dot" w:pos="8319"/>
            </w:tabs>
            <w:rPr>
              <w:rFonts w:ascii="Times New Roman" w:hAnsi="Times New Roman" w:eastAsia="Times New Roman" w:cs="Times New Roman"/>
              <w:sz w:val="31"/>
              <w:szCs w:val="31"/>
            </w:rPr>
          </w:pPr>
          <w:hyperlink w:history="true" w:anchor="bookmark3">
            <w:r>
              <w:rPr>
                <w:rFonts w:ascii="SimHei" w:hAnsi="SimHei" w:eastAsia="SimHei" w:cs="SimHei"/>
                <w:sz w:val="31"/>
                <w:szCs w:val="31"/>
                <w:spacing w:val="7"/>
              </w:rPr>
              <w:t>二、机构设置情况</w:t>
            </w:r>
            <w:r>
              <w:rPr>
                <w:rFonts w:ascii="SimHei" w:hAnsi="SimHei" w:eastAsia="SimHei" w:cs="SimHei"/>
                <w:sz w:val="31"/>
                <w:szCs w:val="31"/>
                <w:spacing w:val="-88"/>
              </w:rPr>
              <w:t xml:space="preserve"> </w:t>
            </w:r>
            <w:r>
              <w:rPr>
                <w:rFonts w:ascii="SimHei" w:hAnsi="SimHei" w:eastAsia="SimHei" w:cs="SimHei"/>
                <w:sz w:val="31"/>
                <w:szCs w:val="31"/>
              </w:rPr>
              <w:tab/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2"/>
              </w:rPr>
              <w:t>2</w:t>
            </w:r>
          </w:hyperlink>
        </w:p>
        <w:p>
          <w:pPr>
            <w:pStyle w:val="BodyText"/>
            <w:ind w:left="26"/>
            <w:spacing w:before="299" w:line="190" w:lineRule="auto"/>
            <w:tabs>
              <w:tab w:val="right" w:leader="dot" w:pos="8319"/>
            </w:tabs>
            <w:rPr>
              <w:rFonts w:ascii="Times New Roman" w:hAnsi="Times New Roman" w:eastAsia="Times New Roman" w:cs="Times New Roman"/>
            </w:rPr>
          </w:pPr>
          <w:hyperlink w:history="true" w:anchor="bookmark4">
            <w:r>
              <w:rPr>
                <w14:textOutline w14:w="579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6"/>
              </w:rPr>
              <w:t>第二部分</w:t>
            </w:r>
            <w:r>
              <w:rPr>
                <w:spacing w:val="-52"/>
              </w:rPr>
              <w:t xml:space="preserve"> </w:t>
            </w:r>
            <w:r>
              <w:rPr>
                <w14:textOutline w14:w="579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6"/>
              </w:rPr>
              <w:t>2022</w:t>
            </w:r>
            <w:r>
              <w:rPr>
                <w:spacing w:val="-61"/>
              </w:rPr>
              <w:t xml:space="preserve"> </w:t>
            </w:r>
            <w:r>
              <w:rPr>
                <w14:textOutline w14:w="579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6"/>
              </w:rPr>
              <w:t>年度预算报表</w:t>
            </w:r>
            <w:r>
              <w:rPr>
                <w:spacing w:val="-100"/>
              </w:rPr>
              <w:t xml:space="preserve"> </w:t>
            </w:r>
            <w:r>
              <w:rPr/>
              <w:tab/>
            </w:r>
            <w:r>
              <w:rPr>
                <w:rFonts w:ascii="Times New Roman" w:hAnsi="Times New Roman" w:eastAsia="Times New Roman" w:cs="Times New Roman"/>
                <w:b/>
                <w:bCs/>
                <w:spacing w:val="26"/>
                <w:w w:val="125"/>
              </w:rPr>
              <w:t>2</w:t>
            </w:r>
          </w:hyperlink>
        </w:p>
        <w:p>
          <w:pPr>
            <w:pStyle w:val="BodyText"/>
            <w:ind w:left="26"/>
            <w:spacing w:before="305" w:line="190" w:lineRule="auto"/>
            <w:tabs>
              <w:tab w:val="right" w:leader="dot" w:pos="8319"/>
            </w:tabs>
            <w:rPr>
              <w:rFonts w:ascii="Times New Roman" w:hAnsi="Times New Roman" w:eastAsia="Times New Roman" w:cs="Times New Roman"/>
            </w:rPr>
          </w:pPr>
          <w:hyperlink w:history="true" w:anchor="bookmark5">
            <w:r>
              <w:rPr>
                <w14:textOutline w14:w="579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7"/>
              </w:rPr>
              <w:t>第三部分</w:t>
            </w:r>
            <w:r>
              <w:rPr>
                <w:spacing w:val="-57"/>
              </w:rPr>
              <w:t xml:space="preserve"> </w:t>
            </w:r>
            <w:r>
              <w:rPr>
                <w14:textOutline w14:w="579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7"/>
              </w:rPr>
              <w:t>2022</w:t>
            </w:r>
            <w:r>
              <w:rPr>
                <w:spacing w:val="-61"/>
              </w:rPr>
              <w:t xml:space="preserve"> </w:t>
            </w:r>
            <w:r>
              <w:rPr>
                <w14:textOutline w14:w="579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7"/>
              </w:rPr>
              <w:t>年度预算情况说明</w:t>
            </w:r>
            <w:r>
              <w:rPr>
                <w:spacing w:val="-100"/>
              </w:rPr>
              <w:t xml:space="preserve"> </w:t>
            </w:r>
            <w:r>
              <w:rPr/>
              <w:tab/>
            </w:r>
            <w:r>
              <w:rPr>
                <w:rFonts w:ascii="Times New Roman" w:hAnsi="Times New Roman" w:eastAsia="Times New Roman" w:cs="Times New Roman"/>
                <w:b/>
                <w:bCs/>
                <w:spacing w:val="14"/>
                <w:w w:val="125"/>
              </w:rPr>
              <w:t>2</w:t>
            </w:r>
          </w:hyperlink>
        </w:p>
        <w:p>
          <w:pPr>
            <w:ind w:left="672"/>
            <w:spacing w:before="305" w:line="193" w:lineRule="auto"/>
            <w:tabs>
              <w:tab w:val="right" w:leader="dot" w:pos="8319"/>
            </w:tabs>
            <w:rPr>
              <w:rFonts w:ascii="Times New Roman" w:hAnsi="Times New Roman" w:eastAsia="Times New Roman" w:cs="Times New Roman"/>
              <w:sz w:val="31"/>
              <w:szCs w:val="31"/>
            </w:rPr>
          </w:pPr>
          <w:hyperlink w:history="true" w:anchor="bookmark6">
            <w:r>
              <w:rPr>
                <w:rFonts w:ascii="SimHei" w:hAnsi="SimHei" w:eastAsia="SimHei" w:cs="SimHei"/>
                <w:sz w:val="31"/>
                <w:szCs w:val="31"/>
                <w:spacing w:val="8"/>
              </w:rPr>
              <w:t>一、预算收入及变动情况</w:t>
            </w:r>
            <w:r>
              <w:rPr>
                <w:rFonts w:ascii="SimHei" w:hAnsi="SimHei" w:eastAsia="SimHei" w:cs="SimHei"/>
                <w:sz w:val="31"/>
                <w:szCs w:val="31"/>
                <w:spacing w:val="-90"/>
              </w:rPr>
              <w:t xml:space="preserve"> </w:t>
            </w:r>
            <w:r>
              <w:rPr>
                <w:rFonts w:ascii="SimHei" w:hAnsi="SimHei" w:eastAsia="SimHei" w:cs="SimHei"/>
                <w:sz w:val="31"/>
                <w:szCs w:val="31"/>
              </w:rPr>
              <w:tab/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26"/>
                <w:w w:val="134"/>
              </w:rPr>
              <w:t>2</w:t>
            </w:r>
          </w:hyperlink>
        </w:p>
        <w:p>
          <w:pPr>
            <w:ind w:left="672"/>
            <w:spacing w:before="300" w:line="193" w:lineRule="auto"/>
            <w:tabs>
              <w:tab w:val="right" w:leader="dot" w:pos="8319"/>
            </w:tabs>
            <w:rPr>
              <w:rFonts w:ascii="Times New Roman" w:hAnsi="Times New Roman" w:eastAsia="Times New Roman" w:cs="Times New Roman"/>
              <w:sz w:val="31"/>
              <w:szCs w:val="31"/>
            </w:rPr>
          </w:pPr>
          <w:hyperlink w:history="true" w:anchor="bookmark7">
            <w:r>
              <w:rPr>
                <w:rFonts w:ascii="SimHei" w:hAnsi="SimHei" w:eastAsia="SimHei" w:cs="SimHei"/>
                <w:sz w:val="31"/>
                <w:szCs w:val="31"/>
                <w:spacing w:val="8"/>
              </w:rPr>
              <w:t>二、一般公共预算支出及变动情况</w:t>
            </w:r>
            <w:r>
              <w:rPr>
                <w:rFonts w:ascii="SimHei" w:hAnsi="SimHei" w:eastAsia="SimHei" w:cs="SimHei"/>
                <w:sz w:val="31"/>
                <w:szCs w:val="31"/>
              </w:rPr>
              <w:tab/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24"/>
                <w:w w:val="125"/>
              </w:rPr>
              <w:t>3</w:t>
            </w:r>
          </w:hyperlink>
        </w:p>
        <w:p>
          <w:pPr>
            <w:ind w:left="673"/>
            <w:spacing w:before="300" w:line="193" w:lineRule="auto"/>
            <w:tabs>
              <w:tab w:val="right" w:leader="dot" w:pos="8319"/>
            </w:tabs>
            <w:rPr>
              <w:rFonts w:ascii="Times New Roman" w:hAnsi="Times New Roman" w:eastAsia="Times New Roman" w:cs="Times New Roman"/>
              <w:sz w:val="31"/>
              <w:szCs w:val="31"/>
            </w:rPr>
          </w:pPr>
          <w:hyperlink w:history="true" w:anchor="bookmark8">
            <w:r>
              <w:rPr>
                <w:rFonts w:ascii="SimHei" w:hAnsi="SimHei" w:eastAsia="SimHei" w:cs="SimHei"/>
                <w:sz w:val="31"/>
                <w:szCs w:val="31"/>
                <w:spacing w:val="8"/>
              </w:rPr>
              <w:t>三、政府性基金预算支出及变动情况</w:t>
            </w:r>
            <w:r>
              <w:rPr>
                <w:rFonts w:ascii="SimHei" w:hAnsi="SimHei" w:eastAsia="SimHei" w:cs="SimHei"/>
                <w:sz w:val="31"/>
                <w:szCs w:val="31"/>
              </w:rPr>
              <w:tab/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26"/>
                <w:w w:val="122"/>
              </w:rPr>
              <w:t>3</w:t>
            </w:r>
          </w:hyperlink>
        </w:p>
        <w:p>
          <w:pPr>
            <w:ind w:left="686"/>
            <w:spacing w:before="300" w:line="193" w:lineRule="auto"/>
            <w:tabs>
              <w:tab w:val="right" w:leader="dot" w:pos="8319"/>
            </w:tabs>
            <w:rPr>
              <w:rFonts w:ascii="Times New Roman" w:hAnsi="Times New Roman" w:eastAsia="Times New Roman" w:cs="Times New Roman"/>
              <w:sz w:val="31"/>
              <w:szCs w:val="31"/>
            </w:rPr>
          </w:pPr>
          <w:hyperlink w:history="true" w:anchor="bookmark9">
            <w:r>
              <w:rPr>
                <w:rFonts w:ascii="SimHei" w:hAnsi="SimHei" w:eastAsia="SimHei" w:cs="SimHei"/>
                <w:sz w:val="31"/>
                <w:szCs w:val="31"/>
                <w:spacing w:val="7"/>
              </w:rPr>
              <w:t>四、“三公”经费支出及变动情况</w:t>
            </w:r>
            <w:r>
              <w:rPr>
                <w:rFonts w:ascii="SimHei" w:hAnsi="SimHei" w:eastAsia="SimHei" w:cs="SimHei"/>
                <w:sz w:val="31"/>
                <w:szCs w:val="31"/>
              </w:rPr>
              <w:tab/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24"/>
                <w:w w:val="125"/>
              </w:rPr>
              <w:t>3</w:t>
            </w:r>
          </w:hyperlink>
        </w:p>
        <w:p>
          <w:pPr>
            <w:ind w:left="675"/>
            <w:spacing w:before="300" w:line="193" w:lineRule="auto"/>
            <w:tabs>
              <w:tab w:val="right" w:leader="dot" w:pos="8319"/>
            </w:tabs>
            <w:rPr>
              <w:rFonts w:ascii="Times New Roman" w:hAnsi="Times New Roman" w:eastAsia="Times New Roman" w:cs="Times New Roman"/>
              <w:sz w:val="31"/>
              <w:szCs w:val="31"/>
            </w:rPr>
          </w:pPr>
          <w:hyperlink w:history="true" w:anchor="bookmark10">
            <w:r>
              <w:rPr>
                <w:rFonts w:ascii="SimHei" w:hAnsi="SimHei" w:eastAsia="SimHei" w:cs="SimHei"/>
                <w:sz w:val="31"/>
                <w:szCs w:val="31"/>
                <w:spacing w:val="8"/>
              </w:rPr>
              <w:t>五、机关运行经费支出及变动情况</w:t>
            </w:r>
            <w:r>
              <w:rPr>
                <w:rFonts w:ascii="SimHei" w:hAnsi="SimHei" w:eastAsia="SimHei" w:cs="SimHei"/>
                <w:sz w:val="31"/>
                <w:szCs w:val="31"/>
              </w:rPr>
              <w:tab/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24"/>
                <w:w w:val="125"/>
              </w:rPr>
              <w:t>3</w:t>
            </w:r>
          </w:hyperlink>
        </w:p>
        <w:p>
          <w:pPr>
            <w:ind w:left="677"/>
            <w:spacing w:before="300" w:line="193" w:lineRule="auto"/>
            <w:tabs>
              <w:tab w:val="right" w:leader="dot" w:pos="8319"/>
            </w:tabs>
            <w:rPr>
              <w:rFonts w:ascii="Times New Roman" w:hAnsi="Times New Roman" w:eastAsia="Times New Roman" w:cs="Times New Roman"/>
              <w:sz w:val="31"/>
              <w:szCs w:val="31"/>
            </w:rPr>
          </w:pPr>
          <w:hyperlink w:history="true" w:anchor="bookmark11">
            <w:r>
              <w:rPr>
                <w:rFonts w:ascii="SimHei" w:hAnsi="SimHei" w:eastAsia="SimHei" w:cs="SimHei"/>
                <w:sz w:val="31"/>
                <w:szCs w:val="31"/>
                <w:spacing w:val="6"/>
              </w:rPr>
              <w:t>六、政府采购情况</w:t>
            </w:r>
            <w:r>
              <w:rPr>
                <w:rFonts w:ascii="SimHei" w:hAnsi="SimHei" w:eastAsia="SimHei" w:cs="SimHei"/>
                <w:sz w:val="31"/>
                <w:szCs w:val="31"/>
                <w:spacing w:val="-85"/>
              </w:rPr>
              <w:t xml:space="preserve"> </w:t>
            </w:r>
            <w:r>
              <w:rPr>
                <w:rFonts w:ascii="SimHei" w:hAnsi="SimHei" w:eastAsia="SimHei" w:cs="SimHei"/>
                <w:sz w:val="31"/>
                <w:szCs w:val="31"/>
              </w:rPr>
              <w:tab/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2"/>
              </w:rPr>
              <w:t>3</w:t>
            </w:r>
          </w:hyperlink>
        </w:p>
        <w:p>
          <w:pPr>
            <w:ind w:left="666"/>
            <w:spacing w:before="300" w:line="193" w:lineRule="auto"/>
            <w:tabs>
              <w:tab w:val="right" w:leader="dot" w:pos="8319"/>
            </w:tabs>
            <w:rPr>
              <w:rFonts w:ascii="Times New Roman" w:hAnsi="Times New Roman" w:eastAsia="Times New Roman" w:cs="Times New Roman"/>
              <w:sz w:val="31"/>
              <w:szCs w:val="31"/>
            </w:rPr>
          </w:pPr>
          <w:hyperlink w:history="true" w:anchor="bookmark12">
            <w:r>
              <w:rPr>
                <w:rFonts w:ascii="SimHei" w:hAnsi="SimHei" w:eastAsia="SimHei" w:cs="SimHei"/>
                <w:sz w:val="31"/>
                <w:szCs w:val="31"/>
                <w:spacing w:val="8"/>
              </w:rPr>
              <w:t>七、绩效管理情况</w:t>
            </w:r>
            <w:r>
              <w:rPr>
                <w:rFonts w:ascii="SimHei" w:hAnsi="SimHei" w:eastAsia="SimHei" w:cs="SimHei"/>
                <w:sz w:val="31"/>
                <w:szCs w:val="31"/>
                <w:spacing w:val="-90"/>
              </w:rPr>
              <w:t xml:space="preserve"> </w:t>
            </w:r>
            <w:r>
              <w:rPr>
                <w:rFonts w:ascii="SimHei" w:hAnsi="SimHei" w:eastAsia="SimHei" w:cs="SimHei"/>
                <w:sz w:val="31"/>
                <w:szCs w:val="31"/>
              </w:rPr>
              <w:tab/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12"/>
              </w:rPr>
              <w:t>3</w:t>
            </w:r>
          </w:hyperlink>
        </w:p>
        <w:p>
          <w:pPr>
            <w:ind w:left="667"/>
            <w:spacing w:before="300" w:line="193" w:lineRule="auto"/>
            <w:tabs>
              <w:tab w:val="right" w:leader="dot" w:pos="8319"/>
            </w:tabs>
            <w:rPr>
              <w:rFonts w:ascii="Times New Roman" w:hAnsi="Times New Roman" w:eastAsia="Times New Roman" w:cs="Times New Roman"/>
              <w:sz w:val="31"/>
              <w:szCs w:val="31"/>
            </w:rPr>
          </w:pPr>
          <w:hyperlink w:history="true" w:anchor="bookmark13">
            <w:r>
              <w:rPr>
                <w:rFonts w:ascii="SimHei" w:hAnsi="SimHei" w:eastAsia="SimHei" w:cs="SimHei"/>
                <w:sz w:val="31"/>
                <w:szCs w:val="31"/>
                <w:spacing w:val="8"/>
              </w:rPr>
              <w:t>八、国有资产占有使用情况</w:t>
            </w:r>
            <w:r>
              <w:rPr>
                <w:rFonts w:ascii="SimHei" w:hAnsi="SimHei" w:eastAsia="SimHei" w:cs="SimHei"/>
                <w:sz w:val="31"/>
                <w:szCs w:val="31"/>
              </w:rPr>
              <w:tab/>
            </w:r>
            <w:r>
              <w:rPr>
                <w:rFonts w:ascii="Times New Roman" w:hAnsi="Times New Roman" w:eastAsia="Times New Roman" w:cs="Times New Roman"/>
                <w:sz w:val="31"/>
                <w:szCs w:val="31"/>
                <w:spacing w:val="36"/>
                <w:w w:val="125"/>
              </w:rPr>
              <w:t>3</w:t>
            </w:r>
          </w:hyperlink>
        </w:p>
        <w:p>
          <w:pPr>
            <w:pStyle w:val="BodyText"/>
            <w:ind w:left="26"/>
            <w:spacing w:before="300" w:line="225" w:lineRule="auto"/>
            <w:tabs>
              <w:tab w:val="right" w:leader="dot" w:pos="8319"/>
            </w:tabs>
            <w:rPr>
              <w:rFonts w:ascii="Times New Roman" w:hAnsi="Times New Roman" w:eastAsia="Times New Roman" w:cs="Times New Roman"/>
            </w:rPr>
          </w:pPr>
          <w:hyperlink w:history="true" w:anchor="bookmark14">
            <w:r>
              <w:rPr>
                <w14:textOutline w14:w="579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9"/>
              </w:rPr>
              <w:t>第四部分名词解释</w:t>
            </w:r>
            <w:r>
              <w:rPr>
                <w:spacing w:val="-98"/>
              </w:rPr>
              <w:t xml:space="preserve"> </w:t>
            </w:r>
            <w:r>
              <w:rPr/>
              <w:tab/>
            </w:r>
            <w:r>
              <w:rPr>
                <w:rFonts w:ascii="Times New Roman" w:hAnsi="Times New Roman" w:eastAsia="Times New Roman" w:cs="Times New Roman"/>
                <w:b/>
                <w:bCs/>
                <w:spacing w:val="11"/>
              </w:rPr>
              <w:t>4</w:t>
            </w:r>
          </w:hyperlink>
        </w:p>
      </w:sdtContent>
    </w:sdt>
    <w:p>
      <w:pPr>
        <w:spacing w:line="225" w:lineRule="auto"/>
        <w:sectPr>
          <w:pgSz w:w="11906" w:h="16839"/>
          <w:pgMar w:top="1431" w:right="1785" w:bottom="0" w:left="1785" w:header="0" w:footer="0" w:gutter="0"/>
        </w:sectPr>
        <w:rPr>
          <w:rFonts w:ascii="Times New Roman" w:hAnsi="Times New Roman" w:eastAsia="Times New Roman" w:cs="Times New Roman"/>
        </w:rPr>
      </w:pPr>
    </w:p>
    <w:p>
      <w:pPr>
        <w:pStyle w:val="BodyText"/>
        <w:ind w:left="3191"/>
        <w:spacing w:before="138" w:line="225" w:lineRule="auto"/>
        <w:outlineLvl w:val="0"/>
        <w:rPr>
          <w:sz w:val="35"/>
          <w:szCs w:val="35"/>
        </w:rPr>
      </w:pPr>
      <w:bookmarkStart w:name="bookmark1" w:id="1"/>
      <w:bookmarkEnd w:id="1"/>
      <w:bookmarkStart w:name="bookmark2" w:id="2"/>
      <w:bookmarkEnd w:id="2"/>
      <w:r>
        <w:rPr>
          <w:sz w:val="35"/>
          <w:szCs w:val="35"/>
          <w:spacing w:val="7"/>
        </w:rPr>
        <w:t>第一部分概况</w:t>
      </w:r>
    </w:p>
    <w:p>
      <w:pPr>
        <w:spacing w:line="274" w:lineRule="auto"/>
        <w:rPr>
          <w:rFonts w:ascii="Arial"/>
          <w:sz w:val="21"/>
        </w:rPr>
      </w:pPr>
      <w:r/>
    </w:p>
    <w:p>
      <w:pPr>
        <w:ind w:left="672"/>
        <w:spacing w:before="101" w:line="228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7"/>
        </w:rPr>
        <w:t>一、主要职能</w:t>
      </w:r>
    </w:p>
    <w:p>
      <w:pPr>
        <w:ind w:right="13"/>
        <w:spacing w:before="279" w:line="559" w:lineRule="exact"/>
        <w:jc w:val="right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-5"/>
          <w:position w:val="19"/>
        </w:rPr>
        <w:t>负责市煤炭清洁高效利用研究所建设手续办理、综合协调及</w:t>
      </w:r>
    </w:p>
    <w:p>
      <w:pPr>
        <w:ind w:left="36"/>
        <w:spacing w:line="220" w:lineRule="auto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-4"/>
        </w:rPr>
        <w:t>推动各项工作。</w:t>
      </w:r>
    </w:p>
    <w:p>
      <w:pPr>
        <w:ind w:left="672"/>
        <w:spacing w:before="322" w:line="227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7"/>
        </w:rPr>
        <w:t>二、机构设置情况</w:t>
      </w:r>
    </w:p>
    <w:p>
      <w:pPr>
        <w:ind w:left="644"/>
        <w:spacing w:before="278" w:line="221" w:lineRule="auto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-4"/>
        </w:rPr>
        <w:t>我单位无内设机构。</w:t>
      </w:r>
    </w:p>
    <w:p>
      <w:pPr>
        <w:pStyle w:val="BodyText"/>
        <w:ind w:left="2020"/>
        <w:spacing w:before="297" w:line="225" w:lineRule="auto"/>
        <w:outlineLvl w:val="0"/>
        <w:rPr>
          <w:sz w:val="35"/>
          <w:szCs w:val="35"/>
        </w:rPr>
      </w:pPr>
      <w:bookmarkStart w:name="bookmark3" w:id="3"/>
      <w:bookmarkEnd w:id="3"/>
      <w:bookmarkStart w:name="bookmark4" w:id="4"/>
      <w:bookmarkEnd w:id="4"/>
      <w:r>
        <w:rPr>
          <w:sz w:val="35"/>
          <w:szCs w:val="35"/>
          <w:spacing w:val="5"/>
        </w:rPr>
        <w:t>第二部分</w:t>
      </w:r>
      <w:r>
        <w:rPr>
          <w:sz w:val="35"/>
          <w:szCs w:val="35"/>
          <w:spacing w:val="-65"/>
        </w:rPr>
        <w:t xml:space="preserve"> </w:t>
      </w:r>
      <w:r>
        <w:rPr>
          <w:sz w:val="35"/>
          <w:szCs w:val="35"/>
          <w:spacing w:val="5"/>
        </w:rPr>
        <w:t>2022</w:t>
      </w:r>
      <w:r>
        <w:rPr>
          <w:sz w:val="35"/>
          <w:szCs w:val="35"/>
          <w:spacing w:val="-71"/>
        </w:rPr>
        <w:t xml:space="preserve"> </w:t>
      </w:r>
      <w:r>
        <w:rPr>
          <w:sz w:val="35"/>
          <w:szCs w:val="35"/>
          <w:spacing w:val="5"/>
        </w:rPr>
        <w:t>年度预算报表</w:t>
      </w:r>
    </w:p>
    <w:p>
      <w:pPr>
        <w:spacing w:line="315" w:lineRule="auto"/>
        <w:rPr>
          <w:rFonts w:ascii="Arial"/>
          <w:sz w:val="21"/>
        </w:rPr>
      </w:pPr>
      <w:r/>
    </w:p>
    <w:p>
      <w:pPr>
        <w:ind w:left="638"/>
        <w:spacing w:before="98" w:line="559" w:lineRule="exact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-3"/>
          <w:position w:val="19"/>
        </w:rPr>
        <w:t>一、部门预算收支总表</w:t>
      </w:r>
    </w:p>
    <w:p>
      <w:pPr>
        <w:ind w:left="643"/>
        <w:spacing w:before="1" w:line="221" w:lineRule="auto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-4"/>
        </w:rPr>
        <w:t>二、部门收入总表</w:t>
      </w:r>
    </w:p>
    <w:p>
      <w:pPr>
        <w:ind w:left="642"/>
        <w:spacing w:before="199" w:line="222" w:lineRule="auto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-4"/>
        </w:rPr>
        <w:t>三、部门支出总表</w:t>
      </w:r>
    </w:p>
    <w:p>
      <w:pPr>
        <w:ind w:left="669"/>
        <w:spacing w:before="201" w:line="223" w:lineRule="auto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-6"/>
        </w:rPr>
        <w:t>四、财政拨款收支总表</w:t>
      </w:r>
    </w:p>
    <w:p>
      <w:pPr>
        <w:ind w:left="638"/>
        <w:spacing w:before="196" w:line="222" w:lineRule="auto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-3"/>
        </w:rPr>
        <w:t>五、一般公共预算支出表</w:t>
      </w:r>
    </w:p>
    <w:p>
      <w:pPr>
        <w:ind w:left="636"/>
        <w:spacing w:before="199" w:line="562" w:lineRule="exact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-2"/>
          <w:position w:val="19"/>
        </w:rPr>
        <w:t>六、一般公共预算安排基本支出分经济科目表</w:t>
      </w:r>
    </w:p>
    <w:p>
      <w:pPr>
        <w:ind w:left="639"/>
        <w:spacing w:line="220" w:lineRule="auto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-3"/>
        </w:rPr>
        <w:t>七、政府性基金预算收入表</w:t>
      </w:r>
    </w:p>
    <w:p>
      <w:pPr>
        <w:ind w:left="633"/>
        <w:spacing w:before="202" w:line="220" w:lineRule="auto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-2"/>
        </w:rPr>
        <w:t>八、政府性基金预算支出表</w:t>
      </w:r>
    </w:p>
    <w:p>
      <w:pPr>
        <w:ind w:left="644"/>
        <w:spacing w:before="201" w:line="222" w:lineRule="auto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-3"/>
        </w:rPr>
        <w:t>九、国有资本经营预算收支预算表</w:t>
      </w:r>
    </w:p>
    <w:p>
      <w:pPr>
        <w:ind w:left="642"/>
        <w:spacing w:before="201" w:line="559" w:lineRule="exact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-4"/>
          <w:position w:val="19"/>
        </w:rPr>
        <w:t>十、一般公共预算“三公</w:t>
      </w:r>
      <w:r>
        <w:rPr>
          <w:rFonts w:ascii="FangSong" w:hAnsi="FangSong" w:eastAsia="FangSong" w:cs="FangSong"/>
          <w:sz w:val="30"/>
          <w:szCs w:val="30"/>
          <w:spacing w:val="-96"/>
          <w:position w:val="19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4"/>
          <w:position w:val="19"/>
        </w:rPr>
        <w:t>”经费支出情况统计表</w:t>
      </w:r>
    </w:p>
    <w:p>
      <w:pPr>
        <w:ind w:left="642"/>
        <w:spacing w:before="2" w:line="220" w:lineRule="auto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-2"/>
        </w:rPr>
        <w:t>十一、机关运行经费预算财政拨款情况统计表</w:t>
      </w:r>
    </w:p>
    <w:p>
      <w:pPr>
        <w:pStyle w:val="BodyText"/>
        <w:ind w:left="1660"/>
        <w:spacing w:before="297" w:line="225" w:lineRule="auto"/>
        <w:outlineLvl w:val="0"/>
        <w:rPr>
          <w:sz w:val="35"/>
          <w:szCs w:val="35"/>
        </w:rPr>
      </w:pPr>
      <w:bookmarkStart w:name="bookmark5" w:id="5"/>
      <w:bookmarkEnd w:id="5"/>
      <w:bookmarkStart w:name="bookmark6" w:id="6"/>
      <w:bookmarkEnd w:id="6"/>
      <w:r>
        <w:rPr>
          <w:sz w:val="35"/>
          <w:szCs w:val="35"/>
          <w:spacing w:val="5"/>
        </w:rPr>
        <w:t>第三部分</w:t>
      </w:r>
      <w:r>
        <w:rPr>
          <w:sz w:val="35"/>
          <w:szCs w:val="35"/>
          <w:spacing w:val="-55"/>
        </w:rPr>
        <w:t xml:space="preserve"> </w:t>
      </w:r>
      <w:r>
        <w:rPr>
          <w:sz w:val="35"/>
          <w:szCs w:val="35"/>
          <w:spacing w:val="5"/>
        </w:rPr>
        <w:t>2022</w:t>
      </w:r>
      <w:r>
        <w:rPr>
          <w:sz w:val="35"/>
          <w:szCs w:val="35"/>
          <w:spacing w:val="-71"/>
        </w:rPr>
        <w:t xml:space="preserve"> </w:t>
      </w:r>
      <w:r>
        <w:rPr>
          <w:sz w:val="35"/>
          <w:szCs w:val="35"/>
          <w:spacing w:val="5"/>
        </w:rPr>
        <w:t>年度预算情况说明</w:t>
      </w:r>
    </w:p>
    <w:p>
      <w:pPr>
        <w:spacing w:line="274" w:lineRule="auto"/>
        <w:rPr>
          <w:rFonts w:ascii="Arial"/>
          <w:sz w:val="21"/>
        </w:rPr>
      </w:pPr>
      <w:r/>
    </w:p>
    <w:p>
      <w:pPr>
        <w:ind w:left="672"/>
        <w:spacing w:before="101" w:line="227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8"/>
        </w:rPr>
        <w:t>一、预算收入及变动情况</w:t>
      </w:r>
    </w:p>
    <w:p>
      <w:pPr>
        <w:ind w:right="13"/>
        <w:spacing w:before="279" w:line="561" w:lineRule="exact"/>
        <w:jc w:val="right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position w:val="19"/>
        </w:rPr>
        <w:t>大同市煤炭清洁高效利用研究所筹备处</w:t>
      </w:r>
      <w:r>
        <w:rPr>
          <w:rFonts w:ascii="FangSong" w:hAnsi="FangSong" w:eastAsia="FangSong" w:cs="FangSong"/>
          <w:sz w:val="30"/>
          <w:szCs w:val="30"/>
          <w:spacing w:val="-39"/>
          <w:position w:val="19"/>
        </w:rPr>
        <w:t xml:space="preserve"> </w:t>
      </w:r>
      <w:r>
        <w:rPr>
          <w:rFonts w:ascii="FangSong" w:hAnsi="FangSong" w:eastAsia="FangSong" w:cs="FangSong"/>
          <w:sz w:val="30"/>
          <w:szCs w:val="30"/>
          <w:position w:val="19"/>
        </w:rPr>
        <w:t>2022</w:t>
      </w:r>
      <w:r>
        <w:rPr>
          <w:rFonts w:ascii="FangSong" w:hAnsi="FangSong" w:eastAsia="FangSong" w:cs="FangSong"/>
          <w:sz w:val="30"/>
          <w:szCs w:val="30"/>
          <w:spacing w:val="-44"/>
          <w:position w:val="19"/>
        </w:rPr>
        <w:t xml:space="preserve"> </w:t>
      </w:r>
      <w:r>
        <w:rPr>
          <w:rFonts w:ascii="FangSong" w:hAnsi="FangSong" w:eastAsia="FangSong" w:cs="FangSong"/>
          <w:sz w:val="30"/>
          <w:szCs w:val="30"/>
          <w:position w:val="19"/>
        </w:rPr>
        <w:t>年总预算</w:t>
      </w:r>
      <w:r>
        <w:rPr>
          <w:rFonts w:ascii="FangSong" w:hAnsi="FangSong" w:eastAsia="FangSong" w:cs="FangSong"/>
          <w:sz w:val="30"/>
          <w:szCs w:val="30"/>
          <w:spacing w:val="-36"/>
          <w:position w:val="19"/>
        </w:rPr>
        <w:t xml:space="preserve"> </w:t>
      </w:r>
      <w:r>
        <w:rPr>
          <w:rFonts w:ascii="FangSong" w:hAnsi="FangSong" w:eastAsia="FangSong" w:cs="FangSong"/>
          <w:sz w:val="30"/>
          <w:szCs w:val="30"/>
          <w:position w:val="19"/>
        </w:rPr>
        <w:t>100</w:t>
      </w:r>
    </w:p>
    <w:p>
      <w:pPr>
        <w:ind w:left="36"/>
        <w:spacing w:before="1" w:line="220" w:lineRule="auto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-3"/>
        </w:rPr>
        <w:t>万元，与</w:t>
      </w:r>
      <w:r>
        <w:rPr>
          <w:rFonts w:ascii="FangSong" w:hAnsi="FangSong" w:eastAsia="FangSong" w:cs="FangSong"/>
          <w:sz w:val="30"/>
          <w:szCs w:val="30"/>
          <w:spacing w:val="-38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3"/>
        </w:rPr>
        <w:t>2021</w:t>
      </w:r>
      <w:r>
        <w:rPr>
          <w:rFonts w:ascii="FangSong" w:hAnsi="FangSong" w:eastAsia="FangSong" w:cs="FangSong"/>
          <w:sz w:val="30"/>
          <w:szCs w:val="30"/>
          <w:spacing w:val="-49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3"/>
        </w:rPr>
        <w:t>年预算</w:t>
      </w:r>
      <w:r>
        <w:rPr>
          <w:rFonts w:ascii="FangSong" w:hAnsi="FangSong" w:eastAsia="FangSong" w:cs="FangSong"/>
          <w:sz w:val="30"/>
          <w:szCs w:val="30"/>
          <w:spacing w:val="-41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3"/>
        </w:rPr>
        <w:t>100</w:t>
      </w:r>
      <w:r>
        <w:rPr>
          <w:rFonts w:ascii="FangSong" w:hAnsi="FangSong" w:eastAsia="FangSong" w:cs="FangSong"/>
          <w:sz w:val="30"/>
          <w:szCs w:val="30"/>
          <w:spacing w:val="-49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3"/>
        </w:rPr>
        <w:t>万元相比无变化。其中：政府性基金</w:t>
      </w:r>
    </w:p>
    <w:p>
      <w:pPr>
        <w:spacing w:line="220" w:lineRule="auto"/>
        <w:sectPr>
          <w:pgSz w:w="11906" w:h="16839"/>
          <w:pgMar w:top="1431" w:right="1785" w:bottom="0" w:left="1785" w:header="0" w:footer="0" w:gutter="0"/>
        </w:sectPr>
        <w:rPr>
          <w:rFonts w:ascii="FangSong" w:hAnsi="FangSong" w:eastAsia="FangSong" w:cs="FangSong"/>
          <w:sz w:val="30"/>
          <w:szCs w:val="30"/>
        </w:rPr>
      </w:pPr>
    </w:p>
    <w:p>
      <w:pPr>
        <w:ind w:left="36"/>
        <w:spacing w:before="200" w:line="222" w:lineRule="auto"/>
        <w:rPr>
          <w:rFonts w:ascii="FangSong" w:hAnsi="FangSong" w:eastAsia="FangSong" w:cs="FangSong"/>
          <w:sz w:val="30"/>
          <w:szCs w:val="30"/>
        </w:rPr>
      </w:pPr>
      <w:bookmarkStart w:name="bookmark7" w:id="7"/>
      <w:bookmarkEnd w:id="7"/>
      <w:r>
        <w:rPr>
          <w:rFonts w:ascii="FangSong" w:hAnsi="FangSong" w:eastAsia="FangSong" w:cs="FangSong"/>
          <w:sz w:val="30"/>
          <w:szCs w:val="30"/>
          <w:spacing w:val="-11"/>
        </w:rPr>
        <w:t>预算</w:t>
      </w:r>
      <w:r>
        <w:rPr>
          <w:rFonts w:ascii="FangSong" w:hAnsi="FangSong" w:eastAsia="FangSong" w:cs="FangSong"/>
          <w:sz w:val="30"/>
          <w:szCs w:val="30"/>
          <w:spacing w:val="-39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11"/>
        </w:rPr>
        <w:t>100</w:t>
      </w:r>
      <w:r>
        <w:rPr>
          <w:rFonts w:ascii="FangSong" w:hAnsi="FangSong" w:eastAsia="FangSong" w:cs="FangSong"/>
          <w:sz w:val="30"/>
          <w:szCs w:val="30"/>
          <w:spacing w:val="-52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11"/>
        </w:rPr>
        <w:t>万元，</w:t>
      </w:r>
      <w:r>
        <w:rPr>
          <w:rFonts w:ascii="FangSong" w:hAnsi="FangSong" w:eastAsia="FangSong" w:cs="FangSong"/>
          <w:sz w:val="30"/>
          <w:szCs w:val="30"/>
          <w:spacing w:val="-78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11"/>
        </w:rPr>
        <w:t>占</w:t>
      </w:r>
      <w:r>
        <w:rPr>
          <w:rFonts w:ascii="FangSong" w:hAnsi="FangSong" w:eastAsia="FangSong" w:cs="FangSong"/>
          <w:sz w:val="30"/>
          <w:szCs w:val="30"/>
          <w:spacing w:val="-43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11"/>
        </w:rPr>
        <w:t>100.00%。</w:t>
      </w:r>
    </w:p>
    <w:p>
      <w:pPr>
        <w:ind w:left="672"/>
        <w:spacing w:before="317" w:line="226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8"/>
        </w:rPr>
        <w:t>二、一般公共预算支出及变动情况</w:t>
      </w:r>
    </w:p>
    <w:p>
      <w:pPr>
        <w:ind w:left="637"/>
        <w:spacing w:before="281" w:line="560" w:lineRule="exact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-1"/>
          <w:position w:val="19"/>
        </w:rPr>
        <w:t>大同市煤炭清洁高效利用研究所筹备处</w:t>
      </w:r>
      <w:r>
        <w:rPr>
          <w:rFonts w:ascii="FangSong" w:hAnsi="FangSong" w:eastAsia="FangSong" w:cs="FangSong"/>
          <w:sz w:val="30"/>
          <w:szCs w:val="30"/>
          <w:spacing w:val="-45"/>
          <w:position w:val="19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1"/>
          <w:position w:val="19"/>
        </w:rPr>
        <w:t>2022</w:t>
      </w:r>
      <w:r>
        <w:rPr>
          <w:rFonts w:ascii="FangSong" w:hAnsi="FangSong" w:eastAsia="FangSong" w:cs="FangSong"/>
          <w:sz w:val="30"/>
          <w:szCs w:val="30"/>
          <w:spacing w:val="-49"/>
          <w:position w:val="19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1"/>
          <w:position w:val="19"/>
        </w:rPr>
        <w:t>年一般公共预</w:t>
      </w:r>
    </w:p>
    <w:p>
      <w:pPr>
        <w:ind w:left="33"/>
        <w:spacing w:line="221" w:lineRule="auto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-10"/>
        </w:rPr>
        <w:t>算支出</w:t>
      </w:r>
      <w:r>
        <w:rPr>
          <w:rFonts w:ascii="FangSong" w:hAnsi="FangSong" w:eastAsia="FangSong" w:cs="FangSong"/>
          <w:sz w:val="30"/>
          <w:szCs w:val="30"/>
          <w:spacing w:val="-61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10"/>
        </w:rPr>
        <w:t>0</w:t>
      </w:r>
      <w:r>
        <w:rPr>
          <w:rFonts w:ascii="FangSong" w:hAnsi="FangSong" w:eastAsia="FangSong" w:cs="FangSong"/>
          <w:sz w:val="30"/>
          <w:szCs w:val="30"/>
          <w:spacing w:val="-50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10"/>
        </w:rPr>
        <w:t>元。</w:t>
      </w:r>
    </w:p>
    <w:p>
      <w:pPr>
        <w:ind w:left="673"/>
        <w:spacing w:before="319" w:line="227" w:lineRule="auto"/>
        <w:outlineLvl w:val="1"/>
        <w:rPr>
          <w:rFonts w:ascii="SimHei" w:hAnsi="SimHei" w:eastAsia="SimHei" w:cs="SimHei"/>
          <w:sz w:val="31"/>
          <w:szCs w:val="31"/>
        </w:rPr>
      </w:pPr>
      <w:bookmarkStart w:name="bookmark8" w:id="8"/>
      <w:bookmarkEnd w:id="8"/>
      <w:r>
        <w:rPr>
          <w:rFonts w:ascii="SimHei" w:hAnsi="SimHei" w:eastAsia="SimHei" w:cs="SimHei"/>
          <w:sz w:val="31"/>
          <w:szCs w:val="31"/>
          <w:spacing w:val="8"/>
        </w:rPr>
        <w:t>三、政府性基金预算支出及变动情况</w:t>
      </w:r>
    </w:p>
    <w:p>
      <w:pPr>
        <w:ind w:left="637"/>
        <w:spacing w:before="281" w:line="559" w:lineRule="exact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-1"/>
          <w:position w:val="19"/>
        </w:rPr>
        <w:t>大同市煤炭清洁高效利用研究所筹备处</w:t>
      </w:r>
      <w:r>
        <w:rPr>
          <w:rFonts w:ascii="FangSong" w:hAnsi="FangSong" w:eastAsia="FangSong" w:cs="FangSong"/>
          <w:sz w:val="30"/>
          <w:szCs w:val="30"/>
          <w:spacing w:val="-45"/>
          <w:position w:val="19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1"/>
          <w:position w:val="19"/>
        </w:rPr>
        <w:t>2022</w:t>
      </w:r>
      <w:r>
        <w:rPr>
          <w:rFonts w:ascii="FangSong" w:hAnsi="FangSong" w:eastAsia="FangSong" w:cs="FangSong"/>
          <w:sz w:val="30"/>
          <w:szCs w:val="30"/>
          <w:spacing w:val="-49"/>
          <w:position w:val="19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1"/>
          <w:position w:val="19"/>
        </w:rPr>
        <w:t>年政府性基金</w:t>
      </w:r>
    </w:p>
    <w:p>
      <w:pPr>
        <w:spacing w:before="1" w:line="221" w:lineRule="auto"/>
        <w:jc w:val="right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-17"/>
        </w:rPr>
        <w:t>预算</w:t>
      </w:r>
      <w:r>
        <w:rPr>
          <w:rFonts w:ascii="FangSong" w:hAnsi="FangSong" w:eastAsia="FangSong" w:cs="FangSong"/>
          <w:sz w:val="30"/>
          <w:szCs w:val="30"/>
          <w:spacing w:val="-45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17"/>
        </w:rPr>
        <w:t>100.00</w:t>
      </w:r>
      <w:r>
        <w:rPr>
          <w:rFonts w:ascii="FangSong" w:hAnsi="FangSong" w:eastAsia="FangSong" w:cs="FangSong"/>
          <w:sz w:val="30"/>
          <w:szCs w:val="30"/>
          <w:spacing w:val="-57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17"/>
        </w:rPr>
        <w:t>万元。其中：城乡社区支出</w:t>
      </w:r>
      <w:r>
        <w:rPr>
          <w:rFonts w:ascii="FangSong" w:hAnsi="FangSong" w:eastAsia="FangSong" w:cs="FangSong"/>
          <w:sz w:val="30"/>
          <w:szCs w:val="30"/>
          <w:spacing w:val="-45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18"/>
        </w:rPr>
        <w:t>100.00</w:t>
      </w:r>
      <w:r>
        <w:rPr>
          <w:rFonts w:ascii="FangSong" w:hAnsi="FangSong" w:eastAsia="FangSong" w:cs="FangSong"/>
          <w:sz w:val="30"/>
          <w:szCs w:val="30"/>
          <w:spacing w:val="-57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18"/>
        </w:rPr>
        <w:t>万元，占</w:t>
      </w:r>
      <w:r>
        <w:rPr>
          <w:rFonts w:ascii="FangSong" w:hAnsi="FangSong" w:eastAsia="FangSong" w:cs="FangSong"/>
          <w:sz w:val="30"/>
          <w:szCs w:val="30"/>
          <w:spacing w:val="-45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18"/>
        </w:rPr>
        <w:t>100.00%。</w:t>
      </w:r>
    </w:p>
    <w:p>
      <w:pPr>
        <w:ind w:left="686"/>
        <w:spacing w:before="320" w:line="227" w:lineRule="auto"/>
        <w:outlineLvl w:val="1"/>
        <w:rPr>
          <w:rFonts w:ascii="SimHei" w:hAnsi="SimHei" w:eastAsia="SimHei" w:cs="SimHei"/>
          <w:sz w:val="31"/>
          <w:szCs w:val="31"/>
        </w:rPr>
      </w:pPr>
      <w:bookmarkStart w:name="bookmark9" w:id="9"/>
      <w:bookmarkEnd w:id="9"/>
      <w:r>
        <w:rPr>
          <w:rFonts w:ascii="SimHei" w:hAnsi="SimHei" w:eastAsia="SimHei" w:cs="SimHei"/>
          <w:sz w:val="31"/>
          <w:szCs w:val="31"/>
          <w:spacing w:val="7"/>
        </w:rPr>
        <w:t>四、“三公”经费支出及变动情况</w:t>
      </w:r>
    </w:p>
    <w:p>
      <w:pPr>
        <w:ind w:left="637"/>
        <w:spacing w:before="278" w:line="545" w:lineRule="exact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-2"/>
          <w:position w:val="18"/>
        </w:rPr>
        <w:t>大同市煤炭清洁高效利用研究所筹备处</w:t>
      </w:r>
      <w:r>
        <w:rPr>
          <w:rFonts w:ascii="FangSong" w:hAnsi="FangSong" w:eastAsia="FangSong" w:cs="FangSong"/>
          <w:sz w:val="30"/>
          <w:szCs w:val="30"/>
          <w:spacing w:val="-43"/>
          <w:position w:val="18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2"/>
          <w:position w:val="18"/>
        </w:rPr>
        <w:t>2022</w:t>
      </w:r>
      <w:r>
        <w:rPr>
          <w:rFonts w:ascii="FangSong" w:hAnsi="FangSong" w:eastAsia="FangSong" w:cs="FangSong"/>
          <w:sz w:val="30"/>
          <w:szCs w:val="30"/>
          <w:spacing w:val="-49"/>
          <w:position w:val="18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2"/>
          <w:position w:val="18"/>
        </w:rPr>
        <w:t>年“三公</w:t>
      </w:r>
      <w:r>
        <w:rPr>
          <w:rFonts w:ascii="FangSong" w:hAnsi="FangSong" w:eastAsia="FangSong" w:cs="FangSong"/>
          <w:sz w:val="30"/>
          <w:szCs w:val="30"/>
          <w:spacing w:val="-105"/>
          <w:position w:val="18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2"/>
          <w:position w:val="18"/>
        </w:rPr>
        <w:t>”经</w:t>
      </w:r>
    </w:p>
    <w:p>
      <w:pPr>
        <w:ind w:left="43"/>
        <w:spacing w:line="227" w:lineRule="auto"/>
        <w:rPr>
          <w:rFonts w:ascii="FangSong" w:hAnsi="FangSong" w:eastAsia="FangSong" w:cs="FangSong"/>
          <w:sz w:val="31"/>
          <w:szCs w:val="31"/>
        </w:rPr>
      </w:pPr>
      <w:bookmarkStart w:name="bookmark10" w:id="10"/>
      <w:bookmarkEnd w:id="10"/>
      <w:r>
        <w:rPr>
          <w:rFonts w:ascii="FangSong" w:hAnsi="FangSong" w:eastAsia="FangSong" w:cs="FangSong"/>
          <w:sz w:val="30"/>
          <w:szCs w:val="30"/>
          <w:spacing w:val="-1"/>
        </w:rPr>
        <w:t>费预算</w:t>
      </w:r>
      <w:r>
        <w:rPr>
          <w:rFonts w:ascii="FangSong" w:hAnsi="FangSong" w:eastAsia="FangSong" w:cs="FangSong"/>
          <w:sz w:val="30"/>
          <w:szCs w:val="30"/>
          <w:spacing w:val="-59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1"/>
        </w:rPr>
        <w:t>0</w:t>
      </w:r>
      <w:r>
        <w:rPr>
          <w:rFonts w:ascii="FangSong" w:hAnsi="FangSong" w:eastAsia="FangSong" w:cs="FangSong"/>
          <w:sz w:val="30"/>
          <w:szCs w:val="30"/>
          <w:spacing w:val="-50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1"/>
        </w:rPr>
        <w:t>元</w:t>
      </w:r>
      <w:r>
        <w:rPr>
          <w:rFonts w:ascii="FangSong" w:hAnsi="FangSong" w:eastAsia="FangSong" w:cs="FangSong"/>
          <w:sz w:val="31"/>
          <w:szCs w:val="31"/>
          <w:spacing w:val="-1"/>
        </w:rPr>
        <w:t>，与上年相同。</w:t>
      </w:r>
    </w:p>
    <w:p>
      <w:pPr>
        <w:ind w:left="675"/>
        <w:spacing w:before="313" w:line="227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8"/>
        </w:rPr>
        <w:t>五、机关运行经费支出及变动情况</w:t>
      </w:r>
    </w:p>
    <w:p>
      <w:pPr>
        <w:ind w:left="637"/>
        <w:spacing w:before="280" w:line="560" w:lineRule="exact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-1"/>
          <w:position w:val="19"/>
        </w:rPr>
        <w:t>大同市煤炭清洁高效利用研究所筹备处</w:t>
      </w:r>
      <w:r>
        <w:rPr>
          <w:rFonts w:ascii="FangSong" w:hAnsi="FangSong" w:eastAsia="FangSong" w:cs="FangSong"/>
          <w:sz w:val="30"/>
          <w:szCs w:val="30"/>
          <w:spacing w:val="-45"/>
          <w:position w:val="19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1"/>
          <w:position w:val="19"/>
        </w:rPr>
        <w:t>2022</w:t>
      </w:r>
      <w:r>
        <w:rPr>
          <w:rFonts w:ascii="FangSong" w:hAnsi="FangSong" w:eastAsia="FangSong" w:cs="FangSong"/>
          <w:sz w:val="30"/>
          <w:szCs w:val="30"/>
          <w:spacing w:val="-49"/>
          <w:position w:val="19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1"/>
          <w:position w:val="19"/>
        </w:rPr>
        <w:t>年机关运行经</w:t>
      </w:r>
    </w:p>
    <w:p>
      <w:pPr>
        <w:ind w:left="43"/>
        <w:spacing w:before="1" w:line="223" w:lineRule="auto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-17"/>
        </w:rPr>
        <w:t>费</w:t>
      </w:r>
      <w:r>
        <w:rPr>
          <w:rFonts w:ascii="FangSong" w:hAnsi="FangSong" w:eastAsia="FangSong" w:cs="FangSong"/>
          <w:sz w:val="30"/>
          <w:szCs w:val="30"/>
          <w:spacing w:val="-63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17"/>
        </w:rPr>
        <w:t>0</w:t>
      </w:r>
      <w:r>
        <w:rPr>
          <w:rFonts w:ascii="FangSong" w:hAnsi="FangSong" w:eastAsia="FangSong" w:cs="FangSong"/>
          <w:sz w:val="30"/>
          <w:szCs w:val="30"/>
          <w:spacing w:val="-50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17"/>
        </w:rPr>
        <w:t>元。</w:t>
      </w:r>
    </w:p>
    <w:p>
      <w:pPr>
        <w:ind w:left="677"/>
        <w:spacing w:before="317" w:line="228" w:lineRule="auto"/>
        <w:outlineLvl w:val="1"/>
        <w:rPr>
          <w:rFonts w:ascii="SimHei" w:hAnsi="SimHei" w:eastAsia="SimHei" w:cs="SimHei"/>
          <w:sz w:val="31"/>
          <w:szCs w:val="31"/>
        </w:rPr>
      </w:pPr>
      <w:bookmarkStart w:name="bookmark11" w:id="11"/>
      <w:bookmarkEnd w:id="11"/>
      <w:r>
        <w:rPr>
          <w:rFonts w:ascii="SimHei" w:hAnsi="SimHei" w:eastAsia="SimHei" w:cs="SimHei"/>
          <w:sz w:val="31"/>
          <w:szCs w:val="31"/>
          <w:spacing w:val="6"/>
        </w:rPr>
        <w:t>六、政府采购情况</w:t>
      </w:r>
    </w:p>
    <w:p>
      <w:pPr>
        <w:ind w:left="628"/>
        <w:spacing w:before="278" w:line="559" w:lineRule="exact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3"/>
          <w:position w:val="19"/>
        </w:rPr>
        <w:t>2022</w:t>
      </w:r>
      <w:r>
        <w:rPr>
          <w:rFonts w:ascii="FangSong" w:hAnsi="FangSong" w:eastAsia="FangSong" w:cs="FangSong"/>
          <w:sz w:val="30"/>
          <w:szCs w:val="30"/>
          <w:spacing w:val="-43"/>
          <w:position w:val="19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3"/>
          <w:position w:val="19"/>
        </w:rPr>
        <w:t>年大同市煤炭清洁高效利用研究所筹备处政府采购预</w:t>
      </w:r>
    </w:p>
    <w:p>
      <w:pPr>
        <w:ind w:left="33"/>
        <w:spacing w:before="1" w:line="221" w:lineRule="auto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-10"/>
        </w:rPr>
        <w:t>算总额</w:t>
      </w:r>
      <w:r>
        <w:rPr>
          <w:rFonts w:ascii="FangSong" w:hAnsi="FangSong" w:eastAsia="FangSong" w:cs="FangSong"/>
          <w:sz w:val="30"/>
          <w:szCs w:val="30"/>
          <w:spacing w:val="-61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10"/>
        </w:rPr>
        <w:t>0</w:t>
      </w:r>
      <w:r>
        <w:rPr>
          <w:rFonts w:ascii="FangSong" w:hAnsi="FangSong" w:eastAsia="FangSong" w:cs="FangSong"/>
          <w:sz w:val="30"/>
          <w:szCs w:val="30"/>
          <w:spacing w:val="-50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10"/>
        </w:rPr>
        <w:t>元。</w:t>
      </w:r>
    </w:p>
    <w:p>
      <w:pPr>
        <w:ind w:left="666"/>
        <w:spacing w:before="320" w:line="226" w:lineRule="auto"/>
        <w:outlineLvl w:val="1"/>
        <w:rPr>
          <w:rFonts w:ascii="SimHei" w:hAnsi="SimHei" w:eastAsia="SimHei" w:cs="SimHei"/>
          <w:sz w:val="31"/>
          <w:szCs w:val="31"/>
        </w:rPr>
      </w:pPr>
      <w:bookmarkStart w:name="bookmark12" w:id="12"/>
      <w:bookmarkEnd w:id="12"/>
      <w:r>
        <w:rPr>
          <w:rFonts w:ascii="SimHei" w:hAnsi="SimHei" w:eastAsia="SimHei" w:cs="SimHei"/>
          <w:sz w:val="31"/>
          <w:szCs w:val="31"/>
          <w:spacing w:val="8"/>
        </w:rPr>
        <w:t>七、绩效管理情况</w:t>
      </w:r>
    </w:p>
    <w:p>
      <w:pPr>
        <w:ind w:left="628"/>
        <w:spacing w:before="280" w:line="561" w:lineRule="exact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3"/>
          <w:position w:val="19"/>
        </w:rPr>
        <w:t>2022</w:t>
      </w:r>
      <w:r>
        <w:rPr>
          <w:rFonts w:ascii="FangSong" w:hAnsi="FangSong" w:eastAsia="FangSong" w:cs="FangSong"/>
          <w:sz w:val="30"/>
          <w:szCs w:val="30"/>
          <w:spacing w:val="-43"/>
          <w:position w:val="19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3"/>
          <w:position w:val="19"/>
        </w:rPr>
        <w:t>年大同市煤炭清洁高效利用研究所筹备处实行绩效目</w:t>
      </w:r>
    </w:p>
    <w:p>
      <w:pPr>
        <w:ind w:left="33"/>
        <w:spacing w:before="1" w:line="222" w:lineRule="auto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-3"/>
        </w:rPr>
        <w:t>标管理的项目</w:t>
      </w:r>
      <w:r>
        <w:rPr>
          <w:rFonts w:ascii="FangSong" w:hAnsi="FangSong" w:eastAsia="FangSong" w:cs="FangSong"/>
          <w:sz w:val="30"/>
          <w:szCs w:val="30"/>
          <w:spacing w:val="-51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3"/>
        </w:rPr>
        <w:t>3</w:t>
      </w:r>
      <w:r>
        <w:rPr>
          <w:rFonts w:ascii="FangSong" w:hAnsi="FangSong" w:eastAsia="FangSong" w:cs="FangSong"/>
          <w:sz w:val="30"/>
          <w:szCs w:val="30"/>
          <w:spacing w:val="-53"/>
        </w:rPr>
        <w:t xml:space="preserve"> </w:t>
      </w:r>
      <w:r>
        <w:rPr>
          <w:rFonts w:ascii="FangSong" w:hAnsi="FangSong" w:eastAsia="FangSong" w:cs="FangSong"/>
          <w:sz w:val="30"/>
          <w:szCs w:val="30"/>
          <w:spacing w:val="-3"/>
        </w:rPr>
        <w:t>个，部分绩效目标表于附件列示。</w:t>
      </w:r>
    </w:p>
    <w:p>
      <w:pPr>
        <w:ind w:left="667"/>
        <w:spacing w:before="316" w:line="227" w:lineRule="auto"/>
        <w:outlineLvl w:val="1"/>
        <w:rPr>
          <w:rFonts w:ascii="SimHei" w:hAnsi="SimHei" w:eastAsia="SimHei" w:cs="SimHei"/>
          <w:sz w:val="31"/>
          <w:szCs w:val="31"/>
        </w:rPr>
      </w:pPr>
      <w:bookmarkStart w:name="bookmark13" w:id="13"/>
      <w:bookmarkEnd w:id="13"/>
      <w:r>
        <w:rPr>
          <w:rFonts w:ascii="SimHei" w:hAnsi="SimHei" w:eastAsia="SimHei" w:cs="SimHei"/>
          <w:sz w:val="31"/>
          <w:szCs w:val="31"/>
          <w:spacing w:val="8"/>
        </w:rPr>
        <w:t>八、国有资产占有使用情况</w:t>
      </w:r>
    </w:p>
    <w:p>
      <w:pPr>
        <w:ind w:left="646"/>
        <w:spacing w:before="281" w:line="559" w:lineRule="exact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-4"/>
          <w:position w:val="19"/>
        </w:rPr>
        <w:t>1．车辆情况：无。</w:t>
      </w:r>
    </w:p>
    <w:p>
      <w:pPr>
        <w:ind w:left="628"/>
        <w:spacing w:line="222" w:lineRule="auto"/>
        <w:rPr>
          <w:rFonts w:ascii="FangSong" w:hAnsi="FangSong" w:eastAsia="FangSong" w:cs="FangSong"/>
          <w:sz w:val="30"/>
          <w:szCs w:val="30"/>
        </w:rPr>
      </w:pPr>
      <w:r>
        <w:rPr>
          <w:rFonts w:ascii="FangSong" w:hAnsi="FangSong" w:eastAsia="FangSong" w:cs="FangSong"/>
          <w:sz w:val="30"/>
          <w:szCs w:val="30"/>
          <w:spacing w:val="-2"/>
        </w:rPr>
        <w:t>2．房屋情况：无。</w:t>
      </w:r>
    </w:p>
    <w:p>
      <w:pPr>
        <w:spacing w:line="222" w:lineRule="auto"/>
        <w:sectPr>
          <w:pgSz w:w="11906" w:h="16839"/>
          <w:pgMar w:top="1431" w:right="1695" w:bottom="0" w:left="1785" w:header="0" w:footer="0" w:gutter="0"/>
        </w:sectPr>
        <w:rPr>
          <w:rFonts w:ascii="FangSong" w:hAnsi="FangSong" w:eastAsia="FangSong" w:cs="FangSong"/>
          <w:sz w:val="30"/>
          <w:szCs w:val="30"/>
        </w:rPr>
      </w:pPr>
    </w:p>
    <w:p>
      <w:pPr>
        <w:pStyle w:val="BodyText"/>
        <w:ind w:left="2831"/>
        <w:spacing w:before="138" w:line="225" w:lineRule="auto"/>
        <w:outlineLvl w:val="0"/>
        <w:rPr>
          <w:sz w:val="35"/>
          <w:szCs w:val="35"/>
        </w:rPr>
      </w:pPr>
      <w:bookmarkStart w:name="bookmark14" w:id="14"/>
      <w:bookmarkEnd w:id="14"/>
      <w:r>
        <w:rPr>
          <w:sz w:val="35"/>
          <w:szCs w:val="35"/>
          <w:spacing w:val="8"/>
        </w:rPr>
        <w:t>第四部分名词解释</w:t>
      </w:r>
    </w:p>
    <w:p>
      <w:pPr>
        <w:spacing w:line="275" w:lineRule="auto"/>
        <w:rPr>
          <w:rFonts w:ascii="Arial"/>
          <w:sz w:val="21"/>
        </w:rPr>
      </w:pPr>
      <w:r/>
    </w:p>
    <w:p>
      <w:pPr>
        <w:ind w:left="681"/>
        <w:spacing w:before="101" w:line="224" w:lineRule="auto"/>
        <w:outlineLvl w:val="1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一、基本支出</w:t>
      </w:r>
      <w:r>
        <w:rPr>
          <w:rFonts w:ascii="FangSong" w:hAnsi="FangSong" w:eastAsia="FangSong" w:cs="FangSong"/>
          <w:sz w:val="31"/>
          <w:szCs w:val="31"/>
          <w:spacing w:val="9"/>
        </w:rPr>
        <w:t>：指为保障机构正常运转、完成日常</w:t>
      </w:r>
    </w:p>
    <w:p>
      <w:pPr>
        <w:ind w:left="42"/>
        <w:spacing w:before="246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工作任务而发生的人员支出和公用支出。</w:t>
      </w:r>
    </w:p>
    <w:p>
      <w:pPr>
        <w:ind w:left="686"/>
        <w:spacing w:before="244" w:line="225" w:lineRule="auto"/>
        <w:outlineLvl w:val="1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二、项目支出</w:t>
      </w:r>
      <w:r>
        <w:rPr>
          <w:rFonts w:ascii="FangSong" w:hAnsi="FangSong" w:eastAsia="FangSong" w:cs="FangSong"/>
          <w:sz w:val="31"/>
          <w:szCs w:val="31"/>
          <w:spacing w:val="8"/>
        </w:rPr>
        <w:t>：指在基本支出之外为完成特定行政任</w:t>
      </w:r>
    </w:p>
    <w:p>
      <w:pPr>
        <w:ind w:left="44"/>
        <w:spacing w:before="246" w:line="22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务和事业发展目标所发生的支出。</w:t>
      </w:r>
    </w:p>
    <w:p>
      <w:pPr>
        <w:ind w:left="34" w:firstLine="650"/>
        <w:spacing w:before="237" w:line="372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三、“三公</w:t>
      </w:r>
      <w:r>
        <w:rPr>
          <w:rFonts w:ascii="FangSong" w:hAnsi="FangSong" w:eastAsia="FangSong" w:cs="FangSong"/>
          <w:sz w:val="31"/>
          <w:szCs w:val="31"/>
          <w:spacing w:val="-110"/>
        </w:rPr>
        <w:t xml:space="preserve"> </w:t>
      </w: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”经费</w:t>
      </w:r>
      <w:r>
        <w:rPr>
          <w:rFonts w:ascii="FangSong" w:hAnsi="FangSong" w:eastAsia="FangSong" w:cs="FangSong"/>
          <w:sz w:val="31"/>
          <w:szCs w:val="31"/>
          <w:spacing w:val="5"/>
        </w:rPr>
        <w:t>：指省直部门用一般公共预算安排的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因公出国（境）费用、公务用车购置及运行费和公务接待费。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其中：</w:t>
      </w:r>
      <w:r>
        <w:rPr>
          <w:rFonts w:ascii="FangSong" w:hAnsi="FangSong" w:eastAsia="FangSong" w:cs="FangSong"/>
          <w:sz w:val="31"/>
          <w:szCs w:val="31"/>
          <w:spacing w:val="-8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因公出国（境）费用反映单位公务出国（境）的国际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旅费、国外城市间交通费、住宿费、伙食费、培训费、公杂</w:t>
      </w:r>
      <w:r>
        <w:rPr>
          <w:rFonts w:ascii="FangSong" w:hAnsi="FangSong" w:eastAsia="FangSong" w:cs="FangSong"/>
          <w:sz w:val="31"/>
          <w:szCs w:val="31"/>
          <w:spacing w:val="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费等支出；公务用车购置费反映公务用车购置支出（含车辆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购置税、牌照费</w:t>
      </w:r>
      <w:r>
        <w:rPr>
          <w:rFonts w:ascii="FangSong" w:hAnsi="FangSong" w:eastAsia="FangSong" w:cs="FangSong"/>
          <w:sz w:val="31"/>
          <w:szCs w:val="31"/>
          <w:spacing w:val="25"/>
        </w:rPr>
        <w:t>）；</w:t>
      </w:r>
      <w:r>
        <w:rPr>
          <w:rFonts w:ascii="FangSong" w:hAnsi="FangSong" w:eastAsia="FangSong" w:cs="FangSong"/>
          <w:sz w:val="31"/>
          <w:szCs w:val="31"/>
          <w:spacing w:val="6"/>
        </w:rPr>
        <w:t>公务用车运行维护费反映单位按规定保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7"/>
        </w:rPr>
        <w:t>留的公务用车燃料费、维修费、过路过桥费、保险费、安全</w:t>
      </w:r>
      <w:r>
        <w:rPr>
          <w:rFonts w:ascii="FangSong" w:hAnsi="FangSong" w:eastAsia="FangSong" w:cs="FangSong"/>
          <w:sz w:val="31"/>
          <w:szCs w:val="31"/>
          <w:spacing w:val="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奖励费用等支出；公务接待费反映机关和参公事业单位按规</w:t>
      </w:r>
    </w:p>
    <w:p>
      <w:pPr>
        <w:ind w:left="41"/>
        <w:spacing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定开支的各类公务接待（含外宾接待）支出。</w:t>
      </w:r>
    </w:p>
    <w:p>
      <w:pPr>
        <w:ind w:left="35" w:right="111" w:firstLine="678"/>
        <w:spacing w:before="241" w:line="372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四、机关运行经费</w:t>
      </w:r>
      <w:r>
        <w:rPr>
          <w:rFonts w:ascii="FangSong" w:hAnsi="FangSong" w:eastAsia="FangSong" w:cs="FangSong"/>
          <w:sz w:val="31"/>
          <w:szCs w:val="31"/>
          <w:spacing w:val="7"/>
        </w:rPr>
        <w:t>：指行政单位和参照公务员法</w:t>
      </w:r>
      <w:r>
        <w:rPr>
          <w:rFonts w:ascii="FangSong" w:hAnsi="FangSong" w:eastAsia="FangSong" w:cs="FangSong"/>
          <w:sz w:val="31"/>
          <w:szCs w:val="31"/>
          <w:spacing w:val="6"/>
        </w:rPr>
        <w:t>管理的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1"/>
        </w:rPr>
        <w:t>事业单位使用一般公共预算财政拨款安排的基本支出中的</w:t>
      </w:r>
    </w:p>
    <w:p>
      <w:pPr>
        <w:ind w:left="41"/>
        <w:spacing w:before="1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公用经费支出。</w:t>
      </w:r>
    </w:p>
    <w:p>
      <w:pPr>
        <w:ind w:left="34" w:right="113" w:firstLine="646"/>
        <w:spacing w:before="236" w:line="372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五、政府购买服务</w:t>
      </w:r>
      <w:r>
        <w:rPr>
          <w:rFonts w:ascii="FangSong" w:hAnsi="FangSong" w:eastAsia="FangSong" w:cs="FangSong"/>
          <w:sz w:val="31"/>
          <w:szCs w:val="31"/>
          <w:spacing w:val="8"/>
        </w:rPr>
        <w:t>：根据我国现行政策规定，政府购买</w:t>
      </w:r>
      <w:r>
        <w:rPr>
          <w:rFonts w:ascii="FangSong" w:hAnsi="FangSong" w:eastAsia="FangSong" w:cs="FangSong"/>
          <w:sz w:val="31"/>
          <w:szCs w:val="31"/>
          <w:spacing w:val="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服务，是指充分发挥市场机制作用，将国家机关属于自身职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责范围且适合通过市场化方式提供的服务事项，按照政府采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购方式和程序，交由符合条件的服务供应商承担，并根据服</w:t>
      </w:r>
    </w:p>
    <w:p>
      <w:pPr>
        <w:ind w:left="44"/>
        <w:spacing w:before="1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务数量和质量等情况向其支付费用的行为。</w:t>
      </w:r>
    </w:p>
    <w:p>
      <w:pPr>
        <w:spacing w:line="226" w:lineRule="auto"/>
        <w:sectPr>
          <w:pgSz w:w="11906" w:h="16839"/>
          <w:pgMar w:top="1431" w:right="1688" w:bottom="0" w:left="1785" w:header="0" w:footer="0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ind w:left="31" w:firstLine="646"/>
        <w:spacing w:before="161" w:line="37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六、一般公共预算：</w:t>
      </w:r>
      <w:r>
        <w:rPr>
          <w:rFonts w:ascii="FangSong" w:hAnsi="FangSong" w:eastAsia="FangSong" w:cs="FangSong"/>
          <w:sz w:val="31"/>
          <w:szCs w:val="31"/>
          <w:spacing w:val="8"/>
        </w:rPr>
        <w:t>是指以税收为主体的财政收入，安</w:t>
      </w:r>
      <w:r>
        <w:rPr>
          <w:rFonts w:ascii="FangSong" w:hAnsi="FangSong" w:eastAsia="FangSong" w:cs="FangSong"/>
          <w:sz w:val="31"/>
          <w:szCs w:val="31"/>
          <w:spacing w:val="6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"/>
        </w:rPr>
        <w:t>排用于保障和改善民生、推动经济社会发展、</w:t>
      </w:r>
      <w:r>
        <w:rPr>
          <w:rFonts w:ascii="FangSong" w:hAnsi="FangSong" w:eastAsia="FangSong" w:cs="FangSong"/>
          <w:sz w:val="31"/>
          <w:szCs w:val="31"/>
        </w:rPr>
        <w:t>维护国家安全、</w:t>
      </w:r>
    </w:p>
    <w:p>
      <w:pPr>
        <w:ind w:left="41"/>
        <w:spacing w:line="224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维持国家机构正常运转等方面的收支预算。</w:t>
      </w:r>
    </w:p>
    <w:p>
      <w:pPr>
        <w:ind w:left="37" w:right="102" w:firstLine="644"/>
        <w:spacing w:before="246" w:line="37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七、政府性基金预算</w:t>
      </w:r>
      <w:r>
        <w:rPr>
          <w:rFonts w:ascii="FangSong" w:hAnsi="FangSong" w:eastAsia="FangSong" w:cs="FangSong"/>
          <w:sz w:val="31"/>
          <w:szCs w:val="31"/>
          <w:spacing w:val="8"/>
        </w:rPr>
        <w:t>：是对依照法律、行政法规的规定</w:t>
      </w:r>
      <w:r>
        <w:rPr>
          <w:rFonts w:ascii="FangSong" w:hAnsi="FangSong" w:eastAsia="FangSong" w:cs="FangSong"/>
          <w:sz w:val="31"/>
          <w:szCs w:val="31"/>
          <w:spacing w:val="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在一定期限内向特定对象征收、收取或者以其他方式筹集的</w:t>
      </w:r>
    </w:p>
    <w:p>
      <w:pPr>
        <w:ind w:left="51"/>
        <w:spacing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资金，专项用于特定公共事业发展的收支预算。</w:t>
      </w:r>
    </w:p>
    <w:p>
      <w:pPr>
        <w:ind w:left="674"/>
        <w:spacing w:before="242" w:line="624" w:lineRule="exact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8"/>
          <w:position w:val="23"/>
        </w:rPr>
        <w:t>八、国有资本经营预算</w:t>
      </w:r>
      <w:r>
        <w:rPr>
          <w:rFonts w:ascii="FangSong" w:hAnsi="FangSong" w:eastAsia="FangSong" w:cs="FangSong"/>
          <w:sz w:val="31"/>
          <w:szCs w:val="31"/>
          <w:spacing w:val="8"/>
          <w:position w:val="23"/>
        </w:rPr>
        <w:t>：是对国有资本收益作出支出安</w:t>
      </w:r>
    </w:p>
    <w:p>
      <w:pPr>
        <w:ind w:left="31"/>
        <w:spacing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6"/>
        </w:rPr>
        <w:t>排的收支预算。</w:t>
      </w:r>
    </w:p>
    <w:p>
      <w:pPr>
        <w:ind w:left="35" w:right="102" w:firstLine="652"/>
        <w:spacing w:before="240" w:line="37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九、财政专户管理资金</w:t>
      </w:r>
      <w:r>
        <w:rPr>
          <w:rFonts w:ascii="FangSong" w:hAnsi="FangSong" w:eastAsia="FangSong" w:cs="FangSong"/>
          <w:sz w:val="31"/>
          <w:szCs w:val="31"/>
          <w:spacing w:val="8"/>
        </w:rPr>
        <w:t>：专指教育收费，包括目前在财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政专户管理的高中以上学费、住宿费，高校委托培养费，党</w:t>
      </w:r>
      <w:r>
        <w:rPr>
          <w:rFonts w:ascii="FangSong" w:hAnsi="FangSong" w:eastAsia="FangSong" w:cs="FangSong"/>
          <w:sz w:val="31"/>
          <w:szCs w:val="31"/>
          <w:spacing w:val="1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校收费，教育考试考务费，函大、电大、夜大及短训班培训</w:t>
      </w:r>
    </w:p>
    <w:p>
      <w:pPr>
        <w:ind w:left="45"/>
        <w:spacing w:before="1" w:line="22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5"/>
        </w:rPr>
        <w:t>费等。</w:t>
      </w:r>
    </w:p>
    <w:p>
      <w:pPr>
        <w:ind w:left="35" w:right="105" w:firstLine="649"/>
        <w:spacing w:before="238" w:line="37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十、单位资金</w:t>
      </w:r>
      <w:r>
        <w:rPr>
          <w:rFonts w:ascii="FangSong" w:hAnsi="FangSong" w:eastAsia="FangSong" w:cs="FangSong"/>
          <w:sz w:val="31"/>
          <w:szCs w:val="31"/>
          <w:spacing w:val="8"/>
        </w:rPr>
        <w:t>：是指除政府预算资金和财政专户管理资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金以外的资金，包括事业收入、事业单位经营收入、上级补</w:t>
      </w:r>
    </w:p>
    <w:p>
      <w:pPr>
        <w:ind w:left="34"/>
        <w:spacing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助收入、附属单位上缴收入、其他收入。</w:t>
      </w:r>
    </w:p>
    <w:p>
      <w:pPr>
        <w:ind w:left="684"/>
        <w:spacing w:before="244" w:line="624" w:lineRule="exact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8"/>
          <w:position w:val="23"/>
        </w:rPr>
        <w:t>十一、上年结转</w:t>
      </w:r>
      <w:r>
        <w:rPr>
          <w:rFonts w:ascii="FangSong" w:hAnsi="FangSong" w:eastAsia="FangSong" w:cs="FangSong"/>
          <w:sz w:val="31"/>
          <w:szCs w:val="31"/>
          <w:spacing w:val="8"/>
          <w:position w:val="23"/>
        </w:rPr>
        <w:t>：指以前年度预算安排、结转到本年仍</w:t>
      </w:r>
    </w:p>
    <w:p>
      <w:pPr>
        <w:ind w:left="35"/>
        <w:spacing w:before="1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7"/>
        </w:rPr>
        <w:t>按原规定用途继续使用的资金。</w:t>
      </w:r>
    </w:p>
    <w:sectPr>
      <w:pgSz w:w="11906" w:h="16839"/>
      <w:pgMar w:top="1431" w:right="1696" w:bottom="0" w:left="178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蕾蕾</dc:creator>
  <dcterms:created xsi:type="dcterms:W3CDTF">2023-10-12T11:13:40Z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2023-10-17T11:02:01</vt:filetime>
  </property>
</Properties>
</file>