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873"/>
        <w:spacing w:before="122" w:line="603" w:lineRule="exact"/>
        <w:outlineLvl w:val="0"/>
        <w:rPr>
          <w:sz w:val="43"/>
          <w:szCs w:val="43"/>
        </w:rPr>
      </w:pP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10"/>
          <w:position w:val="3"/>
        </w:rPr>
        <w:t>大同市发展和改革委员会（本级）</w:t>
      </w:r>
    </w:p>
    <w:p>
      <w:pPr>
        <w:pStyle w:val="BodyText"/>
        <w:ind w:left="2358"/>
        <w:spacing w:before="62" w:line="218" w:lineRule="auto"/>
        <w:rPr>
          <w:sz w:val="43"/>
          <w:szCs w:val="43"/>
        </w:rPr>
      </w:pP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6"/>
        </w:rPr>
        <w:t>2021</w:t>
      </w:r>
      <w:r>
        <w:rPr>
          <w:sz w:val="43"/>
          <w:szCs w:val="43"/>
          <w:spacing w:val="-93"/>
        </w:rPr>
        <w:t xml:space="preserve"> </w:t>
      </w:r>
      <w:r>
        <w:rPr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6"/>
        </w:rPr>
        <w:t>年度决算公开</w:t>
      </w:r>
    </w:p>
    <w:p>
      <w:pPr>
        <w:spacing w:line="323" w:lineRule="auto"/>
        <w:rPr>
          <w:rFonts w:ascii="Arial"/>
          <w:sz w:val="21"/>
        </w:rPr>
      </w:pPr>
      <w:r/>
    </w:p>
    <w:p>
      <w:pPr>
        <w:spacing w:line="323" w:lineRule="auto"/>
        <w:rPr>
          <w:rFonts w:ascii="Arial"/>
          <w:sz w:val="21"/>
        </w:rPr>
      </w:pPr>
      <w:r/>
    </w:p>
    <w:p>
      <w:pPr>
        <w:pStyle w:val="BodyText"/>
        <w:ind w:left="3708"/>
        <w:spacing w:before="114" w:line="227" w:lineRule="auto"/>
        <w:rPr>
          <w:sz w:val="35"/>
          <w:szCs w:val="35"/>
        </w:rPr>
      </w:pP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-37"/>
        </w:rPr>
        <w:t>目</w:t>
      </w:r>
      <w:r>
        <w:rPr>
          <w:sz w:val="35"/>
          <w:szCs w:val="35"/>
          <w:spacing w:val="12"/>
        </w:rPr>
        <w:t xml:space="preserve">  </w:t>
      </w:r>
      <w:r>
        <w:rPr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  <w:spacing w:val="-37"/>
        </w:rPr>
        <w:t>录</w:t>
      </w:r>
    </w:p>
    <w:p>
      <w:pPr>
        <w:spacing w:line="425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31"/>
          <w:szCs w:val="31"/>
        </w:rPr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1"/>
          <w:szCs w:val="31"/>
        </w:rPr>
      </w:sdtEndPr>
      <w:sdtContent>
        <w:p>
          <w:pPr>
            <w:pStyle w:val="BodyText"/>
            <w:ind w:left="26"/>
            <w:spacing w:before="101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"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第一部分</w:t>
            </w:r>
            <w:r>
              <w:rPr>
                <w:spacing w:val="8"/>
              </w:rPr>
              <w:t xml:space="preserve"> </w:t>
            </w:r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概况</w:t>
            </w:r>
            <w:r>
              <w:rPr>
                <w:spacing w:val="-100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pacing w:val="19"/>
              </w:rPr>
              <w:t>2</w:t>
            </w:r>
          </w:hyperlink>
        </w:p>
        <w:p>
          <w:pPr>
            <w:pStyle w:val="BodyText"/>
            <w:ind w:left="672"/>
            <w:spacing w:before="304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2">
            <w:r>
              <w:rPr>
                <w:spacing w:val="7"/>
              </w:rPr>
              <w:t>一、主要职能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0"/>
              </w:rPr>
              <w:t>2</w:t>
            </w:r>
          </w:hyperlink>
        </w:p>
        <w:p>
          <w:pPr>
            <w:pStyle w:val="BodyText"/>
            <w:ind w:left="672"/>
            <w:spacing w:before="304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3">
            <w:r>
              <w:rPr>
                <w:spacing w:val="7"/>
              </w:rPr>
              <w:t>二、机构设置情况</w:t>
            </w:r>
            <w:r>
              <w:rPr>
                <w:spacing w:val="-88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12"/>
              </w:rPr>
              <w:t>9</w:t>
            </w:r>
          </w:hyperlink>
        </w:p>
        <w:p>
          <w:pPr>
            <w:pStyle w:val="BodyText"/>
            <w:ind w:left="2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4"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第二部分</w:t>
            </w:r>
            <w:r>
              <w:rPr>
                <w:spacing w:val="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>2021 </w:t>
            </w:r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年度部门决算报表（表格见附件）</w:t>
            </w:r>
            <w:r>
              <w:rPr>
                <w:spacing w:val="-75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</w:rPr>
              <w:t>10</w:t>
            </w:r>
          </w:hyperlink>
        </w:p>
        <w:p>
          <w:pPr>
            <w:pStyle w:val="BodyText"/>
            <w:ind w:left="26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5"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第三部分</w:t>
            </w:r>
            <w:r>
              <w:rPr>
                <w:spacing w:val="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</w:rPr>
              <w:t>2021 </w:t>
            </w:r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年度部门决算情况说明</w:t>
            </w:r>
            <w:r>
              <w:rPr>
                <w:spacing w:val="-91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pacing w:val="25"/>
              </w:rPr>
              <w:t>10</w:t>
            </w:r>
          </w:hyperlink>
        </w:p>
        <w:p>
          <w:pPr>
            <w:pStyle w:val="BodyText"/>
            <w:ind w:left="672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6">
            <w:r>
              <w:rPr>
                <w:spacing w:val="8"/>
              </w:rPr>
              <w:t>一、收入支出决算总体情况说明</w:t>
            </w:r>
            <w:r>
              <w:rPr>
                <w:spacing w:val="-84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35"/>
              </w:rPr>
              <w:t>10</w:t>
            </w:r>
          </w:hyperlink>
        </w:p>
        <w:p>
          <w:pPr>
            <w:pStyle w:val="BodyText"/>
            <w:ind w:left="672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7">
            <w:r>
              <w:rPr>
                <w:spacing w:val="8"/>
              </w:rPr>
              <w:t>二、收入决算情况说明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43"/>
              </w:rPr>
              <w:t>11</w:t>
            </w:r>
          </w:hyperlink>
        </w:p>
        <w:p>
          <w:pPr>
            <w:pStyle w:val="BodyText"/>
            <w:ind w:left="667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8">
            <w:r>
              <w:rPr>
                <w:spacing w:val="8"/>
              </w:rPr>
              <w:t>三、支出决算情况说明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43"/>
              </w:rPr>
              <w:t>11</w:t>
            </w:r>
          </w:hyperlink>
        </w:p>
        <w:p>
          <w:pPr>
            <w:pStyle w:val="BodyText"/>
            <w:ind w:left="697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9">
            <w:r>
              <w:rPr>
                <w:spacing w:val="7"/>
              </w:rPr>
              <w:t>四、财政拨款收入支出决算总体情况说明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7"/>
              </w:rPr>
              <w:t>11</w:t>
            </w:r>
          </w:hyperlink>
        </w:p>
        <w:p>
          <w:pPr>
            <w:pStyle w:val="BodyText"/>
            <w:ind w:left="672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0">
            <w:r>
              <w:rPr>
                <w:spacing w:val="9"/>
              </w:rPr>
              <w:t>五、一般公共预算财政拨款支出决算情况说明</w:t>
            </w:r>
            <w:r>
              <w:rPr>
                <w:spacing w:val="-92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23"/>
              </w:rPr>
              <w:t>11</w:t>
            </w:r>
          </w:hyperlink>
        </w:p>
        <w:p>
          <w:pPr>
            <w:pStyle w:val="BodyText"/>
            <w:ind w:left="669"/>
            <w:spacing w:before="305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1">
            <w:r>
              <w:rPr>
                <w:spacing w:val="9"/>
              </w:rPr>
              <w:t>六、一般公共预算财政拨款基本支出决算情况说明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19"/>
              </w:rPr>
              <w:t>13</w:t>
            </w:r>
          </w:hyperlink>
        </w:p>
        <w:p>
          <w:pPr>
            <w:pStyle w:val="BodyText"/>
            <w:ind w:right="16"/>
            <w:spacing w:before="305" w:line="225" w:lineRule="auto"/>
            <w:jc w:val="right"/>
            <w:rPr/>
          </w:pPr>
          <w:hyperlink w:history="true" w:anchor="bookmark12">
            <w:r>
              <w:rPr>
                <w:spacing w:val="8"/>
              </w:rPr>
              <w:t>七、一般公共预算财政拨款“三公”经费支出决算情况</w:t>
            </w:r>
          </w:hyperlink>
        </w:p>
        <w:p>
          <w:pPr>
            <w:pStyle w:val="BodyText"/>
            <w:ind w:left="671"/>
            <w:spacing w:before="246" w:line="225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r>
            <w:rPr/>
            <w:t>说明</w:t>
          </w:r>
          <w:r>
            <w:rPr>
              <w:spacing w:val="-91"/>
            </w:rPr>
            <w:t xml:space="preserve"> </w:t>
          </w:r>
          <w:r>
            <w:rPr/>
            <w:tab/>
          </w:r>
          <w:r>
            <w:rPr>
              <w:spacing w:val="-89"/>
            </w:rPr>
            <w:t xml:space="preserve"> </w:t>
          </w:r>
          <w:hyperlink w:history="true" w:anchor="bookmark13">
            <w:r>
              <w:rPr>
                <w:rFonts w:ascii="Times New Roman" w:hAnsi="Times New Roman" w:eastAsia="Times New Roman" w:cs="Times New Roman"/>
                <w:spacing w:val="-14"/>
              </w:rPr>
              <w:t>1</w:t>
            </w:r>
          </w:hyperlink>
          <w:r>
            <w:rPr>
              <w:rFonts w:ascii="Times New Roman" w:hAnsi="Times New Roman" w:eastAsia="Times New Roman" w:cs="Times New Roman"/>
              <w:spacing w:val="-14"/>
            </w:rPr>
            <w:t>4</w:t>
          </w:r>
        </w:p>
        <w:p>
          <w:pPr>
            <w:pStyle w:val="BodyText"/>
            <w:ind w:left="672"/>
            <w:spacing w:before="246" w:line="190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4">
            <w:r>
              <w:rPr>
                <w:spacing w:val="8"/>
              </w:rPr>
              <w:t>八、其他重要事项情况说明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spacing w:val="39"/>
              </w:rPr>
              <w:t>14</w:t>
            </w:r>
          </w:hyperlink>
        </w:p>
        <w:p>
          <w:pPr>
            <w:pStyle w:val="BodyText"/>
            <w:ind w:left="26"/>
            <w:spacing w:before="305" w:line="225" w:lineRule="auto"/>
            <w:tabs>
              <w:tab w:val="right" w:leader="dot" w:pos="8319"/>
            </w:tabs>
            <w:rPr>
              <w:rFonts w:ascii="Times New Roman" w:hAnsi="Times New Roman" w:eastAsia="Times New Roman" w:cs="Times New Roman"/>
            </w:rPr>
          </w:pPr>
          <w:hyperlink w:history="true" w:anchor="bookmark15">
            <w:r>
              <w:rPr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9"/>
              </w:rPr>
              <w:t>第四部分名词解释</w:t>
            </w:r>
            <w:r>
              <w:rPr>
                <w:spacing w:val="-98"/>
              </w:rPr>
              <w:t xml:space="preserve"> </w:t>
            </w:r>
            <w:r>
              <w:rPr/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</w:rPr>
              <w:t>17</w:t>
            </w:r>
          </w:hyperlink>
        </w:p>
      </w:sdtContent>
    </w:sdt>
    <w:p>
      <w:pPr>
        <w:spacing w:line="225" w:lineRule="auto"/>
        <w:sectPr>
          <w:pgSz w:w="11906" w:h="16839"/>
          <w:pgMar w:top="1431" w:right="1785" w:bottom="0" w:left="1785" w:header="0" w:footer="0" w:gutter="0"/>
        </w:sectPr>
        <w:rPr>
          <w:rFonts w:ascii="Times New Roman" w:hAnsi="Times New Roman" w:eastAsia="Times New Roman" w:cs="Times New Roman"/>
        </w:rPr>
      </w:pPr>
    </w:p>
    <w:p>
      <w:pPr>
        <w:ind w:left="61"/>
        <w:spacing w:before="163" w:line="226" w:lineRule="auto"/>
        <w:outlineLvl w:val="0"/>
        <w:rPr>
          <w:rFonts w:ascii="FangSong" w:hAnsi="FangSong" w:eastAsia="FangSong" w:cs="FangSong"/>
          <w:sz w:val="43"/>
          <w:szCs w:val="43"/>
        </w:rPr>
      </w:pPr>
      <w:bookmarkStart w:name="bookmark1" w:id="1"/>
      <w:bookmarkEnd w:id="1"/>
      <w:bookmarkStart w:name="bookmark2" w:id="2"/>
      <w:bookmarkEnd w:id="2"/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第一部分</w:t>
      </w:r>
      <w:r>
        <w:rPr>
          <w:rFonts w:ascii="FangSong" w:hAnsi="FangSong" w:eastAsia="FangSong" w:cs="FangSong"/>
          <w:sz w:val="43"/>
          <w:szCs w:val="43"/>
          <w:spacing w:val="33"/>
        </w:rPr>
        <w:t xml:space="preserve"> </w:t>
      </w:r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概况</w:t>
      </w:r>
    </w:p>
    <w:p>
      <w:pPr>
        <w:spacing w:line="447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0" w:line="226" w:lineRule="auto"/>
        <w:outlineLvl w:val="1"/>
        <w:rPr/>
      </w:pP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一、主要职能</w:t>
      </w:r>
    </w:p>
    <w:p>
      <w:pPr>
        <w:spacing w:line="418" w:lineRule="auto"/>
        <w:rPr>
          <w:rFonts w:ascii="Arial"/>
          <w:sz w:val="21"/>
        </w:rPr>
      </w:pPr>
      <w:r/>
    </w:p>
    <w:p>
      <w:pPr>
        <w:ind w:left="35" w:right="14" w:firstLine="645"/>
        <w:spacing w:before="101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（一）拟定并组织实施全市国民经济和社会发展战略、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中长期规划和年度计划，统筹协调经济社会发展，研究分析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市内外经济形势，提出全市国民经济发展、价格总水平调控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和优化经济结构的目标、政策，提出综合运用各种经济手段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和政策的建议，受市人民政府委托向市人大提交国民经济和</w:t>
      </w:r>
    </w:p>
    <w:p>
      <w:pPr>
        <w:ind w:left="3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社会发展计划的报告。</w:t>
      </w:r>
    </w:p>
    <w:p>
      <w:pPr>
        <w:ind w:left="76" w:right="16" w:firstLine="604"/>
        <w:spacing w:before="175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（二）组织编制全市国民经济动员规划、计划，研究国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民经济动员与国民经济、国防建设的关系，协调相关重</w:t>
      </w:r>
      <w:r>
        <w:rPr>
          <w:rFonts w:ascii="FangSong" w:hAnsi="FangSong" w:eastAsia="FangSong" w:cs="FangSong"/>
          <w:sz w:val="31"/>
          <w:szCs w:val="31"/>
          <w:spacing w:val="6"/>
        </w:rPr>
        <w:t>大问</w:t>
      </w:r>
    </w:p>
    <w:p>
      <w:pPr>
        <w:ind w:left="36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题，组织实施国民经济动员有关工作。</w:t>
      </w:r>
    </w:p>
    <w:p>
      <w:pPr>
        <w:ind w:left="34" w:right="16" w:firstLine="646"/>
        <w:spacing w:before="183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（三）监测全市宏观经济和社会发展态势，承担预测预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警和信息引导的责任，研究宏观经济运行、总量平衡、全市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1"/>
        </w:rPr>
        <w:t>经济安全和总体产业安全等重要问题并提出宏观调控政策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建议。加强对宏观经济运行和社会发展情况的跟踪监测和分</w:t>
      </w:r>
    </w:p>
    <w:p>
      <w:pPr>
        <w:ind w:left="34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析。</w:t>
      </w:r>
    </w:p>
    <w:p>
      <w:pPr>
        <w:ind w:left="51" w:right="16" w:firstLine="629"/>
        <w:spacing w:before="18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（四）监测、分析经济运行态势，进行预测、预警和信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息引导，协调解决经济运行中的重大问题并提出政策和建</w:t>
      </w:r>
    </w:p>
    <w:p>
      <w:pPr>
        <w:ind w:left="34"/>
        <w:spacing w:before="1"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议。</w:t>
      </w:r>
    </w:p>
    <w:p>
      <w:pPr>
        <w:ind w:left="35" w:right="14" w:firstLine="645"/>
        <w:spacing w:before="178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（五）承担指导推进和综合协调全市经济体制改革的责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任，研究经济体制改革和对外开放的重大问题，组织拟定综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合性经济体制改革方案，协调有关专项经济体制改革方案，</w:t>
      </w:r>
    </w:p>
    <w:p>
      <w:pPr>
        <w:ind w:left="34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研究提出优化所有制结构和企业组织结构的政策建议，指导</w:t>
      </w:r>
    </w:p>
    <w:p>
      <w:pPr>
        <w:spacing w:line="227" w:lineRule="auto"/>
        <w:sectPr>
          <w:pgSz w:w="11906" w:h="16839"/>
          <w:pgMar w:top="1431" w:right="1785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5"/>
        <w:spacing w:before="183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经济体制改革试点和改革试验区工作。</w:t>
      </w:r>
    </w:p>
    <w:p>
      <w:pPr>
        <w:ind w:left="38" w:right="102" w:firstLine="641"/>
        <w:spacing w:before="179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（六）研究起草全市国民经济和社会发展、经济体制改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革、对外开放的地方性法规规章草案。指导和协调全市招标</w:t>
      </w:r>
    </w:p>
    <w:p>
      <w:pPr>
        <w:ind w:left="34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投标工作。</w:t>
      </w:r>
    </w:p>
    <w:p>
      <w:pPr>
        <w:ind w:left="35" w:right="105" w:firstLine="645"/>
        <w:spacing w:before="18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（七）负责对涉刑事案件、纪检监察、涉税司法和行政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机关办理的案件和刑事诉讼、复议及处罚案件等工作中涉及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的价格不明或有争议的有形财产、无形资产进行价格确认；</w:t>
      </w:r>
    </w:p>
    <w:p>
      <w:pPr>
        <w:ind w:left="35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承担价格鉴定、评估的管理和监督工作。</w:t>
      </w:r>
    </w:p>
    <w:p>
      <w:pPr>
        <w:ind w:left="34" w:right="102" w:firstLine="646"/>
        <w:spacing w:before="188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2"/>
        </w:rPr>
        <w:t>（八）承担规划全市重大建设项目和生产力布局的责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1"/>
        </w:rPr>
        <w:t>任，拟定全社会固定资产投资总规模和投资结构的调控目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标、政策及措施，衔接平衡需要安排政府投资和涉及重大建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设项目的专项规划。安排市级财政性建设资金，安排市人民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政府出资的建设项目和重大建设项目；按省及市人民政府规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定权限审批、核准、审核重大建设项目、重大外资项目、境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外资源开发类重大投资项目和大额用汇投资项目。指导和监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督国外贷款建设资金的使用，引导民间投资的方向，研究提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出利用外资和境外投资的战略、规划、总量平衡和结构优化</w:t>
      </w:r>
    </w:p>
    <w:p>
      <w:pPr>
        <w:ind w:left="53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的目标和政策；指导工程咨询业发展。</w:t>
      </w:r>
    </w:p>
    <w:p>
      <w:pPr>
        <w:ind w:left="36" w:firstLine="644"/>
        <w:spacing w:before="18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（九）推进全市经济结构战略性调整。组织拟定综合性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产业政策，负责协调第一、二、三产业发展的重大问题并衔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接平衡相关发展规划和重大政策，做好与国民经济和社会发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展规划、计划的衔接平衡；组织拟定并协调跨地区、跨部门、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跨行业以及需要市综合平衡的工业专项规划、重大生产力布</w:t>
      </w:r>
    </w:p>
    <w:p>
      <w:pPr>
        <w:ind w:left="40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局和重大产业基地，按规定权限审核工业重大建设项目和大</w:t>
      </w:r>
    </w:p>
    <w:p>
      <w:pPr>
        <w:spacing w:line="227" w:lineRule="auto"/>
        <w:sectPr>
          <w:pgSz w:w="11906" w:h="16839"/>
          <w:pgMar w:top="1431" w:right="1696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5" w:right="102" w:firstLine="14"/>
        <w:spacing w:before="187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型企业集团发展规划，统筹城乡发展，协调农业和农村经济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社会发展的重大问题；会同有关部门拟定服务业发展战略和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重大政策，拟定现代物流业发展战略、规划；组织拟定高新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技术产业发展、产业技术进步的战略、规划和政策，协调解</w:t>
      </w:r>
    </w:p>
    <w:p>
      <w:pPr>
        <w:ind w:left="36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决重大技术装备推广应用等方面的重大问题。</w:t>
      </w:r>
    </w:p>
    <w:p>
      <w:pPr>
        <w:ind w:left="37" w:right="103" w:firstLine="642"/>
        <w:spacing w:before="175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（十）承担全市重要商品总量平衡和宏观调控的责任，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编制重要农产品、工业品和原材料进出口总量计划并监督执</w:t>
      </w:r>
    </w:p>
    <w:p>
      <w:pPr>
        <w:ind w:left="37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行，根据经济运行情况对进出口总量计划进行调整。</w:t>
      </w:r>
    </w:p>
    <w:p>
      <w:pPr>
        <w:ind w:left="36" w:firstLine="644"/>
        <w:spacing w:before="175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（十一）汇总分析全市财政、金融等方面的情况，参与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制定财政政策和土地政策。执行国家价格政策，拟定并组织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实施地方性价格法规、规章、和规划草案，设计和论证价格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改革方案；协调信用体系建设；综合分析财政、金融、土地、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产业、价格和投融资政策的执行效果；负责全市全口径外债</w:t>
      </w:r>
    </w:p>
    <w:p>
      <w:pPr>
        <w:ind w:left="53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的总量控制、结构优化和监测工作。</w:t>
      </w:r>
    </w:p>
    <w:p>
      <w:pPr>
        <w:ind w:left="35" w:right="102" w:firstLine="645"/>
        <w:spacing w:before="177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（十二）提出全市县域经济协调发展的规划，推进地区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经济合作。组织实施国家促进中部地区崛起及享受国家振兴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东北地区等老工业基地、西部地区开发的战略、规划和重大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政策。研究提出城镇化发展规划和重大政策，负责县域经济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协作的统筹协调，推动全市资源型城市转型和可持续发展。</w:t>
      </w:r>
    </w:p>
    <w:p>
      <w:pPr>
        <w:ind w:left="37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编制实施以工代赈计划。</w:t>
      </w:r>
    </w:p>
    <w:p>
      <w:pPr>
        <w:ind w:left="36" w:right="102" w:firstLine="644"/>
        <w:spacing w:before="18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9"/>
        </w:rPr>
        <w:t>（十三）</w:t>
      </w:r>
      <w:r>
        <w:rPr>
          <w:rFonts w:ascii="FangSong" w:hAnsi="FangSong" w:eastAsia="FangSong" w:cs="FangSong"/>
          <w:sz w:val="31"/>
          <w:szCs w:val="31"/>
          <w:spacing w:val="-8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9"/>
        </w:rPr>
        <w:t>负责全市社会发展与国民经济发展的政策衔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接；组织拟定社会发展战略、总体规划和年度计划；参与拟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定人口和计划生育、科学技术、教育、卫生、文化、</w:t>
      </w:r>
      <w:r>
        <w:rPr>
          <w:rFonts w:ascii="FangSong" w:hAnsi="FangSong" w:eastAsia="FangSong" w:cs="FangSong"/>
          <w:sz w:val="31"/>
          <w:szCs w:val="31"/>
          <w:spacing w:val="-8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民</w:t>
      </w:r>
      <w:r>
        <w:rPr>
          <w:rFonts w:ascii="FangSong" w:hAnsi="FangSong" w:eastAsia="FangSong" w:cs="FangSong"/>
          <w:sz w:val="31"/>
          <w:szCs w:val="31"/>
          <w:spacing w:val="5"/>
        </w:rPr>
        <w:t>政等</w:t>
      </w:r>
    </w:p>
    <w:p>
      <w:pPr>
        <w:ind w:left="44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发展政策，推进社会事业建设；研究提出促进就业、调整收</w:t>
      </w:r>
    </w:p>
    <w:p>
      <w:pPr>
        <w:spacing w:line="227" w:lineRule="auto"/>
        <w:sectPr>
          <w:pgSz w:w="11906" w:h="16839"/>
          <w:pgMar w:top="1431" w:right="1696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5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入分配、完善社会保障与经济协调发展的政策建议；协调社</w:t>
      </w:r>
    </w:p>
    <w:p>
      <w:pPr>
        <w:ind w:left="4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会事业发展和改革中的重大问题及政策。</w:t>
      </w:r>
    </w:p>
    <w:p>
      <w:pPr>
        <w:ind w:left="35" w:right="111" w:firstLine="645"/>
        <w:spacing w:before="173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（十四）推进可持续发展战略。负责全市节能减排综合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协调工作，具体负责第一产业、第三产业（不含房地产业）</w:t>
      </w:r>
      <w:r>
        <w:rPr>
          <w:rFonts w:ascii="FangSong" w:hAnsi="FangSong" w:eastAsia="FangSong" w:cs="FangSong"/>
          <w:sz w:val="31"/>
          <w:szCs w:val="31"/>
          <w:spacing w:val="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节能工作；组织拟定发展循环经济、全社会能源资源节约和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综合利用规划及政策措施并协调实施；参与编制生态建设、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环境保护规划；协调生态建设、能源资源节约和综合利用的</w:t>
      </w:r>
    </w:p>
    <w:p>
      <w:pPr>
        <w:ind w:left="45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重大问题，综合协调环保产业和清洁生产促进有关工作。</w:t>
      </w:r>
    </w:p>
    <w:p>
      <w:pPr>
        <w:ind w:left="36" w:right="8" w:firstLine="644"/>
        <w:spacing w:before="176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（十五）研究涉及能源发展的重大规划、政策和投资项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1"/>
        </w:rPr>
        <w:t>目管理等；统筹能源规划与国民经济和社会发展规划的衔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接，提出协调发展的政策建议；组织制定能源发展综合规划、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政策、审核能源专项规划；按规定权限审批、核准能源类固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定资产投资项目；组织能源类中央预算内投资项目申报有关</w:t>
      </w:r>
    </w:p>
    <w:p>
      <w:pPr>
        <w:ind w:left="42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工作；分析能源发展动态和趋势，协调综合性重大问题。</w:t>
      </w:r>
    </w:p>
    <w:p>
      <w:pPr>
        <w:ind w:left="44" w:right="113" w:firstLine="636"/>
        <w:spacing w:before="179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（十六）建立市场价格监测体系，完善价格信息网络；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监测、预测价格总水平变动；提出价格总水平控制目标及价</w:t>
      </w:r>
    </w:p>
    <w:p>
      <w:pPr>
        <w:spacing w:before="1" w:line="225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格调控措施，建立和完善价格管理制度；完善信息发布制度。</w:t>
      </w:r>
    </w:p>
    <w:p>
      <w:pPr>
        <w:ind w:left="36" w:right="111" w:firstLine="644"/>
        <w:spacing w:before="186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（十七）执行政府管理的重要商品和服务项目价格，制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定和调整市管重要商品、服务项目相关价格和收费标准；负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责价格调节基金的征收、管理、使用工作；组织清理整顿乱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收费工作；组织制定经济适用住房、廉租住房等享受政府优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惠政策住房价格政策、作价办法及相关价格；组织重要商品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价格和服务价格政府定价听证会；负责涉外商品价格管理工</w:t>
      </w:r>
    </w:p>
    <w:p>
      <w:pPr>
        <w:ind w:left="40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作；参与拟定粮食、经济作物、农业生产资料等政府补贴标</w:t>
      </w:r>
    </w:p>
    <w:p>
      <w:pPr>
        <w:spacing w:line="225" w:lineRule="auto"/>
        <w:sectPr>
          <w:pgSz w:w="11906" w:h="16839"/>
          <w:pgMar w:top="1431" w:right="1688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8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准。组织对主要农产品、重要商品和服务项目价格的成本调</w:t>
      </w:r>
    </w:p>
    <w:p>
      <w:pPr>
        <w:ind w:left="37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查及定价成本监审工作。</w:t>
      </w:r>
    </w:p>
    <w:p>
      <w:pPr>
        <w:ind w:left="35" w:right="111" w:firstLine="645"/>
        <w:spacing w:before="178" w:line="33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（十八）贯彻落实国家关于粮食流通和物资储备工作的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法律法规和规章。起草全市粮食流通和物资储备管理的地方</w:t>
      </w:r>
      <w:r>
        <w:rPr>
          <w:rFonts w:ascii="FangSong" w:hAnsi="FangSong" w:eastAsia="FangSong" w:cs="FangSong"/>
          <w:sz w:val="31"/>
          <w:szCs w:val="31"/>
          <w:spacing w:val="1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性法规、规章草案和有关政策并监督执行。研究提出全市粮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食流通和物资储备体制改革方案并组织实施。负责粮食和物</w:t>
      </w:r>
    </w:p>
    <w:p>
      <w:pPr>
        <w:ind w:left="51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资储备的对外合作与交流。</w:t>
      </w:r>
    </w:p>
    <w:p>
      <w:pPr>
        <w:ind w:left="34" w:right="111" w:firstLine="646"/>
        <w:spacing w:before="185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（十九）承担全市粮食流通宏观调控的具体工作。研究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提出全市粮食（含食用油）宏观调控、总量平衡以及粮食流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通的中长期规划、进出口计划和收储、动用市级储备粮的建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议。研究提出粮食购销政策和最低收购价原则的建议并组织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实施。指导协调政策性粮食购销和粮食产销合作。承担粮食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监测预警和应急责任。负责全市粮食流通统计工作，并对执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行情况进行监督检查。承担全市军粮供应的相关工作。承担</w:t>
      </w:r>
    </w:p>
    <w:p>
      <w:pPr>
        <w:ind w:left="36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粮食安全市长责任制考核日常工作。</w:t>
      </w:r>
    </w:p>
    <w:p>
      <w:pPr>
        <w:ind w:left="31" w:right="113" w:firstLine="648"/>
        <w:spacing w:before="185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（二十）负责粮食流通行业管理。制定行业发展规划、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政策，拟订市地方粮食流通有关标准、粮食质量标准，制定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有关技术规范并监督执行。开展粮食收获质量调查和品质测</w:t>
      </w:r>
    </w:p>
    <w:p>
      <w:pPr>
        <w:spacing w:before="1" w:line="225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报。负责全市粮食流通、加工行业安全生产工作的监督管</w:t>
      </w:r>
      <w:r>
        <w:rPr>
          <w:rFonts w:ascii="FangSong" w:hAnsi="FangSong" w:eastAsia="FangSong" w:cs="FangSong"/>
          <w:sz w:val="31"/>
          <w:szCs w:val="31"/>
        </w:rPr>
        <w:t>理。</w:t>
      </w:r>
    </w:p>
    <w:p>
      <w:pPr>
        <w:ind w:left="34" w:right="111" w:firstLine="646"/>
        <w:spacing w:before="183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（二十一）管理市级粮食、棉花、食糖储备。负责市级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储备粮棉行政管理。会同有关部门研究提出市级储备粮棉糖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的规模、总体布局和收购、销售、进出口总量计划及动用建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议。提出县级储备粮规模建议。贯彻落实国家制定的粮棉糖</w:t>
      </w:r>
    </w:p>
    <w:p>
      <w:pPr>
        <w:ind w:left="41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仓储管理有关技术标准和规范，拟订市地方粮棉糖储备有关</w:t>
      </w:r>
    </w:p>
    <w:p>
      <w:pPr>
        <w:spacing w:line="225" w:lineRule="auto"/>
        <w:sectPr>
          <w:pgSz w:w="11906" w:h="16839"/>
          <w:pgMar w:top="1431" w:right="1688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4"/>
        <w:spacing w:before="183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标准、技术规范并监督执行。</w:t>
      </w:r>
    </w:p>
    <w:p>
      <w:pPr>
        <w:ind w:left="35" w:right="13" w:firstLine="645"/>
        <w:spacing w:before="187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（二十二）负责市级重要物资和应急储备物资的管理，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建立健全生活必需品市场供应应急管理机制，按分工负责重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要消费品储备管理和市场调控工作；研究提出市级重要物资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储备规划、储备品种目录的建议。根据全市储备总体发展规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划和品种目录，组织实施市级重要物资和应急储备物资的收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储、轮换和日常管理，落实有关动用计划和指令。贯彻落实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国家制定的物资储备仓储管理有关技术标准和规范，拟订市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地方物资储备有关标准、技术规范并监督执行。监测重要物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资供求变化并预测预警。承担市级物资储备单位安全生产的</w:t>
      </w:r>
    </w:p>
    <w:p>
      <w:pPr>
        <w:ind w:left="44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监管责任。</w:t>
      </w:r>
    </w:p>
    <w:p>
      <w:pPr>
        <w:ind w:left="36" w:right="13" w:firstLine="644"/>
        <w:spacing w:before="172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（二十三）负责储备基础设施建设和管理。根据全市储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备总体发展规划，拟订全市储备基础设施、粮食流通设施规</w:t>
      </w:r>
      <w:r>
        <w:rPr>
          <w:rFonts w:ascii="FangSong" w:hAnsi="FangSong" w:eastAsia="FangSong" w:cs="FangSong"/>
          <w:sz w:val="31"/>
          <w:szCs w:val="31"/>
          <w:spacing w:val="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划和全市粮食市场体系、粮食现代物流体系、粮食质量监测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体系建设与发展规划并组织实施，管理有关储备基础设施、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粮食流通设施、粮食现代物流体系和粮食质量监测体系国家</w:t>
      </w:r>
    </w:p>
    <w:p>
      <w:pPr>
        <w:ind w:left="35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和市投资项目。</w:t>
      </w:r>
    </w:p>
    <w:p>
      <w:pPr>
        <w:ind w:left="36" w:right="13" w:firstLine="644"/>
        <w:spacing w:before="174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（二十四）负责对管理的政府储备、企业储备以及储备</w:t>
      </w:r>
      <w:r>
        <w:rPr>
          <w:rFonts w:ascii="FangSong" w:hAnsi="FangSong" w:eastAsia="FangSong" w:cs="FangSong"/>
          <w:sz w:val="31"/>
          <w:szCs w:val="31"/>
          <w:spacing w:val="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政策落实情况进行监督检查。制定粮食流通、粮食库存监督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检查制度，负责粮食流通监督检查，负责粮食收购、储存、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运输环节粮食质量安全和原粮卫生的监督管理，组织实施全</w:t>
      </w:r>
    </w:p>
    <w:p>
      <w:pPr>
        <w:ind w:left="44"/>
        <w:spacing w:before="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市粮食库存检查工作。</w:t>
      </w:r>
    </w:p>
    <w:p>
      <w:pPr>
        <w:ind w:right="16"/>
        <w:spacing w:before="182" w:line="559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（二十五）执行国家、省战略物资储备规划，组织实施</w:t>
      </w:r>
    </w:p>
    <w:p>
      <w:pPr>
        <w:ind w:left="45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重要物资和应急储备物资收储、轮换和日常管理职责。会同</w:t>
      </w:r>
    </w:p>
    <w:p>
      <w:pPr>
        <w:spacing w:line="224" w:lineRule="auto"/>
        <w:sectPr>
          <w:pgSz w:w="11906" w:h="16839"/>
          <w:pgMar w:top="1431" w:right="1785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1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17"/>
        </w:rPr>
        <w:t>有关部门管理国家粮食、棉花、食糖等储备</w:t>
      </w: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，负责全市应急</w:t>
      </w:r>
    </w:p>
    <w:p>
      <w:pPr>
        <w:ind w:left="36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物资相关的储运设施建设项目管理。</w:t>
      </w:r>
    </w:p>
    <w:p>
      <w:pPr>
        <w:ind w:left="680"/>
        <w:spacing w:before="179" w:line="56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（二十六）完成市委、市政府交办的其他任务。</w:t>
      </w:r>
    </w:p>
    <w:p>
      <w:pPr>
        <w:ind w:left="680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（二十七）职能转变。</w:t>
      </w:r>
    </w:p>
    <w:p>
      <w:pPr>
        <w:spacing w:before="183" w:line="559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  <w:position w:val="17"/>
        </w:rPr>
        <w:t>1、市发展和改革委员会要进一步完善和加强宏观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调控，</w:t>
      </w:r>
    </w:p>
    <w:p>
      <w:pPr>
        <w:ind w:left="37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深化经济体制改革，减少微观管理事务和具体审批事项。</w:t>
      </w:r>
    </w:p>
    <w:p>
      <w:pPr>
        <w:ind w:left="669"/>
        <w:spacing w:before="182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  <w:position w:val="17"/>
        </w:rPr>
        <w:t>2、加强宏观调控。加强宏观经济和社会发展的预测预</w:t>
      </w:r>
    </w:p>
    <w:p>
      <w:pPr>
        <w:ind w:left="34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警和运行解决宏观经济运行中的重大问题。</w:t>
      </w:r>
    </w:p>
    <w:p>
      <w:pPr>
        <w:ind w:right="74"/>
        <w:spacing w:before="179" w:line="561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  <w:position w:val="18"/>
        </w:rPr>
        <w:t>3、推进经济体制改革。统筹综合性经济体制改革，协</w:t>
      </w:r>
    </w:p>
    <w:p>
      <w:pPr>
        <w:ind w:left="35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调推进专项经济体制改革。</w:t>
      </w:r>
    </w:p>
    <w:p>
      <w:pPr>
        <w:ind w:left="41" w:right="88" w:firstLine="623"/>
        <w:spacing w:before="178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4、强化发展规划的引导和约束作用。建立健全科学制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定、有效实施、及时评估和动态调整发展规划的制度机制，</w:t>
      </w:r>
    </w:p>
    <w:p>
      <w:pPr>
        <w:ind w:left="45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强化发展规划的约束和导向作用。</w:t>
      </w:r>
    </w:p>
    <w:p>
      <w:pPr>
        <w:ind w:left="36" w:right="88" w:firstLine="636"/>
        <w:spacing w:before="180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5、加强事中事后监管。加强对执行投资政策和规定情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况的跟踪检查，加强对全省重点工程建设的协调、服务、监</w:t>
      </w:r>
    </w:p>
    <w:p>
      <w:pPr>
        <w:ind w:left="44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督、管理。</w:t>
      </w:r>
    </w:p>
    <w:p>
      <w:pPr>
        <w:ind w:left="35" w:right="88" w:firstLine="633"/>
        <w:spacing w:before="174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6、充分发挥市场在资源配置中的决定性作用，进一步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精简行政审批，减少环节、简化程序、提高效率，大幅度降</w:t>
      </w:r>
    </w:p>
    <w:p>
      <w:pPr>
        <w:ind w:left="35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低制度性交易成本。</w:t>
      </w:r>
    </w:p>
    <w:p>
      <w:pPr>
        <w:ind w:left="35" w:right="88" w:firstLine="638"/>
        <w:spacing w:before="183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7、改革完善储备体系和运营方式，加强省级储备，完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善市县级储备，进一步发挥政府储备引导作用，鼓励企业商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业储备，推动形成省级储备与市县级储备、政府储备与企业</w:t>
      </w:r>
    </w:p>
    <w:p>
      <w:pPr>
        <w:ind w:left="3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储备互为补充的协同发展格局。</w:t>
      </w:r>
    </w:p>
    <w:p>
      <w:pPr>
        <w:ind w:left="667"/>
        <w:spacing w:before="17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8、加强市场分析预测和监测预警，充分运用大数据等</w:t>
      </w:r>
    </w:p>
    <w:p>
      <w:pPr>
        <w:spacing w:line="227" w:lineRule="auto"/>
        <w:sectPr>
          <w:pgSz w:w="11906" w:h="16839"/>
          <w:pgMar w:top="1431" w:right="1711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6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科技手段，强化动态监控，提高储备防风险能力，增强储备</w:t>
      </w:r>
    </w:p>
    <w:p>
      <w:pPr>
        <w:ind w:left="37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在保障国家安全、稳定社会预期、引导市场方面的作用。</w:t>
      </w:r>
    </w:p>
    <w:p>
      <w:pPr>
        <w:ind w:left="35" w:firstLine="632"/>
        <w:spacing w:before="179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9、加强监督管理，创新监管方式，全面推进“双随机、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一公开</w:t>
      </w:r>
      <w:r>
        <w:rPr>
          <w:rFonts w:ascii="FangSong" w:hAnsi="FangSong" w:eastAsia="FangSong" w:cs="FangSong"/>
          <w:sz w:val="31"/>
          <w:szCs w:val="31"/>
          <w:spacing w:val="-10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”和“互联网＋监管</w:t>
      </w:r>
      <w:r>
        <w:rPr>
          <w:rFonts w:ascii="FangSong" w:hAnsi="FangSong" w:eastAsia="FangSong" w:cs="FangSong"/>
          <w:sz w:val="31"/>
          <w:szCs w:val="31"/>
          <w:spacing w:val="-1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”，着力加强安全生产，根据省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级储备总体发展规划和品种目录及动用指令，监督储备主体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做好收储、轮换，确保省级储备物资收得进、储得好、调得</w:t>
      </w:r>
    </w:p>
    <w:p>
      <w:pPr>
        <w:ind w:left="38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动、用得上。</w:t>
      </w:r>
    </w:p>
    <w:p>
      <w:pPr>
        <w:ind w:left="680"/>
        <w:spacing w:before="176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（二十八）有关职责分工。</w:t>
      </w:r>
    </w:p>
    <w:p>
      <w:pPr>
        <w:ind w:left="688"/>
        <w:spacing w:before="177" w:line="56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与市工业和信息化局、市应急管理局、市能源</w:t>
      </w:r>
      <w:r>
        <w:rPr>
          <w:rFonts w:ascii="FangSong" w:hAnsi="FangSong" w:eastAsia="FangSong" w:cs="FangSong"/>
          <w:sz w:val="31"/>
          <w:szCs w:val="31"/>
          <w:spacing w:val="7"/>
          <w:position w:val="18"/>
        </w:rPr>
        <w:t>局的职责</w:t>
      </w:r>
    </w:p>
    <w:p>
      <w:pPr>
        <w:ind w:left="38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分工按其“三定</w:t>
      </w:r>
      <w:r>
        <w:rPr>
          <w:rFonts w:ascii="FangSong" w:hAnsi="FangSong" w:eastAsia="FangSong" w:cs="FangSong"/>
          <w:sz w:val="31"/>
          <w:szCs w:val="31"/>
          <w:spacing w:val="-1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”规定执行。</w:t>
      </w:r>
    </w:p>
    <w:p>
      <w:pPr>
        <w:spacing w:line="316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4" w:lineRule="auto"/>
        <w:outlineLvl w:val="1"/>
        <w:rPr/>
      </w:pPr>
      <w:bookmarkStart w:name="bookmark3" w:id="3"/>
      <w:bookmarkEnd w:id="3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二、机构设置情况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ind w:left="679"/>
        <w:spacing w:before="10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大同市发展和改革委员会（本级）</w:t>
      </w:r>
      <w:r>
        <w:rPr>
          <w:rFonts w:ascii="FangSong" w:hAnsi="FangSong" w:eastAsia="FangSong" w:cs="FangSong"/>
          <w:sz w:val="31"/>
          <w:szCs w:val="31"/>
          <w:spacing w:val="-8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内设科室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33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个。</w:t>
      </w:r>
    </w:p>
    <w:p>
      <w:pPr>
        <w:ind w:left="34" w:firstLine="654"/>
        <w:spacing w:before="18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包括：市委财经秘书科、党组办公室（党建办公室</w:t>
      </w:r>
      <w:r>
        <w:rPr>
          <w:rFonts w:ascii="FangSong" w:hAnsi="FangSong" w:eastAsia="FangSong" w:cs="FangSong"/>
          <w:sz w:val="31"/>
          <w:szCs w:val="31"/>
          <w:spacing w:val="9"/>
        </w:rPr>
        <w:t>）、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办公室、编制人事科、政策法规科、国民经济综合科、经济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运行科、经济体制改革科、固定资产投资科、工业经济和信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息化科、农村经济科财政金融科、固定资产投资科、工业经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济和信息化科、农村经济科、财政金融科、服务业科、创新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发展科、资源节约和环境保护科、社会发展科、交通运输科、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0"/>
        </w:rPr>
        <w:t>地区经济科、以工代赈办公室、对外经济科、能源发展科、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就业和收入分配科、信用科、规划科、收费管理科、商品价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格科、价格调控科、粮食与物资储备科（粮食储备科）、应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急物资管理科（物资与能源储备科）、安全生产科（安全仓</w:t>
      </w:r>
    </w:p>
    <w:p>
      <w:pPr>
        <w:ind w:left="36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储与科技科）、执法监督科、市国防动员委员会国民经济动</w:t>
      </w:r>
    </w:p>
    <w:p>
      <w:pPr>
        <w:spacing w:line="226" w:lineRule="auto"/>
        <w:sectPr>
          <w:pgSz w:w="11906" w:h="16839"/>
          <w:pgMar w:top="1431" w:right="1696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60"/>
        <w:spacing w:before="184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员办公室、老干科。</w:t>
      </w:r>
    </w:p>
    <w:p>
      <w:pPr>
        <w:spacing w:line="353" w:lineRule="auto"/>
        <w:rPr>
          <w:rFonts w:ascii="Arial"/>
          <w:sz w:val="21"/>
        </w:rPr>
      </w:pPr>
      <w:r/>
    </w:p>
    <w:p>
      <w:pPr>
        <w:ind w:left="61"/>
        <w:spacing w:before="139" w:line="226" w:lineRule="auto"/>
        <w:outlineLvl w:val="0"/>
        <w:rPr>
          <w:rFonts w:ascii="FangSong" w:hAnsi="FangSong" w:eastAsia="FangSong" w:cs="FangSong"/>
          <w:sz w:val="43"/>
          <w:szCs w:val="43"/>
        </w:rPr>
      </w:pPr>
      <w:bookmarkStart w:name="bookmark4" w:id="4"/>
      <w:bookmarkEnd w:id="4"/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第二部分</w:t>
      </w:r>
      <w:r>
        <w:rPr>
          <w:rFonts w:ascii="FangSong" w:hAnsi="FangSong" w:eastAsia="FangSong" w:cs="FangSong"/>
          <w:sz w:val="43"/>
          <w:szCs w:val="43"/>
          <w:spacing w:val="6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6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62"/>
        </w:rPr>
        <w:t xml:space="preserve"> </w:t>
      </w:r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6"/>
        </w:rPr>
        <w:t>年度部门决算报表（表格见</w:t>
      </w:r>
    </w:p>
    <w:p>
      <w:pPr>
        <w:ind w:left="61"/>
        <w:spacing w:before="224" w:line="226" w:lineRule="auto"/>
        <w:rPr>
          <w:rFonts w:ascii="FangSong" w:hAnsi="FangSong" w:eastAsia="FangSong" w:cs="FangSong"/>
          <w:sz w:val="43"/>
          <w:szCs w:val="43"/>
        </w:rPr>
      </w:pPr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-10"/>
        </w:rPr>
        <w:t>附件）</w:t>
      </w:r>
    </w:p>
    <w:p>
      <w:pPr>
        <w:spacing w:line="468" w:lineRule="auto"/>
        <w:rPr>
          <w:rFonts w:ascii="Arial"/>
          <w:sz w:val="21"/>
        </w:rPr>
      </w:pPr>
      <w:r/>
    </w:p>
    <w:p>
      <w:pPr>
        <w:ind w:left="681"/>
        <w:spacing w:before="101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  <w:position w:val="17"/>
        </w:rPr>
        <w:t>一、收入支出决算总表</w:t>
      </w:r>
    </w:p>
    <w:p>
      <w:pPr>
        <w:ind w:left="68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二、收入决算表</w:t>
      </w:r>
    </w:p>
    <w:p>
      <w:pPr>
        <w:ind w:left="684"/>
        <w:spacing w:before="180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三、支出决算表</w:t>
      </w:r>
    </w:p>
    <w:p>
      <w:pPr>
        <w:ind w:left="713"/>
        <w:spacing w:before="178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四、财政拨款收入支出决算总表</w:t>
      </w:r>
    </w:p>
    <w:p>
      <w:pPr>
        <w:ind w:left="681"/>
        <w:spacing w:before="177" w:line="56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18"/>
        </w:rPr>
        <w:t>五、一般公共预算财政拨款支出决算表（</w:t>
      </w:r>
      <w:r>
        <w:rPr>
          <w:rFonts w:ascii="FangSong" w:hAnsi="FangSong" w:eastAsia="FangSong" w:cs="FangSong"/>
          <w:sz w:val="31"/>
          <w:szCs w:val="31"/>
          <w:spacing w:val="-74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8"/>
        </w:rPr>
        <w:t>一）</w:t>
      </w:r>
    </w:p>
    <w:p>
      <w:pPr>
        <w:ind w:left="67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六、一般公共预算财政拨款支出决算表（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二）</w:t>
      </w:r>
    </w:p>
    <w:p>
      <w:pPr>
        <w:ind w:left="682"/>
        <w:spacing w:before="178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七、一般公共预算财政拨款“三公</w:t>
      </w:r>
      <w:r>
        <w:rPr>
          <w:rFonts w:ascii="FangSong" w:hAnsi="FangSong" w:eastAsia="FangSong" w:cs="FangSong"/>
          <w:sz w:val="31"/>
          <w:szCs w:val="31"/>
          <w:spacing w:val="-94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”经费支出决算表</w:t>
      </w:r>
    </w:p>
    <w:p>
      <w:pPr>
        <w:ind w:left="674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八、政府性基金预算财政拨款收入支出决算表</w:t>
      </w:r>
    </w:p>
    <w:p>
      <w:pPr>
        <w:ind w:left="687"/>
        <w:spacing w:before="183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九、</w:t>
      </w:r>
      <w:r>
        <w:rPr>
          <w:rFonts w:ascii="FangSong" w:hAnsi="FangSong" w:eastAsia="FangSong" w:cs="FangSong"/>
          <w:sz w:val="31"/>
          <w:szCs w:val="31"/>
          <w:spacing w:val="-76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国有资本经营预算财政拨款支出决算表</w:t>
      </w:r>
    </w:p>
    <w:p>
      <w:pPr>
        <w:ind w:left="684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十、部门决算公开相关信息统计表</w:t>
      </w:r>
    </w:p>
    <w:p>
      <w:pPr>
        <w:spacing w:line="354" w:lineRule="auto"/>
        <w:rPr>
          <w:rFonts w:ascii="Arial"/>
          <w:sz w:val="21"/>
        </w:rPr>
      </w:pPr>
      <w:r/>
    </w:p>
    <w:p>
      <w:pPr>
        <w:ind w:left="61"/>
        <w:spacing w:before="140" w:line="226" w:lineRule="auto"/>
        <w:outlineLvl w:val="0"/>
        <w:rPr>
          <w:rFonts w:ascii="FangSong" w:hAnsi="FangSong" w:eastAsia="FangSong" w:cs="FangSong"/>
          <w:sz w:val="43"/>
          <w:szCs w:val="43"/>
        </w:rPr>
      </w:pPr>
      <w:bookmarkStart w:name="bookmark5" w:id="5"/>
      <w:bookmarkEnd w:id="5"/>
      <w:bookmarkStart w:name="bookmark6" w:id="6"/>
      <w:bookmarkEnd w:id="6"/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第三部分</w:t>
      </w:r>
      <w:r>
        <w:rPr>
          <w:rFonts w:ascii="FangSong" w:hAnsi="FangSong" w:eastAsia="FangSong" w:cs="FangSong"/>
          <w:sz w:val="43"/>
          <w:szCs w:val="43"/>
          <w:spacing w:val="5"/>
        </w:rPr>
        <w:t xml:space="preserve"> </w:t>
      </w:r>
      <w:r>
        <w:rPr>
          <w:rFonts w:ascii="Calibri" w:hAnsi="Calibri" w:eastAsia="Calibri" w:cs="Calibri"/>
          <w:sz w:val="43"/>
          <w:szCs w:val="43"/>
          <w:b/>
          <w:bCs/>
          <w:spacing w:val="5"/>
        </w:rPr>
        <w:t>2021</w:t>
      </w:r>
      <w:r>
        <w:rPr>
          <w:rFonts w:ascii="Calibri" w:hAnsi="Calibri" w:eastAsia="Calibri" w:cs="Calibri"/>
          <w:sz w:val="43"/>
          <w:szCs w:val="43"/>
          <w:b/>
          <w:bCs/>
          <w:spacing w:val="53"/>
        </w:rPr>
        <w:t xml:space="preserve"> </w:t>
      </w:r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年度部门决算情况说明</w:t>
      </w:r>
    </w:p>
    <w:p>
      <w:pPr>
        <w:spacing w:line="450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2" w:line="225" w:lineRule="auto"/>
        <w:outlineLvl w:val="1"/>
        <w:rPr/>
      </w:pP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一、收入支出决算总体情况说明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35" w:firstLine="634"/>
        <w:spacing w:before="10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2021</w:t>
      </w:r>
      <w:r>
        <w:rPr>
          <w:rFonts w:ascii="FangSong" w:hAnsi="FangSong" w:eastAsia="FangSong" w:cs="FangSong"/>
          <w:sz w:val="31"/>
          <w:szCs w:val="31"/>
          <w:spacing w:val="-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年度收入总计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9029.42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万元、支出总计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9029.48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元。与上年相比，收入总计增加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1964.14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27.8%，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支出总计增加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931.05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11.5%。主要原因是职工正</w:t>
      </w:r>
    </w:p>
    <w:p>
      <w:pPr>
        <w:ind w:left="52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常晋级晋档及项目工作的增加。</w:t>
      </w:r>
    </w:p>
    <w:p>
      <w:pPr>
        <w:spacing w:line="225" w:lineRule="auto"/>
        <w:sectPr>
          <w:pgSz w:w="11906" w:h="16839"/>
          <w:pgMar w:top="1431" w:right="1711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pStyle w:val="BodyText"/>
        <w:ind w:left="31"/>
        <w:spacing w:before="162" w:line="225" w:lineRule="auto"/>
        <w:outlineLvl w:val="1"/>
        <w:rPr/>
      </w:pPr>
      <w:bookmarkStart w:name="bookmark7" w:id="7"/>
      <w:bookmarkEnd w:id="7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二、收入决算情况说明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69"/>
        <w:spacing w:before="100" w:line="56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年度收入合计</w:t>
      </w:r>
      <w:r>
        <w:rPr>
          <w:rFonts w:ascii="FangSong" w:hAnsi="FangSong" w:eastAsia="FangSong" w:cs="FangSong"/>
          <w:sz w:val="31"/>
          <w:szCs w:val="31"/>
          <w:spacing w:val="-6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9029.42</w:t>
      </w:r>
      <w:r>
        <w:rPr>
          <w:rFonts w:ascii="FangSong" w:hAnsi="FangSong" w:eastAsia="FangSong" w:cs="FangSong"/>
          <w:sz w:val="31"/>
          <w:szCs w:val="31"/>
          <w:spacing w:val="-50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7"/>
        </w:rPr>
        <w:t>万元，其中：财政拨</w:t>
      </w:r>
      <w:r>
        <w:rPr>
          <w:rFonts w:ascii="FangSong" w:hAnsi="FangSong" w:eastAsia="FangSong" w:cs="FangSong"/>
          <w:sz w:val="31"/>
          <w:szCs w:val="31"/>
          <w:spacing w:val="1"/>
          <w:position w:val="17"/>
        </w:rPr>
        <w:t>款收入</w:t>
      </w:r>
    </w:p>
    <w:p>
      <w:pPr>
        <w:spacing w:line="227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</w:rPr>
        <w:t>9029.37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100</w:t>
      </w:r>
      <w:r>
        <w:rPr>
          <w:rFonts w:ascii="FangSong" w:hAnsi="FangSong" w:eastAsia="FangSong" w:cs="FangSong"/>
          <w:sz w:val="31"/>
          <w:szCs w:val="31"/>
          <w:spacing w:val="-56"/>
        </w:rPr>
        <w:t>％；</w:t>
      </w:r>
      <w:r>
        <w:rPr>
          <w:rFonts w:ascii="FangSong" w:hAnsi="FangSong" w:eastAsia="FangSong" w:cs="FangSong"/>
          <w:sz w:val="31"/>
          <w:szCs w:val="31"/>
          <w:spacing w:val="-8"/>
        </w:rPr>
        <w:t>其他收入</w:t>
      </w:r>
      <w:r>
        <w:rPr>
          <w:rFonts w:ascii="FangSong" w:hAnsi="FangSong" w:eastAsia="FangSong" w:cs="FangSong"/>
          <w:sz w:val="31"/>
          <w:szCs w:val="31"/>
          <w:spacing w:val="-7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0.05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7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0.00％。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pStyle w:val="BodyText"/>
        <w:ind w:left="26"/>
        <w:spacing w:before="101" w:line="225" w:lineRule="auto"/>
        <w:outlineLvl w:val="1"/>
        <w:rPr/>
      </w:pPr>
      <w:bookmarkStart w:name="bookmark8" w:id="8"/>
      <w:bookmarkEnd w:id="8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三、支出决算情况说明</w:t>
      </w:r>
    </w:p>
    <w:p>
      <w:pPr>
        <w:spacing w:line="423" w:lineRule="auto"/>
        <w:rPr>
          <w:rFonts w:ascii="Arial"/>
          <w:sz w:val="21"/>
        </w:rPr>
      </w:pPr>
      <w:r/>
    </w:p>
    <w:p>
      <w:pPr>
        <w:ind w:left="29" w:right="113" w:firstLine="640"/>
        <w:spacing w:before="101" w:line="33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2021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年度支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出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合计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9029.48</w:t>
      </w:r>
      <w:r>
        <w:rPr>
          <w:rFonts w:ascii="FangSong" w:hAnsi="FangSong" w:eastAsia="FangSong" w:cs="FangSong"/>
          <w:sz w:val="31"/>
          <w:szCs w:val="31"/>
          <w:spacing w:val="-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其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中：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基本支</w:t>
      </w:r>
      <w:r>
        <w:rPr>
          <w:rFonts w:ascii="FangSong" w:hAnsi="FangSong" w:eastAsia="FangSong" w:cs="FangSong"/>
          <w:sz w:val="31"/>
          <w:szCs w:val="31"/>
          <w:spacing w:val="-6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2121.09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占比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23.49</w:t>
      </w:r>
      <w:r>
        <w:rPr>
          <w:rFonts w:ascii="FangSong" w:hAnsi="FangSong" w:eastAsia="FangSong" w:cs="FangSong"/>
          <w:sz w:val="31"/>
          <w:szCs w:val="31"/>
          <w:spacing w:val="-9"/>
        </w:rPr>
        <w:t>％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；</w:t>
      </w:r>
      <w:r>
        <w:rPr>
          <w:rFonts w:ascii="FangSong" w:hAnsi="FangSong" w:eastAsia="FangSong" w:cs="FangSong"/>
          <w:sz w:val="31"/>
          <w:szCs w:val="31"/>
        </w:rPr>
        <w:t>项目支出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6908.39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</w:t>
      </w:r>
    </w:p>
    <w:p>
      <w:pPr>
        <w:ind w:left="71"/>
        <w:spacing w:before="1" w:line="23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5"/>
        </w:rPr>
        <w:t>比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76.51%。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pStyle w:val="BodyText"/>
        <w:ind w:left="56"/>
        <w:spacing w:before="101" w:line="225" w:lineRule="auto"/>
        <w:outlineLvl w:val="1"/>
        <w:rPr/>
      </w:pPr>
      <w:bookmarkStart w:name="bookmark9" w:id="9"/>
      <w:bookmarkEnd w:id="9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四、财政拨款收入支出决算总体情况说明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26" w:right="112" w:firstLine="643"/>
        <w:spacing w:before="10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2021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年度财政拨款收入总计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9029.37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万元、支出总计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9029.39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万元。与上年相比，财政拨款收入总计增加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1971.51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27.93%，财政拨款支出总计增加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938.26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增长</w:t>
      </w:r>
      <w:r>
        <w:rPr>
          <w:rFonts w:ascii="FangSong" w:hAnsi="FangSong" w:eastAsia="FangSong" w:cs="FangSong"/>
          <w:sz w:val="31"/>
          <w:szCs w:val="31"/>
          <w:spacing w:val="-2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11.6%。主要原因是职工正常晋级晋档及项目工作的增</w:t>
      </w:r>
    </w:p>
    <w:p>
      <w:pPr>
        <w:ind w:left="34"/>
        <w:spacing w:before="1" w:line="2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加。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5" w:lineRule="auto"/>
        <w:outlineLvl w:val="1"/>
        <w:rPr/>
      </w:pPr>
      <w:bookmarkStart w:name="bookmark10" w:id="10"/>
      <w:bookmarkEnd w:id="10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五、一般公共预算财政拨款支出决算情况说明</w: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692"/>
        <w:spacing w:before="102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（一）财政拨款支出决算总体情况</w:t>
      </w:r>
    </w:p>
    <w:p>
      <w:pPr>
        <w:ind w:left="34" w:right="113" w:firstLine="635"/>
        <w:spacing w:before="17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年度财政拨款支出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8156.91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万元，占本年支</w:t>
      </w:r>
      <w:r>
        <w:rPr>
          <w:rFonts w:ascii="FangSong" w:hAnsi="FangSong" w:eastAsia="FangSong" w:cs="FangSong"/>
          <w:sz w:val="31"/>
          <w:szCs w:val="31"/>
          <w:spacing w:val="1"/>
        </w:rPr>
        <w:t>出合计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的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90.34%。与上年相比，财政拨款支出增加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3222.6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增长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65.31%。主要原因是职工正常晋级晋档及项目工作的增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加。其中人员经费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1967.09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24.12%，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日</w:t>
      </w:r>
      <w:r>
        <w:rPr>
          <w:rFonts w:ascii="FangSong" w:hAnsi="FangSong" w:eastAsia="FangSong" w:cs="FangSong"/>
          <w:sz w:val="31"/>
          <w:szCs w:val="31"/>
          <w:spacing w:val="-1"/>
        </w:rPr>
        <w:t>常公用经</w:t>
      </w:r>
    </w:p>
    <w:p>
      <w:pPr>
        <w:ind w:left="45"/>
        <w:spacing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费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6189.82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占比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75.88%.</w:t>
      </w:r>
    </w:p>
    <w:p>
      <w:pPr>
        <w:ind w:left="692"/>
        <w:spacing w:before="175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（二）财政拨款支出决算结构情况</w:t>
      </w:r>
    </w:p>
    <w:p>
      <w:pPr>
        <w:spacing w:line="232" w:lineRule="auto"/>
        <w:sectPr>
          <w:pgSz w:w="11906" w:h="16839"/>
          <w:pgMar w:top="1431" w:right="1688" w:bottom="0" w:left="1785" w:header="0" w:footer="0" w:gutter="0"/>
        </w:sectPr>
        <w:rPr>
          <w:rFonts w:ascii="KaiTi" w:hAnsi="KaiTi" w:eastAsia="KaiTi" w:cs="KaiTi"/>
          <w:sz w:val="31"/>
          <w:szCs w:val="31"/>
        </w:rPr>
      </w:pPr>
    </w:p>
    <w:p>
      <w:pPr>
        <w:ind w:left="31" w:firstLine="638"/>
        <w:spacing w:before="189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年度财政拨款支出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8156.91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万元，主要用于</w:t>
      </w:r>
      <w:r>
        <w:rPr>
          <w:rFonts w:ascii="FangSong" w:hAnsi="FangSong" w:eastAsia="FangSong" w:cs="FangSong"/>
          <w:sz w:val="31"/>
          <w:szCs w:val="31"/>
          <w:spacing w:val="1"/>
        </w:rPr>
        <w:t>以下方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面：一般公共服务支出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2391.34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39.32%；社会保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障和就业支出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557.85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6.84%；卫生健康支出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60.02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0.74%；农林水支出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3437.00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万元</w:t>
      </w:r>
      <w:r>
        <w:rPr>
          <w:rFonts w:ascii="FangSong" w:hAnsi="FangSong" w:eastAsia="FangSong" w:cs="FangSong"/>
          <w:sz w:val="31"/>
          <w:szCs w:val="31"/>
          <w:spacing w:val="-3"/>
        </w:rPr>
        <w:t>，占比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42.14%；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住房保障支出</w:t>
      </w:r>
      <w:r>
        <w:rPr>
          <w:rFonts w:ascii="FangSong" w:hAnsi="FangSong" w:eastAsia="FangSong" w:cs="FangSong"/>
          <w:sz w:val="31"/>
          <w:szCs w:val="31"/>
          <w:spacing w:val="-2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121.05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万元，占比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1.48%；粮油物资储备支出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525.24</w:t>
      </w:r>
      <w:r>
        <w:rPr>
          <w:rFonts w:ascii="FangSong" w:hAnsi="FangSong" w:eastAsia="FangSong" w:cs="FangSong"/>
          <w:sz w:val="31"/>
          <w:szCs w:val="31"/>
          <w:spacing w:val="-2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占比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6.44%；其他支出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1064.39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，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占比</w:t>
      </w:r>
    </w:p>
    <w:p>
      <w:pPr>
        <w:ind w:left="48"/>
        <w:spacing w:line="2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13.05%。</w:t>
      </w:r>
    </w:p>
    <w:p>
      <w:pPr>
        <w:ind w:left="692"/>
        <w:spacing w:before="153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（三）财政拨款支出决算具体情况</w:t>
      </w:r>
    </w:p>
    <w:p>
      <w:pPr>
        <w:ind w:right="84"/>
        <w:spacing w:before="169" w:line="562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  <w:position w:val="18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8"/>
        </w:rPr>
        <w:t>年度财政拨款支出年初预算</w:t>
      </w:r>
      <w:r>
        <w:rPr>
          <w:rFonts w:ascii="FangSong" w:hAnsi="FangSong" w:eastAsia="FangSong" w:cs="FangSong"/>
          <w:sz w:val="31"/>
          <w:szCs w:val="31"/>
          <w:spacing w:val="-58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8"/>
        </w:rPr>
        <w:t>3452.68</w:t>
      </w:r>
      <w:r>
        <w:rPr>
          <w:rFonts w:ascii="FangSong" w:hAnsi="FangSong" w:eastAsia="FangSong" w:cs="FangSong"/>
          <w:sz w:val="31"/>
          <w:szCs w:val="31"/>
          <w:spacing w:val="-5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  <w:position w:val="18"/>
        </w:rPr>
        <w:t>万元，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支出决</w:t>
      </w:r>
    </w:p>
    <w:p>
      <w:pPr>
        <w:ind w:left="35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算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8156.91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万元，完成年初的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236.25%。其中：</w:t>
      </w:r>
    </w:p>
    <w:p>
      <w:pPr>
        <w:ind w:left="29" w:right="84" w:firstLine="651"/>
        <w:spacing w:before="174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一般公共服务支出年初预算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2132.78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6"/>
        </w:rPr>
        <w:t>万元，支出决算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2391.34</w:t>
      </w:r>
      <w:r>
        <w:rPr>
          <w:rFonts w:ascii="FangSong" w:hAnsi="FangSong" w:eastAsia="FangSong" w:cs="FangSong"/>
          <w:sz w:val="31"/>
          <w:szCs w:val="31"/>
          <w:spacing w:val="-2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万元，完成年初预算的</w:t>
      </w:r>
      <w:r>
        <w:rPr>
          <w:rFonts w:ascii="FangSong" w:hAnsi="FangSong" w:eastAsia="FangSong" w:cs="FangSong"/>
          <w:sz w:val="31"/>
          <w:szCs w:val="31"/>
          <w:spacing w:val="-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112.12%，用于在职人员工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资、公用经费及相关项目经费保障。较上年决算减少</w:t>
      </w:r>
      <w:r>
        <w:rPr>
          <w:rFonts w:ascii="FangSong" w:hAnsi="FangSong" w:eastAsia="FangSong" w:cs="FangSong"/>
          <w:sz w:val="31"/>
          <w:szCs w:val="31"/>
          <w:spacing w:val="-2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1566.36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万元，下降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39.58%，主要原因是本年在职人员养老保险（单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位部分）、医疗保险（单位部分）不再在此</w:t>
      </w:r>
      <w:r>
        <w:rPr>
          <w:rFonts w:ascii="FangSong" w:hAnsi="FangSong" w:eastAsia="FangSong" w:cs="FangSong"/>
          <w:sz w:val="31"/>
          <w:szCs w:val="31"/>
          <w:spacing w:val="8"/>
        </w:rPr>
        <w:t>科目反映，以及</w:t>
      </w:r>
    </w:p>
    <w:p>
      <w:pPr>
        <w:ind w:left="37"/>
        <w:spacing w:before="2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相关项目工作的减少。</w:t>
      </w:r>
    </w:p>
    <w:p>
      <w:pPr>
        <w:ind w:left="31" w:right="86" w:firstLine="644"/>
        <w:spacing w:before="176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社会保障和就业支出年初预算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449.57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万元，支出决算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557.85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万元，完成年初预算的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124.09%，用于退休人员房租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补贴、取暖费以及在职人员养老保险（单位部分）缴纳。较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上年决算增加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100.2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21.89%，主要原因是在职人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员单位养老保险（单位部分）及退休人员职业年金虚做实归</w:t>
      </w:r>
    </w:p>
    <w:p>
      <w:pPr>
        <w:ind w:left="3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入本科目核算。</w:t>
      </w:r>
    </w:p>
    <w:p>
      <w:pPr>
        <w:ind w:right="71"/>
        <w:spacing w:before="177" w:line="560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卫生健康支出年初预算</w:t>
      </w:r>
      <w:r>
        <w:rPr>
          <w:rFonts w:ascii="FangSong" w:hAnsi="FangSong" w:eastAsia="FangSong" w:cs="FangSong"/>
          <w:sz w:val="31"/>
          <w:szCs w:val="31"/>
          <w:spacing w:val="-48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62.16</w:t>
      </w:r>
      <w:r>
        <w:rPr>
          <w:rFonts w:ascii="FangSong" w:hAnsi="FangSong" w:eastAsia="FangSong" w:cs="FangSong"/>
          <w:sz w:val="31"/>
          <w:szCs w:val="31"/>
          <w:spacing w:val="-5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60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60.02</w:t>
      </w:r>
      <w:r>
        <w:rPr>
          <w:rFonts w:ascii="FangSong" w:hAnsi="FangSong" w:eastAsia="FangSong" w:cs="FangSong"/>
          <w:sz w:val="31"/>
          <w:szCs w:val="31"/>
          <w:spacing w:val="-53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万</w:t>
      </w:r>
    </w:p>
    <w:p>
      <w:pPr>
        <w:ind w:left="40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元，完成年初预算的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96.56%，用于在职人员医疗保险（单位</w:t>
      </w:r>
    </w:p>
    <w:p>
      <w:pPr>
        <w:spacing w:line="224" w:lineRule="auto"/>
        <w:sectPr>
          <w:pgSz w:w="11906" w:h="16839"/>
          <w:pgMar w:top="1431" w:right="1715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6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部分）缴纳。较上年决算增加</w:t>
      </w:r>
      <w:r>
        <w:rPr>
          <w:rFonts w:ascii="FangSong" w:hAnsi="FangSong" w:eastAsia="FangSong" w:cs="FangSong"/>
          <w:sz w:val="31"/>
          <w:szCs w:val="31"/>
          <w:spacing w:val="-52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60.02</w:t>
      </w:r>
      <w:r>
        <w:rPr>
          <w:rFonts w:ascii="FangSong" w:hAnsi="FangSong" w:eastAsia="FangSong" w:cs="FangSong"/>
          <w:sz w:val="31"/>
          <w:szCs w:val="31"/>
          <w:spacing w:val="-5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万元，主要原因是本年</w:t>
      </w:r>
    </w:p>
    <w:p>
      <w:pPr>
        <w:ind w:left="37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在职人员医疗保险（单位部分）归入此科目核算。</w:t>
      </w:r>
    </w:p>
    <w:p>
      <w:pPr>
        <w:ind w:left="38" w:right="87" w:firstLine="638"/>
        <w:spacing w:before="184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农林水支出年初无预算，支出决算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3437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万元，用于水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安全保障工程专项中央基建投资。较上年决算增加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3437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元，主要原因为新增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年第一批水安全保障工程专项中</w:t>
      </w:r>
    </w:p>
    <w:p>
      <w:pPr>
        <w:ind w:left="45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央基建投资项目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3437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万元。</w:t>
      </w:r>
    </w:p>
    <w:p>
      <w:pPr>
        <w:ind w:left="36" w:right="88" w:firstLine="639"/>
        <w:spacing w:before="180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住房保障支出年初预算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123.42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万元，支出决算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121.</w:t>
      </w:r>
      <w:r>
        <w:rPr>
          <w:rFonts w:ascii="FangSong" w:hAnsi="FangSong" w:eastAsia="FangSong" w:cs="FangSong"/>
          <w:sz w:val="31"/>
          <w:szCs w:val="31"/>
          <w:spacing w:val="3"/>
        </w:rPr>
        <w:t>05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万元，完成年初预算的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98.08%，用于在职人员住房公</w:t>
      </w:r>
      <w:r>
        <w:rPr>
          <w:rFonts w:ascii="FangSong" w:hAnsi="FangSong" w:eastAsia="FangSong" w:cs="FangSong"/>
          <w:sz w:val="31"/>
          <w:szCs w:val="31"/>
          <w:spacing w:val="-7"/>
        </w:rPr>
        <w:t>积金（单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位部分）缴纳以及提租补贴发放。较上年决算增加</w:t>
      </w:r>
      <w:r>
        <w:rPr>
          <w:rFonts w:ascii="FangSong" w:hAnsi="FangSong" w:eastAsia="FangSong" w:cs="FangSong"/>
          <w:sz w:val="31"/>
          <w:szCs w:val="31"/>
          <w:spacing w:val="-2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15.21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元，增长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14.37%，主要原因为在职人</w:t>
      </w:r>
      <w:r>
        <w:rPr>
          <w:rFonts w:ascii="FangSong" w:hAnsi="FangSong" w:eastAsia="FangSong" w:cs="FangSong"/>
          <w:sz w:val="31"/>
          <w:szCs w:val="31"/>
          <w:spacing w:val="3"/>
        </w:rPr>
        <w:t>员提租补贴并入此科目</w:t>
      </w:r>
    </w:p>
    <w:p>
      <w:pPr>
        <w:ind w:left="34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核算。</w:t>
      </w:r>
    </w:p>
    <w:p>
      <w:pPr>
        <w:ind w:left="35" w:firstLine="642"/>
        <w:spacing w:before="18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粮油物资储备支出年初无预算，支出决算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525.24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用于粮油物资储备、重要商品储备等项目经费保障。较上年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决算增加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301.01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134.24%，主要原</w:t>
      </w:r>
      <w:r>
        <w:rPr>
          <w:rFonts w:ascii="FangSong" w:hAnsi="FangSong" w:eastAsia="FangSong" w:cs="FangSong"/>
          <w:sz w:val="31"/>
          <w:szCs w:val="31"/>
          <w:spacing w:val="1"/>
        </w:rPr>
        <w:t>因为粮油物资</w:t>
      </w:r>
    </w:p>
    <w:p>
      <w:pPr>
        <w:ind w:left="36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储备项目工作的增加。</w:t>
      </w:r>
    </w:p>
    <w:p>
      <w:pPr>
        <w:ind w:left="36" w:right="87" w:firstLine="642"/>
        <w:spacing w:before="183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其他支出年初无预算，支出决算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1064.39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万元，用于其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他相关项目经费保障。较上年决算增加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875.51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万元，增长</w:t>
      </w:r>
    </w:p>
    <w:p>
      <w:pPr>
        <w:ind w:left="23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463.53%，主要原因为相关项目工作的增加。</w:t>
      </w:r>
    </w:p>
    <w:p>
      <w:pPr>
        <w:spacing w:line="317" w:lineRule="auto"/>
        <w:rPr>
          <w:rFonts w:ascii="Arial"/>
          <w:sz w:val="21"/>
        </w:rPr>
      </w:pPr>
      <w:r/>
    </w:p>
    <w:p>
      <w:pPr>
        <w:pStyle w:val="BodyText"/>
        <w:ind w:left="29"/>
        <w:spacing w:before="101" w:line="224" w:lineRule="auto"/>
        <w:outlineLvl w:val="1"/>
        <w:rPr/>
      </w:pPr>
      <w:bookmarkStart w:name="bookmark11" w:id="11"/>
      <w:bookmarkEnd w:id="11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六、一般公共预算财政拨款基本支出决算情况说明</w:t>
      </w:r>
    </w:p>
    <w:p>
      <w:pPr>
        <w:spacing w:line="427" w:lineRule="auto"/>
        <w:rPr>
          <w:rFonts w:ascii="Arial"/>
          <w:sz w:val="21"/>
        </w:rPr>
      </w:pPr>
      <w:r/>
    </w:p>
    <w:p>
      <w:pPr>
        <w:ind w:left="35" w:right="90" w:firstLine="634"/>
        <w:spacing w:before="10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年度财政拨款基本支出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2121.01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万元，其中</w:t>
      </w:r>
      <w:r>
        <w:rPr>
          <w:rFonts w:ascii="FangSong" w:hAnsi="FangSong" w:eastAsia="FangSong" w:cs="FangSong"/>
          <w:sz w:val="31"/>
          <w:szCs w:val="31"/>
          <w:spacing w:val="1"/>
        </w:rPr>
        <w:t>：人员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经费</w:t>
      </w:r>
      <w:r>
        <w:rPr>
          <w:rFonts w:ascii="FangSong" w:hAnsi="FangSong" w:eastAsia="FangSong" w:cs="FangSong"/>
          <w:sz w:val="31"/>
          <w:szCs w:val="31"/>
          <w:spacing w:val="-2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1925.88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万元，主要包括基本工资、津贴补贴、奖金、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机关事业单位基本养老保险缴费、职业年金缴费、职工基本</w:t>
      </w:r>
    </w:p>
    <w:p>
      <w:pPr>
        <w:ind w:left="62"/>
        <w:spacing w:before="2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医疗保险缴费、离休费、退休费、抚恤金、生活补助、奖励</w:t>
      </w:r>
    </w:p>
    <w:p>
      <w:pPr>
        <w:spacing w:line="225" w:lineRule="auto"/>
        <w:sectPr>
          <w:pgSz w:w="11906" w:h="16839"/>
          <w:pgMar w:top="1431" w:right="1711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45" w:right="113" w:hanging="10"/>
        <w:spacing w:before="187" w:line="333" w:lineRule="auto"/>
        <w:jc w:val="both"/>
        <w:rPr>
          <w:rFonts w:ascii="FangSong" w:hAnsi="FangSong" w:eastAsia="FangSong" w:cs="FangSong"/>
          <w:sz w:val="31"/>
          <w:szCs w:val="31"/>
        </w:rPr>
      </w:pPr>
      <w:bookmarkStart w:name="bookmark13" w:id="12"/>
      <w:bookmarkEnd w:id="12"/>
      <w:r>
        <w:rPr>
          <w:rFonts w:ascii="FangSong" w:hAnsi="FangSong" w:eastAsia="FangSong" w:cs="FangSong"/>
          <w:sz w:val="31"/>
          <w:szCs w:val="31"/>
          <w:spacing w:val="11"/>
        </w:rPr>
        <w:t>金、住房公积金等；公用经费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195.13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</w:t>
      </w:r>
      <w:r>
        <w:rPr>
          <w:rFonts w:ascii="FangSong" w:hAnsi="FangSong" w:eastAsia="FangSong" w:cs="FangSong"/>
          <w:sz w:val="31"/>
          <w:szCs w:val="31"/>
          <w:spacing w:val="10"/>
        </w:rPr>
        <w:t>，主要包括办公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费、印刷费、手续费、水电费、邮电费、物业管理费、差旅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费、培训费、劳务费、委托业务费、工会经费、福利费、公</w:t>
      </w:r>
    </w:p>
    <w:p>
      <w:pPr>
        <w:spacing w:before="1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务用车运行维护费、其他交通费用、其他商品和服务支出等。</w:t>
      </w:r>
    </w:p>
    <w:p>
      <w:pPr>
        <w:spacing w:line="318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101" w:line="225" w:lineRule="auto"/>
        <w:outlineLvl w:val="1"/>
        <w:rPr/>
      </w:pPr>
      <w:bookmarkStart w:name="bookmark12" w:id="13"/>
      <w:bookmarkEnd w:id="13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七、一般公共预算财政拨款“三公</w:t>
      </w:r>
      <w:r>
        <w:rPr>
          <w:spacing w:val="-106"/>
        </w:rPr>
        <w:t xml:space="preserve"> </w:t>
      </w:r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7"/>
        </w:rPr>
        <w:t>”经费支出决算情况说明</w:t>
      </w:r>
    </w:p>
    <w:p>
      <w:pPr>
        <w:spacing w:line="423" w:lineRule="auto"/>
        <w:rPr>
          <w:rFonts w:ascii="Arial"/>
          <w:sz w:val="21"/>
        </w:rPr>
      </w:pPr>
      <w:r/>
    </w:p>
    <w:p>
      <w:pPr>
        <w:ind w:left="692"/>
        <w:spacing w:before="101" w:line="23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（一）“三公</w:t>
      </w:r>
      <w:r>
        <w:rPr>
          <w:rFonts w:ascii="KaiTi" w:hAnsi="KaiTi" w:eastAsia="KaiTi" w:cs="KaiTi"/>
          <w:sz w:val="31"/>
          <w:szCs w:val="31"/>
          <w:spacing w:val="-104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”经费财政拨款支出决算总体情况说明</w:t>
      </w:r>
    </w:p>
    <w:p>
      <w:pPr>
        <w:ind w:left="669"/>
        <w:spacing w:before="17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年度“三公</w:t>
      </w:r>
      <w:r>
        <w:rPr>
          <w:rFonts w:ascii="FangSong" w:hAnsi="FangSong" w:eastAsia="FangSong" w:cs="FangSong"/>
          <w:sz w:val="31"/>
          <w:szCs w:val="31"/>
          <w:spacing w:val="-1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”经费财政拨款支出预</w:t>
      </w:r>
      <w:r>
        <w:rPr>
          <w:rFonts w:ascii="FangSong" w:hAnsi="FangSong" w:eastAsia="FangSong" w:cs="FangSong"/>
          <w:sz w:val="31"/>
          <w:szCs w:val="31"/>
        </w:rPr>
        <w:t>算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3.5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万元，支</w:t>
      </w:r>
    </w:p>
    <w:p>
      <w:pPr>
        <w:ind w:left="40" w:right="64" w:firstLine="27"/>
        <w:spacing w:before="177" w:line="33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出决算</w:t>
      </w:r>
      <w:r>
        <w:rPr>
          <w:rFonts w:ascii="FangSong" w:hAnsi="FangSong" w:eastAsia="FangSong" w:cs="FangSong"/>
          <w:sz w:val="31"/>
          <w:szCs w:val="31"/>
          <w:spacing w:val="-2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1.78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50.86%，比上年增加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0.17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万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元，增长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10.56%，主要原因是：公务出行较上年有所增加。</w:t>
      </w:r>
    </w:p>
    <w:p>
      <w:pPr>
        <w:ind w:left="692"/>
        <w:spacing w:before="1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（二）“三公</w:t>
      </w:r>
      <w:r>
        <w:rPr>
          <w:rFonts w:ascii="KaiTi" w:hAnsi="KaiTi" w:eastAsia="KaiTi" w:cs="KaiTi"/>
          <w:sz w:val="31"/>
          <w:szCs w:val="31"/>
          <w:spacing w:val="-104"/>
        </w:rPr>
        <w:t xml:space="preserve"> </w:t>
      </w:r>
      <w:r>
        <w:rPr>
          <w:rFonts w:ascii="KaiTi" w:hAnsi="KaiTi" w:eastAsia="KaiTi" w:cs="KaiTi"/>
          <w:sz w:val="31"/>
          <w:szCs w:val="31"/>
          <w:spacing w:val="6"/>
        </w:rPr>
        <w:t>”经费财政拨款支出决算具体情况说明</w:t>
      </w:r>
    </w:p>
    <w:p>
      <w:pPr>
        <w:ind w:left="36" w:right="112" w:firstLine="633"/>
        <w:spacing w:before="168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年度“三公</w:t>
      </w:r>
      <w:r>
        <w:rPr>
          <w:rFonts w:ascii="FangSong" w:hAnsi="FangSong" w:eastAsia="FangSong" w:cs="FangSong"/>
          <w:sz w:val="31"/>
          <w:szCs w:val="31"/>
          <w:spacing w:val="-1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”经费财政拨款支出决算</w:t>
      </w:r>
      <w:r>
        <w:rPr>
          <w:rFonts w:ascii="FangSong" w:hAnsi="FangSong" w:eastAsia="FangSong" w:cs="FangSong"/>
          <w:sz w:val="31"/>
          <w:szCs w:val="31"/>
          <w:spacing w:val="-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1.78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其中：公务用车运行维护费</w:t>
      </w:r>
      <w:r>
        <w:rPr>
          <w:rFonts w:ascii="FangSong" w:hAnsi="FangSong" w:eastAsia="FangSong" w:cs="FangSong"/>
          <w:sz w:val="31"/>
          <w:szCs w:val="31"/>
          <w:spacing w:val="-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1.78</w:t>
      </w:r>
      <w:r>
        <w:rPr>
          <w:rFonts w:ascii="FangSong" w:hAnsi="FangSong" w:eastAsia="FangSong" w:cs="FangSong"/>
          <w:sz w:val="31"/>
          <w:szCs w:val="31"/>
          <w:spacing w:val="-4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万元，主要用于因公出行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所需车辆燃料、修理、过路过桥、车辆保险等。年初</w:t>
      </w:r>
      <w:r>
        <w:rPr>
          <w:rFonts w:ascii="FangSong" w:hAnsi="FangSong" w:eastAsia="FangSong" w:cs="FangSong"/>
          <w:sz w:val="31"/>
          <w:szCs w:val="31"/>
          <w:spacing w:val="-2"/>
        </w:rPr>
        <w:t>预算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3.5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，完成预算的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50.86%，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比上年增加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0.17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万元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，增长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10.56%，主要原因为：公务出行较上年有所增加。年末单位</w:t>
      </w:r>
    </w:p>
    <w:p>
      <w:pPr>
        <w:ind w:left="42"/>
        <w:spacing w:before="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车辆购置数为零，车辆保有量</w:t>
      </w:r>
      <w:r>
        <w:rPr>
          <w:rFonts w:ascii="FangSong" w:hAnsi="FangSong" w:eastAsia="FangSong" w:cs="FangSong"/>
          <w:sz w:val="31"/>
          <w:szCs w:val="31"/>
          <w:spacing w:val="-2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1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辆。</w:t>
      </w:r>
    </w:p>
    <w:p>
      <w:pPr>
        <w:spacing w:line="318" w:lineRule="auto"/>
        <w:rPr>
          <w:rFonts w:ascii="Arial"/>
          <w:sz w:val="21"/>
        </w:rPr>
      </w:pPr>
      <w:r/>
    </w:p>
    <w:p>
      <w:pPr>
        <w:pStyle w:val="BodyText"/>
        <w:ind w:left="31"/>
        <w:spacing w:before="101" w:line="225" w:lineRule="auto"/>
        <w:outlineLvl w:val="1"/>
        <w:rPr/>
      </w:pPr>
      <w:bookmarkStart w:name="bookmark14" w:id="14"/>
      <w:bookmarkEnd w:id="14"/>
      <w:r>
        <w:rPr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9"/>
        </w:rPr>
        <w:t>八、其他重要事项情况说明</w:t>
      </w:r>
    </w:p>
    <w:p>
      <w:pPr>
        <w:spacing w:line="423" w:lineRule="auto"/>
        <w:rPr>
          <w:rFonts w:ascii="Arial"/>
          <w:sz w:val="21"/>
        </w:rPr>
      </w:pPr>
      <w:r/>
    </w:p>
    <w:p>
      <w:pPr>
        <w:ind w:left="692"/>
        <w:spacing w:before="101" w:line="23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7"/>
        </w:rPr>
        <w:t>（一）机关运行经费支出情况说明</w:t>
      </w:r>
    </w:p>
    <w:p>
      <w:pPr>
        <w:ind w:left="669"/>
        <w:spacing w:before="172" w:line="56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2021</w:t>
      </w:r>
      <w:r>
        <w:rPr>
          <w:rFonts w:ascii="FangSong" w:hAnsi="FangSong" w:eastAsia="FangSong" w:cs="FangSong"/>
          <w:sz w:val="31"/>
          <w:szCs w:val="31"/>
          <w:spacing w:val="-12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年机关运行经费支出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195.13</w:t>
      </w:r>
      <w:r>
        <w:rPr>
          <w:rFonts w:ascii="FangSong" w:hAnsi="FangSong" w:eastAsia="FangSong" w:cs="FangSong"/>
          <w:sz w:val="31"/>
          <w:szCs w:val="31"/>
          <w:spacing w:val="-32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万元</w:t>
      </w:r>
      <w:r>
        <w:rPr>
          <w:rFonts w:ascii="FangSong" w:hAnsi="FangSong" w:eastAsia="FangSong" w:cs="FangSong"/>
          <w:sz w:val="31"/>
          <w:szCs w:val="31"/>
          <w:spacing w:val="-87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，</w:t>
      </w:r>
      <w:r>
        <w:rPr>
          <w:rFonts w:ascii="FangSong" w:hAnsi="FangSong" w:eastAsia="FangSong" w:cs="FangSong"/>
          <w:sz w:val="31"/>
          <w:szCs w:val="31"/>
          <w:spacing w:val="-6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  <w:position w:val="18"/>
        </w:rPr>
        <w:t>比上年增加</w:t>
      </w:r>
    </w:p>
    <w:p>
      <w:pPr>
        <w:ind w:left="29"/>
        <w:spacing w:before="2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2.51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万元，增长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1.30%，主要原因是：人员及工作变动。</w:t>
      </w:r>
    </w:p>
    <w:p>
      <w:pPr>
        <w:ind w:left="692"/>
        <w:spacing w:before="180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（二）政府采购情况说明</w:t>
      </w:r>
    </w:p>
    <w:p>
      <w:pPr>
        <w:ind w:left="669"/>
        <w:spacing w:before="169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2021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年度政府采购支出总额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85.13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万元，其中：政府采</w:t>
      </w:r>
    </w:p>
    <w:p>
      <w:pPr>
        <w:spacing w:line="228" w:lineRule="auto"/>
        <w:sectPr>
          <w:pgSz w:w="11906" w:h="16839"/>
          <w:pgMar w:top="1431" w:right="1688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5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购货物支出</w:t>
      </w:r>
      <w:r>
        <w:rPr>
          <w:rFonts w:ascii="FangSong" w:hAnsi="FangSong" w:eastAsia="FangSong" w:cs="FangSong"/>
          <w:sz w:val="31"/>
          <w:szCs w:val="31"/>
          <w:spacing w:val="-55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8.00</w:t>
      </w:r>
      <w:r>
        <w:rPr>
          <w:rFonts w:ascii="FangSong" w:hAnsi="FangSong" w:eastAsia="FangSong" w:cs="FangSong"/>
          <w:sz w:val="31"/>
          <w:szCs w:val="31"/>
          <w:spacing w:val="-50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万元，政府采购服务支出</w:t>
      </w:r>
      <w:r>
        <w:rPr>
          <w:rFonts w:ascii="FangSong" w:hAnsi="FangSong" w:eastAsia="FangSong" w:cs="FangSong"/>
          <w:sz w:val="31"/>
          <w:szCs w:val="31"/>
          <w:spacing w:val="-55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77.13</w:t>
      </w:r>
      <w:r>
        <w:rPr>
          <w:rFonts w:ascii="FangSong" w:hAnsi="FangSong" w:eastAsia="FangSong" w:cs="FangSong"/>
          <w:sz w:val="31"/>
          <w:szCs w:val="31"/>
          <w:spacing w:val="-51"/>
          <w:position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  <w:position w:val="17"/>
        </w:rPr>
        <w:t>万元。</w:t>
      </w:r>
    </w:p>
    <w:p>
      <w:pPr>
        <w:ind w:left="692"/>
        <w:spacing w:line="22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3"/>
        </w:rPr>
        <w:t>（三）</w:t>
      </w:r>
      <w:r>
        <w:rPr>
          <w:rFonts w:ascii="KaiTi" w:hAnsi="KaiTi" w:eastAsia="KaiTi" w:cs="KaiTi"/>
          <w:sz w:val="31"/>
          <w:szCs w:val="31"/>
          <w:spacing w:val="-90"/>
        </w:rPr>
        <w:t xml:space="preserve"> </w:t>
      </w:r>
      <w:r>
        <w:rPr>
          <w:rFonts w:ascii="KaiTi" w:hAnsi="KaiTi" w:eastAsia="KaiTi" w:cs="KaiTi"/>
          <w:sz w:val="31"/>
          <w:szCs w:val="31"/>
          <w:spacing w:val="3"/>
        </w:rPr>
        <w:t>国有资产占有使用情况说明</w:t>
      </w:r>
    </w:p>
    <w:p>
      <w:pPr>
        <w:ind w:right="16"/>
        <w:spacing w:before="175" w:line="562" w:lineRule="exact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截止</w:t>
      </w:r>
      <w:r>
        <w:rPr>
          <w:rFonts w:ascii="FangSong" w:hAnsi="FangSong" w:eastAsia="FangSong" w:cs="FangSong"/>
          <w:sz w:val="31"/>
          <w:szCs w:val="31"/>
          <w:spacing w:val="-53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年</w:t>
      </w:r>
      <w:r>
        <w:rPr>
          <w:rFonts w:ascii="FangSong" w:hAnsi="FangSong" w:eastAsia="FangSong" w:cs="FangSong"/>
          <w:sz w:val="31"/>
          <w:szCs w:val="31"/>
          <w:spacing w:val="-3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12</w:t>
      </w:r>
      <w:r>
        <w:rPr>
          <w:rFonts w:ascii="FangSong" w:hAnsi="FangSong" w:eastAsia="FangSong" w:cs="FangSong"/>
          <w:sz w:val="31"/>
          <w:szCs w:val="31"/>
          <w:spacing w:val="-3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月</w:t>
      </w:r>
      <w:r>
        <w:rPr>
          <w:rFonts w:ascii="FangSong" w:hAnsi="FangSong" w:eastAsia="FangSong" w:cs="FangSong"/>
          <w:sz w:val="31"/>
          <w:szCs w:val="31"/>
          <w:spacing w:val="-49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31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  <w:position w:val="18"/>
        </w:rPr>
        <w:t>日，本单位共有</w:t>
      </w:r>
      <w:r>
        <w:rPr>
          <w:rFonts w:ascii="FangSong" w:hAnsi="FangSong" w:eastAsia="FangSong" w:cs="FangSong"/>
          <w:sz w:val="31"/>
          <w:szCs w:val="31"/>
          <w:position w:val="18"/>
        </w:rPr>
        <w:t>车辆</w:t>
      </w:r>
      <w:r>
        <w:rPr>
          <w:rFonts w:ascii="FangSong" w:hAnsi="FangSong" w:eastAsia="FangSong" w:cs="FangSong"/>
          <w:sz w:val="31"/>
          <w:szCs w:val="31"/>
          <w:spacing w:val="-33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position w:val="18"/>
        </w:rPr>
        <w:t>1</w:t>
      </w:r>
      <w:r>
        <w:rPr>
          <w:rFonts w:ascii="FangSong" w:hAnsi="FangSong" w:eastAsia="FangSong" w:cs="FangSong"/>
          <w:sz w:val="31"/>
          <w:szCs w:val="31"/>
          <w:spacing w:val="-48"/>
          <w:position w:val="18"/>
        </w:rPr>
        <w:t xml:space="preserve"> </w:t>
      </w:r>
      <w:r>
        <w:rPr>
          <w:rFonts w:ascii="FangSong" w:hAnsi="FangSong" w:eastAsia="FangSong" w:cs="FangSong"/>
          <w:sz w:val="31"/>
          <w:szCs w:val="31"/>
          <w:position w:val="18"/>
        </w:rPr>
        <w:t>辆，其中</w:t>
      </w:r>
    </w:p>
    <w:p>
      <w:pPr>
        <w:ind w:left="35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机要通信用车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1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辆。</w:t>
      </w:r>
    </w:p>
    <w:p>
      <w:pPr>
        <w:ind w:left="692"/>
        <w:spacing w:before="181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</w:rPr>
        <w:t>（四）预算绩效情况说明</w:t>
      </w:r>
    </w:p>
    <w:p>
      <w:pPr>
        <w:ind w:left="680"/>
        <w:spacing w:before="169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（1）预算绩效管理工作开展工作。</w:t>
      </w:r>
    </w:p>
    <w:p>
      <w:pPr>
        <w:ind w:left="29" w:right="13" w:firstLine="648"/>
        <w:spacing w:before="188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根据预算绩效管理要求，我单位组织对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202</w:t>
      </w:r>
      <w:r>
        <w:rPr>
          <w:rFonts w:ascii="FangSong" w:hAnsi="FangSong" w:eastAsia="FangSong" w:cs="FangSong"/>
          <w:sz w:val="31"/>
          <w:szCs w:val="31"/>
          <w:spacing w:val="11"/>
        </w:rPr>
        <w:t>1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年度市级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财政预算安排的专项资金类</w:t>
      </w:r>
      <w:r>
        <w:rPr>
          <w:rFonts w:ascii="FangSong" w:hAnsi="FangSong" w:eastAsia="FangSong" w:cs="FangSong"/>
          <w:sz w:val="31"/>
          <w:szCs w:val="31"/>
          <w:spacing w:val="-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23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个项目支出全面开展绩效自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评，涉及预算资金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6035.90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万元，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4"/>
        </w:rPr>
        <w:t>占一般公共</w:t>
      </w:r>
      <w:r>
        <w:rPr>
          <w:rFonts w:ascii="FangSong" w:hAnsi="FangSong" w:eastAsia="FangSong" w:cs="FangSong"/>
          <w:sz w:val="31"/>
          <w:szCs w:val="31"/>
          <w:spacing w:val="3"/>
        </w:rPr>
        <w:t>预算项目支出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总额的</w:t>
      </w:r>
      <w:r>
        <w:rPr>
          <w:rFonts w:ascii="FangSong" w:hAnsi="FangSong" w:eastAsia="FangSong" w:cs="FangSong"/>
          <w:sz w:val="31"/>
          <w:szCs w:val="31"/>
          <w:spacing w:val="-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100%。组织对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年度大同市能源革命专项创新券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2021</w:t>
      </w:r>
      <w:r>
        <w:rPr>
          <w:rFonts w:ascii="FangSong" w:hAnsi="FangSong" w:eastAsia="FangSong" w:cs="FangSong"/>
          <w:sz w:val="31"/>
          <w:szCs w:val="31"/>
          <w:spacing w:val="-4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年度费用、全国通用机场与城市发展</w:t>
      </w:r>
      <w:r>
        <w:rPr>
          <w:rFonts w:ascii="FangSong" w:hAnsi="FangSong" w:eastAsia="FangSong" w:cs="FangSong"/>
          <w:sz w:val="31"/>
          <w:szCs w:val="31"/>
          <w:spacing w:val="2"/>
        </w:rPr>
        <w:t>论坛等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6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个政府性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基金预算项目支出开展绩效自评，共涉及预算资金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5"/>
        </w:rPr>
        <w:t>872.49</w:t>
      </w:r>
    </w:p>
    <w:p>
      <w:pPr>
        <w:ind w:left="37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万元，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占政府性基金预算项目支出总额的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100%。</w:t>
      </w:r>
    </w:p>
    <w:p>
      <w:pPr>
        <w:ind w:left="680"/>
        <w:spacing w:before="18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（2）部门决算中项目绩效自评结果。</w:t>
      </w:r>
    </w:p>
    <w:p>
      <w:pPr>
        <w:ind w:left="34" w:right="13" w:firstLine="655"/>
        <w:spacing w:before="185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1、2021</w:t>
      </w:r>
      <w:r>
        <w:rPr>
          <w:rFonts w:ascii="FangSong" w:hAnsi="FangSong" w:eastAsia="FangSong" w:cs="FangSong"/>
          <w:sz w:val="31"/>
          <w:szCs w:val="31"/>
          <w:spacing w:val="-4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年第一批水安全保障工程专项中央基建</w:t>
      </w:r>
      <w:r>
        <w:rPr>
          <w:rFonts w:ascii="FangSong" w:hAnsi="FangSong" w:eastAsia="FangSong" w:cs="FangSong"/>
          <w:sz w:val="31"/>
          <w:szCs w:val="31"/>
          <w:spacing w:val="8"/>
        </w:rPr>
        <w:t>投资项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目绩效自评综述：根据年初设定的绩效目标，项目自评得分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为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91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分。全年预算数为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3437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343</w:t>
      </w:r>
      <w:r>
        <w:rPr>
          <w:rFonts w:ascii="FangSong" w:hAnsi="FangSong" w:eastAsia="FangSong" w:cs="FangSong"/>
          <w:sz w:val="31"/>
          <w:szCs w:val="31"/>
          <w:spacing w:val="6"/>
        </w:rPr>
        <w:t>7</w:t>
      </w:r>
      <w:r>
        <w:rPr>
          <w:rFonts w:ascii="FangSong" w:hAnsi="FangSong" w:eastAsia="FangSong" w:cs="FangSong"/>
          <w:sz w:val="31"/>
          <w:szCs w:val="31"/>
          <w:spacing w:val="-4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万元，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完成预算的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100%。项目绩效目标完成情况</w:t>
      </w:r>
      <w:r>
        <w:rPr>
          <w:rFonts w:ascii="FangSong" w:hAnsi="FangSong" w:eastAsia="FangSong" w:cs="FangSong"/>
          <w:sz w:val="31"/>
          <w:szCs w:val="31"/>
          <w:spacing w:val="5"/>
        </w:rPr>
        <w:t>：4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个项目均已开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工建设，年度投资计划稳步执行，未超预算，桑干河大同县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工程和桑干河阳高县段工程主体工程基本完工，已初步发挥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效益。发现的主要问题及原因：一是十里河综合治理与生态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修复工程（小站跌水至大庆公路桥段）配套移民安置资金未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到位和受耕地影响；二是御河综合治理与生态修复工程（得</w:t>
      </w:r>
    </w:p>
    <w:p>
      <w:pPr>
        <w:ind w:left="36"/>
        <w:spacing w:before="1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胜堡生态净化保护工程）的设计条件发生了较大变化，内蒙</w:t>
      </w:r>
    </w:p>
    <w:p>
      <w:pPr>
        <w:spacing w:line="226" w:lineRule="auto"/>
        <w:sectPr>
          <w:pgSz w:w="11906" w:h="16839"/>
          <w:pgMar w:top="1431" w:right="1785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4" w:right="46"/>
        <w:spacing w:before="189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入境的来水水质有明显好转，因此设计目标发生了变化，由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解决入境水质污染转变为生态修复为主，可研和初设进行了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重新设计和批复导致工程开工较晚。下一步改进措施：深化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政企合作，加强与大同市政府沟通对接，落实配套生态修复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征迁资金，推进十里河工程建设。主动对标发挥公司优势，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研究国家和省市关于流域治理保护修复的最新政策文件，找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准结合点，深化公司与政府的共同发力路径，用好用足顶层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设计，改善区域生态环境同时促进流域周边生态产业发展。</w:t>
      </w:r>
    </w:p>
    <w:p>
      <w:pPr>
        <w:ind w:left="39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（项目支出自评表见附件）</w:t>
      </w:r>
    </w:p>
    <w:p>
      <w:pPr>
        <w:ind w:left="34" w:firstLine="635"/>
        <w:spacing w:before="184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2、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山西北肉冷链产业园（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一期）项目绩效自评综述：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根据年初设定的绩效目标，项目自评得分为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100</w:t>
      </w:r>
      <w:r>
        <w:rPr>
          <w:rFonts w:ascii="FangSong" w:hAnsi="FangSong" w:eastAsia="FangSong" w:cs="FangSong"/>
          <w:sz w:val="31"/>
          <w:szCs w:val="31"/>
          <w:spacing w:val="-5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分。全</w:t>
      </w:r>
      <w:r>
        <w:rPr>
          <w:rFonts w:ascii="FangSong" w:hAnsi="FangSong" w:eastAsia="FangSong" w:cs="FangSong"/>
          <w:sz w:val="31"/>
          <w:szCs w:val="31"/>
          <w:spacing w:val="5"/>
        </w:rPr>
        <w:t>年预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算数为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1000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100%。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项目绩效目标完成情况：山西北肉冷链加工产</w:t>
      </w:r>
      <w:r>
        <w:rPr>
          <w:rFonts w:ascii="FangSong" w:hAnsi="FangSong" w:eastAsia="FangSong" w:cs="FangSong"/>
          <w:sz w:val="31"/>
          <w:szCs w:val="31"/>
          <w:spacing w:val="5"/>
        </w:rPr>
        <w:t>业园项目（</w:t>
      </w:r>
      <w:r>
        <w:rPr>
          <w:rFonts w:ascii="FangSong" w:hAnsi="FangSong" w:eastAsia="FangSong" w:cs="FangSong"/>
          <w:sz w:val="31"/>
          <w:szCs w:val="31"/>
          <w:spacing w:val="-8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一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期）大楼主体已完工，办公楼、展示大厅及加工车间内部装</w:t>
      </w:r>
      <w:r>
        <w:rPr>
          <w:rFonts w:ascii="FangSong" w:hAnsi="FangSong" w:eastAsia="FangSong" w:cs="FangSong"/>
          <w:sz w:val="31"/>
          <w:szCs w:val="31"/>
          <w:spacing w:val="1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修接近尾声，预算资金已全部拨付企业，企业已全部用于项</w:t>
      </w:r>
    </w:p>
    <w:p>
      <w:pPr>
        <w:ind w:left="91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目建设。（项目支出自评表见附件）</w:t>
      </w:r>
    </w:p>
    <w:p>
      <w:pPr>
        <w:ind w:left="34" w:right="46" w:firstLine="638"/>
        <w:spacing w:before="181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5"/>
        </w:rPr>
        <w:t>3、新基建和基建配套专项资金项目绩效自评综述：根</w:t>
      </w:r>
      <w:r>
        <w:rPr>
          <w:rFonts w:ascii="FangSong" w:hAnsi="FangSong" w:eastAsia="FangSong" w:cs="FangSong"/>
          <w:sz w:val="31"/>
          <w:szCs w:val="31"/>
          <w:spacing w:val="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据年初设定的绩效目标，项目自评得分为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100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分。</w:t>
      </w:r>
      <w:r>
        <w:rPr>
          <w:rFonts w:ascii="FangSong" w:hAnsi="FangSong" w:eastAsia="FangSong" w:cs="FangSong"/>
          <w:sz w:val="31"/>
          <w:szCs w:val="31"/>
          <w:spacing w:val="5"/>
        </w:rPr>
        <w:t>全年预算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数为</w:t>
      </w:r>
      <w:r>
        <w:rPr>
          <w:rFonts w:ascii="FangSong" w:hAnsi="FangSong" w:eastAsia="FangSong" w:cs="FangSong"/>
          <w:sz w:val="31"/>
          <w:szCs w:val="31"/>
          <w:spacing w:val="-4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233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万元，执行数为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233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万元，完成预算的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100%。项目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绩效目标完成情况：大同市“智慧综合能源一体化</w:t>
      </w:r>
      <w:r>
        <w:rPr>
          <w:rFonts w:ascii="FangSong" w:hAnsi="FangSong" w:eastAsia="FangSong" w:cs="FangSong"/>
          <w:sz w:val="31"/>
          <w:szCs w:val="31"/>
          <w:spacing w:val="-11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”项目、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云冈职教城今年开工建设、大同火山群飞行营地项目三个项</w:t>
      </w:r>
      <w:r>
        <w:rPr>
          <w:rFonts w:ascii="FangSong" w:hAnsi="FangSong" w:eastAsia="FangSong" w:cs="FangSong"/>
          <w:sz w:val="31"/>
          <w:szCs w:val="31"/>
          <w:spacing w:val="1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目前期手续正在稳步推进。发现的主要问题及原因：项目单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位资金支付滞后，规划方案编制、可行性研究报告编制耗时</w:t>
      </w:r>
    </w:p>
    <w:p>
      <w:pPr>
        <w:ind w:left="36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较长。（项目支出自评表见附件）</w:t>
      </w:r>
    </w:p>
    <w:p>
      <w:pPr>
        <w:spacing w:line="227" w:lineRule="auto"/>
        <w:sectPr>
          <w:pgSz w:w="11906" w:h="16839"/>
          <w:pgMar w:top="1431" w:right="1753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680"/>
        <w:spacing w:before="184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8"/>
        </w:rPr>
        <w:t>（3）部门评价项目绩效评价结果。</w:t>
      </w:r>
    </w:p>
    <w:p>
      <w:pPr>
        <w:ind w:left="29" w:firstLine="646"/>
        <w:spacing w:before="171" w:line="33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2"/>
        </w:rPr>
        <w:t>按照《大同市财政局关于报送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2020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2"/>
        </w:rPr>
        <w:t>年度预算</w:t>
      </w:r>
      <w:r>
        <w:rPr>
          <w:rFonts w:ascii="FangSong" w:hAnsi="FangSong" w:eastAsia="FangSong" w:cs="FangSong"/>
          <w:sz w:val="31"/>
          <w:szCs w:val="31"/>
          <w:spacing w:val="11"/>
        </w:rPr>
        <w:t>项目支出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绩效自评情况的通知》（同财绩〔2021〕11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号）要求，大同</w:t>
      </w:r>
      <w:r>
        <w:rPr>
          <w:rFonts w:ascii="FangSong" w:hAnsi="FangSong" w:eastAsia="FangSong" w:cs="FangSong"/>
          <w:sz w:val="31"/>
          <w:szCs w:val="31"/>
          <w:spacing w:val="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市发展和改革委员会组织开展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2021</w:t>
      </w:r>
      <w:r>
        <w:rPr>
          <w:rFonts w:ascii="FangSong" w:hAnsi="FangSong" w:eastAsia="FangSong" w:cs="FangSong"/>
          <w:sz w:val="31"/>
          <w:szCs w:val="31"/>
          <w:spacing w:val="-5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年度项目支出绩效自评。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2021</w:t>
      </w:r>
      <w:r>
        <w:rPr>
          <w:rFonts w:ascii="FangSong" w:hAnsi="FangSong" w:eastAsia="FangSong" w:cs="FangSong"/>
          <w:sz w:val="31"/>
          <w:szCs w:val="31"/>
          <w:spacing w:val="-2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年，我委预算项目共计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29</w:t>
      </w:r>
      <w:r>
        <w:rPr>
          <w:rFonts w:ascii="FangSong" w:hAnsi="FangSong" w:eastAsia="FangSong" w:cs="FangSong"/>
          <w:sz w:val="31"/>
          <w:szCs w:val="31"/>
          <w:spacing w:val="-4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个，总体预算金额</w:t>
      </w:r>
      <w:r>
        <w:rPr>
          <w:rFonts w:ascii="FangSong" w:hAnsi="FangSong" w:eastAsia="FangSong" w:cs="FangSong"/>
          <w:sz w:val="31"/>
          <w:szCs w:val="31"/>
          <w:spacing w:val="-4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7123.89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万元，实际支出</w:t>
      </w:r>
      <w:r>
        <w:rPr>
          <w:rFonts w:ascii="FangSong" w:hAnsi="FangSong" w:eastAsia="FangSong" w:cs="FangSong"/>
          <w:sz w:val="31"/>
          <w:szCs w:val="31"/>
          <w:spacing w:val="-5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6908.39</w:t>
      </w:r>
      <w:r>
        <w:rPr>
          <w:rFonts w:ascii="FangSong" w:hAnsi="FangSong" w:eastAsia="FangSong" w:cs="FangSong"/>
          <w:sz w:val="31"/>
          <w:szCs w:val="31"/>
          <w:spacing w:val="-5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万元，执行进度为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96.97%。</w:t>
      </w:r>
      <w:r>
        <w:rPr>
          <w:rFonts w:ascii="FangSong" w:hAnsi="FangSong" w:eastAsia="FangSong" w:cs="FangSong"/>
          <w:sz w:val="31"/>
          <w:szCs w:val="31"/>
          <w:spacing w:val="-8"/>
        </w:rPr>
        <w:t>按照“谁</w:t>
      </w:r>
      <w:r>
        <w:rPr>
          <w:rFonts w:ascii="FangSong" w:hAnsi="FangSong" w:eastAsia="FangSong" w:cs="FangSong"/>
          <w:sz w:val="31"/>
          <w:szCs w:val="31"/>
          <w:spacing w:val="-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使用、谁评价</w:t>
      </w:r>
      <w:r>
        <w:rPr>
          <w:rFonts w:ascii="FangSong" w:hAnsi="FangSong" w:eastAsia="FangSong" w:cs="FangSong"/>
          <w:sz w:val="31"/>
          <w:szCs w:val="31"/>
          <w:spacing w:val="-1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”等原则，以预算资金使用情况为</w:t>
      </w:r>
      <w:r>
        <w:rPr>
          <w:rFonts w:ascii="FangSong" w:hAnsi="FangSong" w:eastAsia="FangSong" w:cs="FangSong"/>
          <w:sz w:val="31"/>
          <w:szCs w:val="31"/>
          <w:spacing w:val="6"/>
        </w:rPr>
        <w:t>主线，从</w:t>
      </w:r>
      <w:r>
        <w:rPr>
          <w:rFonts w:ascii="FangSong" w:hAnsi="FangSong" w:eastAsia="FangSong" w:cs="FangSong"/>
          <w:sz w:val="31"/>
          <w:szCs w:val="31"/>
          <w:spacing w:val="-5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3</w:t>
      </w:r>
      <w:r>
        <w:rPr>
          <w:rFonts w:ascii="FangSong" w:hAnsi="FangSong" w:eastAsia="FangSong" w:cs="FangSong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个一级指标（产出、效益、满意度）、9</w:t>
      </w:r>
      <w:r>
        <w:rPr>
          <w:rFonts w:ascii="FangSong" w:hAnsi="FangSong" w:eastAsia="FangSong" w:cs="FangSong"/>
          <w:sz w:val="31"/>
          <w:szCs w:val="31"/>
          <w:spacing w:val="-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个二级指标（数量、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9"/>
        </w:rPr>
        <w:t>质量、时效、成本、经济效益、社会效益、</w:t>
      </w:r>
      <w:r>
        <w:rPr>
          <w:rFonts w:ascii="FangSong" w:hAnsi="FangSong" w:eastAsia="FangSong" w:cs="FangSong"/>
          <w:sz w:val="31"/>
          <w:szCs w:val="31"/>
          <w:spacing w:val="8"/>
        </w:rPr>
        <w:t>生态效益、可持</w:t>
      </w:r>
    </w:p>
    <w:p>
      <w:pPr>
        <w:ind w:left="35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续效益、服务对象满意度）等方面进行了综合评价。</w:t>
      </w:r>
    </w:p>
    <w:p>
      <w:pPr>
        <w:ind w:left="35" w:right="113" w:firstLine="643"/>
        <w:spacing w:before="181" w:line="33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1"/>
        </w:rPr>
        <w:t>此次</w:t>
      </w:r>
      <w:r>
        <w:rPr>
          <w:rFonts w:ascii="FangSong" w:hAnsi="FangSong" w:eastAsia="FangSong" w:cs="FangSong"/>
          <w:sz w:val="31"/>
          <w:szCs w:val="31"/>
          <w:spacing w:val="-3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2021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1"/>
        </w:rPr>
        <w:t>年绩效自评工作，我委经过客观深入的分析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评价，整体项目绩效职责履行较好，各项目效益明显，预算</w:t>
      </w:r>
      <w:r>
        <w:rPr>
          <w:rFonts w:ascii="FangSong" w:hAnsi="FangSong" w:eastAsia="FangSong" w:cs="FangSong"/>
          <w:sz w:val="31"/>
          <w:szCs w:val="31"/>
          <w:spacing w:val="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指标设置科学，预算执行有效，预算管理规范，项目绩效自</w:t>
      </w:r>
    </w:p>
    <w:p>
      <w:pPr>
        <w:ind w:left="36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评结论为“优</w:t>
      </w:r>
      <w:r>
        <w:rPr>
          <w:rFonts w:ascii="FangSong" w:hAnsi="FangSong" w:eastAsia="FangSong" w:cs="FangSong"/>
          <w:sz w:val="31"/>
          <w:szCs w:val="31"/>
          <w:spacing w:val="-11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”。</w:t>
      </w:r>
    </w:p>
    <w:p>
      <w:pPr>
        <w:ind w:left="692"/>
        <w:spacing w:before="176" w:line="562" w:lineRule="exact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6"/>
          <w:position w:val="17"/>
        </w:rPr>
        <w:t>（五）其他需要说明的事项</w:t>
      </w:r>
    </w:p>
    <w:p>
      <w:pPr>
        <w:ind w:left="679"/>
        <w:spacing w:before="1" w:line="23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无</w:t>
      </w:r>
    </w:p>
    <w:p>
      <w:pPr>
        <w:spacing w:line="349" w:lineRule="auto"/>
        <w:rPr>
          <w:rFonts w:ascii="Arial"/>
          <w:sz w:val="21"/>
        </w:rPr>
      </w:pPr>
      <w:r/>
    </w:p>
    <w:p>
      <w:pPr>
        <w:ind w:left="61"/>
        <w:spacing w:before="141" w:line="226" w:lineRule="auto"/>
        <w:outlineLvl w:val="0"/>
        <w:rPr>
          <w:rFonts w:ascii="FangSong" w:hAnsi="FangSong" w:eastAsia="FangSong" w:cs="FangSong"/>
          <w:sz w:val="43"/>
          <w:szCs w:val="43"/>
        </w:rPr>
      </w:pPr>
      <w:bookmarkStart w:name="bookmark15" w:id="15"/>
      <w:bookmarkEnd w:id="15"/>
      <w:r>
        <w:rPr>
          <w:rFonts w:ascii="FangSong" w:hAnsi="FangSong" w:eastAsia="FangSong" w:cs="FangSong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  <w:spacing w:val="5"/>
        </w:rPr>
        <w:t>第四部分名词解释</w:t>
      </w:r>
    </w:p>
    <w:p>
      <w:pPr>
        <w:spacing w:line="469" w:lineRule="auto"/>
        <w:rPr>
          <w:rFonts w:ascii="Arial"/>
          <w:sz w:val="21"/>
        </w:rPr>
      </w:pPr>
      <w:r/>
    </w:p>
    <w:p>
      <w:pPr>
        <w:ind w:left="681"/>
        <w:spacing w:before="101" w:line="226" w:lineRule="auto"/>
        <w:outlineLvl w:val="1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一、财政拨款收入：指单位从同级财政部门取得的财政</w:t>
      </w:r>
    </w:p>
    <w:p>
      <w:pPr>
        <w:ind w:left="37"/>
        <w:spacing w:before="179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预算资金。</w:t>
      </w:r>
    </w:p>
    <w:p>
      <w:pPr>
        <w:ind w:left="686"/>
        <w:spacing w:before="178" w:line="561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二、事业收入：指事业单位开展专业业务活动及辅</w:t>
      </w:r>
      <w:r>
        <w:rPr>
          <w:rFonts w:ascii="FangSong" w:hAnsi="FangSong" w:eastAsia="FangSong" w:cs="FangSong"/>
          <w:sz w:val="31"/>
          <w:szCs w:val="31"/>
          <w:spacing w:val="7"/>
          <w:position w:val="18"/>
        </w:rPr>
        <w:t>助活</w:t>
      </w:r>
    </w:p>
    <w:p>
      <w:pPr>
        <w:ind w:left="38"/>
        <w:spacing w:before="2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动取得的收入。</w:t>
      </w:r>
    </w:p>
    <w:p>
      <w:pPr>
        <w:ind w:left="684"/>
        <w:spacing w:before="176" w:line="56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三、经营收入：指事业单位在专业业务活动及其辅助活</w:t>
      </w:r>
    </w:p>
    <w:p>
      <w:pPr>
        <w:ind w:left="38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动之外开展非独立核算经营活动取得的收入。</w:t>
      </w:r>
    </w:p>
    <w:p>
      <w:pPr>
        <w:spacing w:line="227" w:lineRule="auto"/>
        <w:sectPr>
          <w:pgSz w:w="11906" w:h="16839"/>
          <w:pgMar w:top="1431" w:right="1688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713"/>
        <w:spacing w:before="184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  <w:position w:val="17"/>
        </w:rPr>
        <w:t>四、其他收入：指单位取得的除上述收入以</w:t>
      </w:r>
      <w:r>
        <w:rPr>
          <w:rFonts w:ascii="FangSong" w:hAnsi="FangSong" w:eastAsia="FangSong" w:cs="FangSong"/>
          <w:sz w:val="31"/>
          <w:szCs w:val="31"/>
          <w:spacing w:val="6"/>
          <w:position w:val="17"/>
        </w:rPr>
        <w:t>外的各项收</w:t>
      </w:r>
    </w:p>
    <w:p>
      <w:pPr>
        <w:ind w:left="35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入。主要是按规定动用的售房收入、存款利息收入等。</w:t>
      </w:r>
    </w:p>
    <w:p>
      <w:pPr>
        <w:ind w:left="681"/>
        <w:spacing w:before="181" w:line="56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五、使用非财政拨款结余：指事业单位使用以前年度积</w:t>
      </w:r>
    </w:p>
    <w:p>
      <w:pPr>
        <w:ind w:left="53"/>
        <w:spacing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累的非财政拨款结余弥补当年收支差额的金额。</w:t>
      </w:r>
    </w:p>
    <w:p>
      <w:pPr>
        <w:ind w:left="45" w:right="113" w:firstLine="633"/>
        <w:spacing w:before="177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六、年初结转和结余：指单位以前年度尚未完成、结转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到本年仍按原规定用途继续使用的资金，或项目已完成等产</w:t>
      </w:r>
    </w:p>
    <w:p>
      <w:pPr>
        <w:ind w:left="53"/>
        <w:spacing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生的结余资金。</w:t>
      </w:r>
    </w:p>
    <w:p>
      <w:pPr>
        <w:ind w:left="682"/>
        <w:spacing w:before="175" w:line="560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7"/>
        </w:rPr>
        <w:t>七、结余分配：指事业单位按照会计制度规定缴纳的所</w:t>
      </w:r>
    </w:p>
    <w:p>
      <w:pPr>
        <w:ind w:left="36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得税、提取的专用结余以及转入非财政拨款结余的金额等。</w:t>
      </w:r>
    </w:p>
    <w:p>
      <w:pPr>
        <w:ind w:left="67" w:right="114" w:firstLine="607"/>
        <w:spacing w:before="185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八、年末结转和结余：批单位按有关规定结转到下年或</w:t>
      </w:r>
      <w:r>
        <w:rPr>
          <w:rFonts w:ascii="FangSong" w:hAnsi="FangSong" w:eastAsia="FangSong" w:cs="FangSong"/>
          <w:sz w:val="31"/>
          <w:szCs w:val="31"/>
          <w:spacing w:val="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以后年度继续使用的资金，或项目已完成等产生的结余资</w:t>
      </w:r>
    </w:p>
    <w:p>
      <w:pPr>
        <w:ind w:left="35"/>
        <w:spacing w:before="1" w:line="2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7"/>
        </w:rPr>
        <w:t>金。</w:t>
      </w:r>
    </w:p>
    <w:p>
      <w:pPr>
        <w:ind w:left="687"/>
        <w:spacing w:before="170" w:line="559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九、基本支出：指为保障机构正常运转、完成日常工作</w:t>
      </w:r>
    </w:p>
    <w:p>
      <w:pPr>
        <w:ind w:left="35"/>
        <w:spacing w:before="1" w:line="228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任务而发生的人员支出和公用支出。</w:t>
      </w:r>
    </w:p>
    <w:p>
      <w:pPr>
        <w:ind w:left="684"/>
        <w:spacing w:before="175" w:line="562" w:lineRule="exac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  <w:position w:val="18"/>
        </w:rPr>
        <w:t>十、项目支出：指在基本支出之外为完成特定行政任务</w:t>
      </w:r>
    </w:p>
    <w:p>
      <w:pPr>
        <w:ind w:left="35"/>
        <w:spacing w:before="1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和事业发展目标所发生的支出。</w:t>
      </w:r>
    </w:p>
    <w:p>
      <w:pPr>
        <w:ind w:left="34" w:firstLine="650"/>
        <w:spacing w:before="182" w:line="33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十一、“三公</w:t>
      </w:r>
      <w:r>
        <w:rPr>
          <w:rFonts w:ascii="FangSong" w:hAnsi="FangSong" w:eastAsia="FangSong" w:cs="FangSong"/>
          <w:sz w:val="31"/>
          <w:szCs w:val="31"/>
          <w:spacing w:val="-11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5"/>
        </w:rPr>
        <w:t>”经费：指市直部门用一般公共预算安排</w:t>
      </w:r>
      <w:r>
        <w:rPr>
          <w:rFonts w:ascii="FangSong" w:hAnsi="FangSong" w:eastAsia="FangSong" w:cs="FangSong"/>
          <w:sz w:val="31"/>
          <w:szCs w:val="31"/>
          <w:spacing w:val="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的因公出国（境）费、公务用车购置及运行费和公务接待费。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其中，因公出国（境）费反映单位公务出国（境）的国际旅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费、国外城市间交通费、住宿费、伙食费、培训费、公杂费</w:t>
      </w:r>
      <w:r>
        <w:rPr>
          <w:rFonts w:ascii="FangSong" w:hAnsi="FangSong" w:eastAsia="FangSong" w:cs="FangSong"/>
          <w:sz w:val="31"/>
          <w:szCs w:val="31"/>
          <w:spacing w:val="1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7"/>
        </w:rPr>
        <w:t>等支出；公务用车购置费反映公务用车车辆购置支出（含车</w:t>
      </w:r>
      <w:r>
        <w:rPr>
          <w:rFonts w:ascii="FangSong" w:hAnsi="FangSong" w:eastAsia="FangSong" w:cs="FangSong"/>
          <w:sz w:val="31"/>
          <w:szCs w:val="31"/>
          <w:spacing w:val="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辆购置税</w:t>
      </w:r>
      <w:r>
        <w:rPr>
          <w:rFonts w:ascii="FangSong" w:hAnsi="FangSong" w:eastAsia="FangSong" w:cs="FangSong"/>
          <w:sz w:val="31"/>
          <w:szCs w:val="31"/>
          <w:spacing w:val="25"/>
        </w:rPr>
        <w:t>）；</w:t>
      </w:r>
      <w:r>
        <w:rPr>
          <w:rFonts w:ascii="FangSong" w:hAnsi="FangSong" w:eastAsia="FangSong" w:cs="FangSong"/>
          <w:sz w:val="31"/>
          <w:szCs w:val="31"/>
          <w:spacing w:val="6"/>
        </w:rPr>
        <w:t>公务用车运行维护费反映单位按规定保留的公</w:t>
      </w:r>
      <w:r>
        <w:rPr>
          <w:rFonts w:ascii="FangSong" w:hAnsi="FangSong" w:eastAsia="FangSong" w:cs="FangSong"/>
          <w:sz w:val="31"/>
          <w:szCs w:val="31"/>
          <w:spacing w:val="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8"/>
        </w:rPr>
        <w:t>务用车燃料费、维修费、过路过桥费、保险费、安全奖励费</w:t>
      </w:r>
    </w:p>
    <w:p>
      <w:pPr>
        <w:ind w:left="35"/>
        <w:spacing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用等支出；公务接待费反映单位按规定开支的各类公务接待</w:t>
      </w:r>
    </w:p>
    <w:p>
      <w:pPr>
        <w:spacing w:line="226" w:lineRule="auto"/>
        <w:sectPr>
          <w:pgSz w:w="11906" w:h="16839"/>
          <w:pgMar w:top="1431" w:right="1688" w:bottom="0" w:left="1785" w:header="0" w:footer="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ind w:left="39"/>
        <w:spacing w:before="184" w:line="22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（含外宾接待）支出。</w:t>
      </w:r>
    </w:p>
    <w:p>
      <w:pPr>
        <w:ind w:left="53" w:right="16" w:firstLine="630"/>
        <w:spacing w:before="177" w:line="33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十二、机关运行经费：指行政单位和参照公务员法管理</w:t>
      </w:r>
      <w:r>
        <w:rPr>
          <w:rFonts w:ascii="FangSong" w:hAnsi="FangSong" w:eastAsia="FangSong" w:cs="FangSong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0"/>
        </w:rPr>
        <w:t>的事业单位使用一般公共预算安排的基本支出中的日常公</w:t>
      </w:r>
    </w:p>
    <w:p>
      <w:pPr>
        <w:ind w:left="35"/>
        <w:spacing w:line="22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用经费支出。</w:t>
      </w:r>
    </w:p>
    <w:sectPr>
      <w:pgSz w:w="11906" w:h="16839"/>
      <w:pgMar w:top="143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dcterms:created xsi:type="dcterms:W3CDTF">2023-10-12T11:12:34Z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2023-10-17T11:03:58</vt:filetime>
  </property>
</Properties>
</file>