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399" w:right="3384" w:firstLine="199"/>
        <w:spacing w:before="163" w:line="298" w:lineRule="auto"/>
        <w:outlineLvl w:val="0"/>
        <w:rPr>
          <w:sz w:val="31"/>
          <w:szCs w:val="31"/>
        </w:rPr>
      </w:pPr>
      <w:r>
        <w:rPr>
          <w:sz w:val="31"/>
          <w:szCs w:val="31"/>
          <w:spacing w:val="8"/>
        </w:rPr>
        <w:t>大同市项目推进中心</w:t>
      </w:r>
      <w:r>
        <w:rPr>
          <w:sz w:val="31"/>
          <w:szCs w:val="31"/>
        </w:rPr>
        <w:t xml:space="preserve">  </w:t>
      </w:r>
      <w:r>
        <w:rPr>
          <w:sz w:val="31"/>
          <w:szCs w:val="31"/>
          <w:spacing w:val="5"/>
        </w:rPr>
        <w:t>2021</w:t>
      </w:r>
      <w:r>
        <w:rPr>
          <w:sz w:val="31"/>
          <w:szCs w:val="31"/>
          <w:spacing w:val="-55"/>
        </w:rPr>
        <w:t xml:space="preserve"> </w:t>
      </w:r>
      <w:r>
        <w:rPr>
          <w:sz w:val="31"/>
          <w:szCs w:val="31"/>
          <w:spacing w:val="5"/>
        </w:rPr>
        <w:t>年度部门决算公开</w:t>
      </w:r>
    </w:p>
    <w:p>
      <w:pPr>
        <w:spacing w:line="325" w:lineRule="auto"/>
        <w:rPr>
          <w:rFonts w:ascii="Arial"/>
          <w:sz w:val="21"/>
        </w:rPr>
      </w:pPr>
      <w:r/>
    </w:p>
    <w:p>
      <w:pPr>
        <w:spacing w:line="325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20"/>
          <w:szCs w:val="20"/>
        </w:rPr>
      </w:sdtEndPr>
      <w:sdtContent>
        <w:p>
          <w:pPr>
            <w:pStyle w:val="BodyText"/>
            <w:ind w:left="4806"/>
            <w:spacing w:before="91" w:line="222" w:lineRule="auto"/>
            <w:rPr>
              <w:sz w:val="28"/>
              <w:szCs w:val="28"/>
            </w:rPr>
          </w:pPr>
          <w:r>
            <w:rPr>
              <w:sz w:val="28"/>
              <w:szCs w:val="28"/>
              <w14:textOutline w14:w="5103" w14:cap="sq" w14:cmpd="sng">
                <w14:solidFill>
                  <w14:srgbClr w14:val="000000"/>
                </w14:solidFill>
                <w14:prstDash w14:val="solid"/>
                <w14:bevel/>
              </w14:textOutline>
              <w:spacing w:val="-32"/>
            </w:rPr>
            <w:t>目录</w:t>
          </w:r>
        </w:p>
        <w:p>
          <w:pPr>
            <w:spacing w:line="410" w:lineRule="auto"/>
            <w:rPr>
              <w:rFonts w:ascii="Arial"/>
              <w:sz w:val="21"/>
            </w:rPr>
          </w:pPr>
          <w:r/>
        </w:p>
        <w:p>
          <w:pPr>
            <w:pStyle w:val="BodyText"/>
            <w:spacing w:before="65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">
            <w:r>
              <w:rPr>
                <w:spacing w:val="7"/>
              </w:rPr>
              <w:t>第一部分 概况</w:t>
            </w:r>
            <w:r>
              <w:rPr>
                <w:spacing w:val="-54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12"/>
              </w:rPr>
              <w:t>2</w:t>
            </w:r>
          </w:hyperlink>
        </w:p>
        <w:p>
          <w:pPr>
            <w:pStyle w:val="BodyText"/>
            <w:ind w:left="423"/>
            <w:spacing w:before="102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">
            <w:r>
              <w:rPr>
                <w:spacing w:val="8"/>
              </w:rPr>
              <w:t>一、单位主要职责</w:t>
            </w:r>
            <w:r>
              <w:rPr>
                <w:spacing w:val="-55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04"/>
              </w:rPr>
              <w:t>2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3">
            <w:r>
              <w:rPr>
                <w:spacing w:val="8"/>
              </w:rPr>
              <w:t>二、机构设置情况</w:t>
            </w:r>
            <w:r>
              <w:rPr>
                <w:spacing w:val="-55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04"/>
              </w:rPr>
              <w:t>2</w:t>
            </w:r>
          </w:hyperlink>
        </w:p>
        <w:p>
          <w:pPr>
            <w:pStyle w:val="BodyText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4">
            <w:r>
              <w:rPr>
                <w:spacing w:val="7"/>
              </w:rPr>
              <w:t>第二部分 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20"/>
              </w:rPr>
              <w:t xml:space="preserve"> </w:t>
            </w:r>
            <w:r>
              <w:rPr>
                <w:spacing w:val="7"/>
              </w:rPr>
              <w:t>年度部门决算表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4"/>
              </w:rPr>
              <w:t>3</w:t>
            </w:r>
          </w:hyperlink>
        </w:p>
        <w:p>
          <w:pPr>
            <w:pStyle w:val="BodyText"/>
            <w:ind w:left="423"/>
            <w:spacing w:before="102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5">
            <w:r>
              <w:rPr>
                <w:spacing w:val="7"/>
              </w:rPr>
              <w:t>一、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7"/>
              </w:rPr>
              <w:t>年收入支出决算总表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1"/>
              </w:rPr>
              <w:t>3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6">
            <w:r>
              <w:rPr>
                <w:spacing w:val="6"/>
              </w:rPr>
              <w:t>二、</w:t>
            </w:r>
            <w:r>
              <w:rPr>
                <w:rFonts w:ascii="Calibri" w:hAnsi="Calibri" w:eastAsia="Calibri" w:cs="Calibri"/>
                <w:spacing w:val="6"/>
              </w:rPr>
              <w:t>2021</w:t>
            </w:r>
            <w:r>
              <w:rPr>
                <w:rFonts w:ascii="Calibri" w:hAnsi="Calibri" w:eastAsia="Calibri" w:cs="Calibri"/>
                <w:spacing w:val="20"/>
              </w:rPr>
              <w:t xml:space="preserve"> </w:t>
            </w:r>
            <w:r>
              <w:rPr>
                <w:spacing w:val="6"/>
              </w:rPr>
              <w:t>年收入决算表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6"/>
              </w:rPr>
              <w:t>3</w:t>
            </w:r>
          </w:hyperlink>
        </w:p>
        <w:p>
          <w:pPr>
            <w:pStyle w:val="BodyText"/>
            <w:ind w:left="419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7">
            <w:r>
              <w:rPr>
                <w:spacing w:val="6"/>
              </w:rPr>
              <w:t>三、</w:t>
            </w:r>
            <w:r>
              <w:rPr>
                <w:rFonts w:ascii="Calibri" w:hAnsi="Calibri" w:eastAsia="Calibri" w:cs="Calibri"/>
                <w:spacing w:val="6"/>
              </w:rPr>
              <w:t>2021</w:t>
            </w:r>
            <w:r>
              <w:rPr>
                <w:rFonts w:ascii="Calibri" w:hAnsi="Calibri" w:eastAsia="Calibri" w:cs="Calibri"/>
                <w:spacing w:val="23"/>
                <w:w w:val="101"/>
              </w:rPr>
              <w:t xml:space="preserve"> </w:t>
            </w:r>
            <w:r>
              <w:rPr>
                <w:spacing w:val="6"/>
              </w:rPr>
              <w:t>年支出决算表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6"/>
              </w:rPr>
              <w:t>3</w:t>
            </w:r>
          </w:hyperlink>
        </w:p>
        <w:p>
          <w:pPr>
            <w:pStyle w:val="BodyText"/>
            <w:ind w:left="439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8">
            <w:r>
              <w:rPr>
                <w:spacing w:val="6"/>
              </w:rPr>
              <w:t>四、</w:t>
            </w:r>
            <w:r>
              <w:rPr>
                <w:rFonts w:ascii="Calibri" w:hAnsi="Calibri" w:eastAsia="Calibri" w:cs="Calibri"/>
                <w:spacing w:val="6"/>
              </w:rPr>
              <w:t>2021</w:t>
            </w:r>
            <w:r>
              <w:rPr>
                <w:rFonts w:ascii="Calibri" w:hAnsi="Calibri" w:eastAsia="Calibri" w:cs="Calibri"/>
                <w:spacing w:val="25"/>
              </w:rPr>
              <w:t xml:space="preserve"> </w:t>
            </w:r>
            <w:r>
              <w:rPr>
                <w:spacing w:val="6"/>
              </w:rPr>
              <w:t>年财政拨款收入支出总表</w:t>
            </w:r>
            <w:r>
              <w:rPr>
                <w:spacing w:val="-59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7"/>
              </w:rPr>
              <w:t>3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9">
            <w:r>
              <w:rPr>
                <w:spacing w:val="8"/>
              </w:rPr>
              <w:t>五、</w:t>
            </w:r>
            <w:r>
              <w:rPr>
                <w:rFonts w:ascii="Calibri" w:hAnsi="Calibri" w:eastAsia="Calibri" w:cs="Calibri"/>
                <w:spacing w:val="8"/>
              </w:rPr>
              <w:t>2021</w:t>
            </w:r>
            <w:r>
              <w:rPr>
                <w:rFonts w:ascii="Calibri" w:hAnsi="Calibri" w:eastAsia="Calibri" w:cs="Calibri"/>
                <w:spacing w:val="16"/>
              </w:rPr>
              <w:t xml:space="preserve"> </w:t>
            </w:r>
            <w:r>
              <w:rPr>
                <w:spacing w:val="8"/>
              </w:rPr>
              <w:t>年一般公共预算财政拨款支出决算表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2"/>
                <w:w w:val="125"/>
              </w:rPr>
              <w:t>3</w:t>
            </w:r>
          </w:hyperlink>
        </w:p>
        <w:p>
          <w:pPr>
            <w:pStyle w:val="BodyText"/>
            <w:ind w:left="421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0">
            <w:r>
              <w:rPr>
                <w:spacing w:val="8"/>
              </w:rPr>
              <w:t>六、</w:t>
            </w:r>
            <w:r>
              <w:rPr>
                <w:rFonts w:ascii="Calibri" w:hAnsi="Calibri" w:eastAsia="Calibri" w:cs="Calibri"/>
                <w:spacing w:val="8"/>
              </w:rPr>
              <w:t>2021</w:t>
            </w:r>
            <w:r>
              <w:rPr>
                <w:rFonts w:ascii="Calibri" w:hAnsi="Calibri" w:eastAsia="Calibri" w:cs="Calibri"/>
                <w:spacing w:val="21"/>
                <w:w w:val="101"/>
              </w:rPr>
              <w:t xml:space="preserve"> </w:t>
            </w:r>
            <w:r>
              <w:rPr>
                <w:spacing w:val="8"/>
              </w:rPr>
              <w:t>年一般公共预算财政拨款基本支出决算表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0"/>
                <w:w w:val="123"/>
              </w:rPr>
              <w:t>3</w:t>
            </w:r>
          </w:hyperlink>
        </w:p>
        <w:p>
          <w:pPr>
            <w:pStyle w:val="BodyText"/>
            <w:ind w:left="419"/>
            <w:spacing w:before="103" w:line="228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1">
            <w:r>
              <w:rPr>
                <w:spacing w:val="8"/>
              </w:rPr>
              <w:t>七、</w:t>
            </w:r>
            <w:r>
              <w:rPr>
                <w:rFonts w:ascii="Calibri" w:hAnsi="Calibri" w:eastAsia="Calibri" w:cs="Calibri"/>
                <w:spacing w:val="8"/>
              </w:rPr>
              <w:t>2021</w:t>
            </w:r>
            <w:r>
              <w:rPr>
                <w:rFonts w:ascii="Calibri" w:hAnsi="Calibri" w:eastAsia="Calibri" w:cs="Calibri"/>
                <w:spacing w:val="32"/>
              </w:rPr>
              <w:t xml:space="preserve"> </w:t>
            </w:r>
            <w:r>
              <w:rPr>
                <w:spacing w:val="8"/>
              </w:rPr>
              <w:t>年一般公共预算财政拨款“三公”经费支出决算表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0"/>
                <w:w w:val="116"/>
              </w:rPr>
              <w:t>3</w:t>
            </w:r>
          </w:hyperlink>
        </w:p>
        <w:p>
          <w:pPr>
            <w:pStyle w:val="BodyText"/>
            <w:ind w:left="423"/>
            <w:spacing w:before="65" w:line="227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r>
            <w:rPr>
              <w:spacing w:val="8"/>
            </w:rPr>
            <w:t>八、</w:t>
          </w:r>
          <w:r>
            <w:rPr>
              <w:rFonts w:ascii="Calibri" w:hAnsi="Calibri" w:eastAsia="Calibri" w:cs="Calibri"/>
              <w:spacing w:val="8"/>
            </w:rPr>
            <w:t>2021</w:t>
          </w:r>
          <w:r>
            <w:rPr>
              <w:rFonts w:ascii="Calibri" w:hAnsi="Calibri" w:eastAsia="Calibri" w:cs="Calibri"/>
              <w:spacing w:val="23"/>
            </w:rPr>
            <w:t xml:space="preserve"> </w:t>
          </w:r>
          <w:r>
            <w:rPr>
              <w:spacing w:val="8"/>
            </w:rPr>
            <w:t>年政府性基金预算财政拨款收入支出决算表</w:t>
          </w:r>
          <w:r>
            <w:rPr>
              <w:spacing w:val="-58"/>
            </w:rPr>
            <w:t xml:space="preserve"> </w:t>
          </w:r>
          <w:r>
            <w:rPr/>
            <w:tab/>
          </w:r>
          <w:r>
            <w:rPr>
              <w:spacing w:val="-51"/>
            </w:rPr>
            <w:t xml:space="preserve"> </w:t>
          </w:r>
          <w:hyperlink w:history="true" w:anchor="bookmark12">
            <w:r>
              <w:rPr>
                <w:rFonts w:ascii="Calibri" w:hAnsi="Calibri" w:eastAsia="Calibri" w:cs="Calibri"/>
                <w:spacing w:val="-7"/>
              </w:rPr>
              <w:t>3</w:t>
            </w:r>
          </w:hyperlink>
        </w:p>
        <w:p>
          <w:pPr>
            <w:pStyle w:val="BodyText"/>
            <w:ind w:left="425"/>
            <w:spacing w:before="66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3">
            <w:r>
              <w:rPr>
                <w:spacing w:val="8"/>
              </w:rPr>
              <w:t>九、</w:t>
            </w:r>
            <w:r>
              <w:rPr>
                <w:rFonts w:ascii="Calibri" w:hAnsi="Calibri" w:eastAsia="Calibri" w:cs="Calibri"/>
                <w:spacing w:val="8"/>
              </w:rPr>
              <w:t>2021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8"/>
              </w:rPr>
              <w:t>年国有资本经营预算财政拨款支出决算表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0"/>
                <w:w w:val="123"/>
              </w:rPr>
              <w:t>3</w:t>
            </w:r>
          </w:hyperlink>
        </w:p>
        <w:p>
          <w:pPr>
            <w:pStyle w:val="BodyText"/>
            <w:ind w:left="420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4">
            <w:r>
              <w:rPr>
                <w:spacing w:val="7"/>
              </w:rPr>
              <w:t>十、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34"/>
                <w:w w:val="101"/>
              </w:rPr>
              <w:t xml:space="preserve"> </w:t>
            </w:r>
            <w:r>
              <w:rPr>
                <w:spacing w:val="7"/>
              </w:rPr>
              <w:t>年部门决算公开相关信息统计表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6"/>
                <w:w w:val="125"/>
              </w:rPr>
              <w:t>3</w:t>
            </w:r>
          </w:hyperlink>
        </w:p>
        <w:p>
          <w:pPr>
            <w:pStyle w:val="BodyText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5">
            <w:r>
              <w:rPr>
                <w:spacing w:val="7"/>
              </w:rPr>
              <w:t>第三部分 </w:t>
            </w:r>
            <w:r>
              <w:rPr>
                <w:rFonts w:ascii="Calibri" w:hAnsi="Calibri" w:eastAsia="Calibri" w:cs="Calibri"/>
                <w:spacing w:val="7"/>
              </w:rPr>
              <w:t>2021</w:t>
            </w:r>
            <w:r>
              <w:rPr>
                <w:rFonts w:ascii="Calibri" w:hAnsi="Calibri" w:eastAsia="Calibri" w:cs="Calibri"/>
                <w:spacing w:val="26"/>
              </w:rPr>
              <w:t xml:space="preserve"> </w:t>
            </w:r>
            <w:r>
              <w:rPr>
                <w:spacing w:val="7"/>
              </w:rPr>
              <w:t>年部门决算情况说明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0"/>
              </w:rPr>
              <w:t>4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6">
            <w:r>
              <w:rPr>
                <w:spacing w:val="7"/>
              </w:rPr>
              <w:t>一、</w:t>
            </w:r>
            <w:r>
              <w:rPr>
                <w:spacing w:val="11"/>
              </w:rPr>
              <w:t xml:space="preserve">    </w:t>
            </w:r>
            <w:r>
              <w:rPr>
                <w:spacing w:val="7"/>
              </w:rPr>
              <w:t>收入支出决算总体情况说明</w:t>
            </w:r>
            <w:r>
              <w:rPr>
                <w:spacing w:val="-53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0"/>
              </w:rPr>
              <w:t>4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7">
            <w:r>
              <w:rPr>
                <w:spacing w:val="5"/>
              </w:rPr>
              <w:t>二、</w:t>
            </w:r>
            <w:r>
              <w:rPr>
                <w:spacing w:val="13"/>
              </w:rPr>
              <w:t xml:space="preserve">    </w:t>
            </w:r>
            <w:r>
              <w:rPr>
                <w:spacing w:val="5"/>
              </w:rPr>
              <w:t>收入决算情况说明</w:t>
            </w:r>
            <w:r>
              <w:rPr>
                <w:spacing w:val="-53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8"/>
              </w:rPr>
              <w:t>4</w:t>
            </w:r>
          </w:hyperlink>
        </w:p>
        <w:p>
          <w:pPr>
            <w:pStyle w:val="BodyText"/>
            <w:ind w:left="419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8">
            <w:r>
              <w:rPr>
                <w:spacing w:val="6"/>
              </w:rPr>
              <w:t>三、</w:t>
            </w:r>
            <w:r>
              <w:rPr>
                <w:spacing w:val="12"/>
              </w:rPr>
              <w:t xml:space="preserve">    </w:t>
            </w:r>
            <w:r>
              <w:rPr>
                <w:spacing w:val="6"/>
              </w:rPr>
              <w:t>支出决算情况说明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8"/>
              </w:rPr>
              <w:t>4</w:t>
            </w:r>
          </w:hyperlink>
        </w:p>
        <w:p>
          <w:pPr>
            <w:pStyle w:val="BodyText"/>
            <w:ind w:left="439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19">
            <w:r>
              <w:rPr>
                <w:spacing w:val="7"/>
              </w:rPr>
              <w:t>四、    财政拨款收入支出决算总体情况说明</w:t>
            </w:r>
            <w:r>
              <w:rPr>
                <w:spacing w:val="-41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8"/>
                <w:w w:val="125"/>
              </w:rPr>
              <w:t>5</w:t>
            </w:r>
          </w:hyperlink>
        </w:p>
        <w:p>
          <w:pPr>
            <w:pStyle w:val="BodyText"/>
            <w:ind w:left="423"/>
            <w:spacing w:before="102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0">
            <w:r>
              <w:rPr>
                <w:spacing w:val="8"/>
              </w:rPr>
              <w:t>五、    一般公共预算财政拨款支出决算情况说明</w:t>
            </w:r>
            <w:r>
              <w:rPr>
                <w:spacing w:val="-43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4"/>
                <w:w w:val="125"/>
              </w:rPr>
              <w:t>5</w:t>
            </w:r>
          </w:hyperlink>
        </w:p>
        <w:p>
          <w:pPr>
            <w:pStyle w:val="BodyText"/>
            <w:ind w:left="421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1">
            <w:r>
              <w:rPr>
                <w:spacing w:val="8"/>
              </w:rPr>
              <w:t>六、    一般公共预算财政拨款基本支出决算说明</w:t>
            </w:r>
            <w:r>
              <w:rPr>
                <w:spacing w:val="-41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24"/>
                <w:w w:val="125"/>
              </w:rPr>
              <w:t>5</w:t>
            </w:r>
          </w:hyperlink>
        </w:p>
        <w:p>
          <w:pPr>
            <w:pStyle w:val="BodyText"/>
            <w:ind w:left="419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2">
            <w:r>
              <w:rPr>
                <w:spacing w:val="9"/>
              </w:rPr>
              <w:t>七、    一般公共预算财政拨款“三公”经费支出决算情况说明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6"/>
                <w:w w:val="121"/>
              </w:rPr>
              <w:t>6</w:t>
            </w:r>
          </w:hyperlink>
        </w:p>
        <w:p>
          <w:pPr>
            <w:pStyle w:val="BodyText"/>
            <w:ind w:left="423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3">
            <w:r>
              <w:rPr>
                <w:spacing w:val="9"/>
              </w:rPr>
              <w:t>八、    政府性基金预算财政拨款收入支</w:t>
            </w:r>
            <w:r>
              <w:rPr>
                <w:spacing w:val="8"/>
              </w:rPr>
              <w:t>出决算情况说明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9"/>
                <w:w w:val="125"/>
              </w:rPr>
              <w:t>6</w:t>
            </w:r>
          </w:hyperlink>
        </w:p>
        <w:p>
          <w:pPr>
            <w:pStyle w:val="BodyText"/>
            <w:ind w:left="425"/>
            <w:spacing w:before="103" w:line="193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4">
            <w:r>
              <w:rPr>
                <w:spacing w:val="6"/>
              </w:rPr>
              <w:t>九、</w:t>
            </w:r>
            <w:r>
              <w:rPr>
                <w:spacing w:val="12"/>
              </w:rPr>
              <w:t xml:space="preserve">    </w:t>
            </w:r>
            <w:r>
              <w:rPr>
                <w:spacing w:val="6"/>
              </w:rPr>
              <w:t>其他需要说明的情况</w:t>
            </w:r>
            <w:r>
              <w:rPr>
                <w:spacing w:val="-58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7"/>
              </w:rPr>
              <w:t>6</w:t>
            </w:r>
          </w:hyperlink>
        </w:p>
        <w:p>
          <w:pPr>
            <w:pStyle w:val="BodyText"/>
            <w:spacing w:before="103" w:line="228" w:lineRule="auto"/>
            <w:tabs>
              <w:tab w:val="right" w:leader="dot" w:pos="10045"/>
            </w:tabs>
            <w:rPr>
              <w:rFonts w:ascii="Calibri" w:hAnsi="Calibri" w:eastAsia="Calibri" w:cs="Calibri"/>
            </w:rPr>
          </w:pPr>
          <w:hyperlink w:history="true" w:anchor="bookmark25">
            <w:r>
              <w:rPr>
                <w:spacing w:val="8"/>
              </w:rPr>
              <w:t>第四部分 名词解释</w:t>
            </w:r>
            <w:r>
              <w:rPr>
                <w:spacing w:val="-56"/>
              </w:rPr>
              <w:t xml:space="preserve"> </w:t>
            </w:r>
            <w:r>
              <w:rPr/>
              <w:tab/>
            </w:r>
            <w:r>
              <w:rPr>
                <w:rFonts w:ascii="Calibri" w:hAnsi="Calibri" w:eastAsia="Calibri" w:cs="Calibri"/>
                <w:spacing w:val="18"/>
                <w:w w:val="112"/>
              </w:rPr>
              <w:t>7</w:t>
            </w:r>
          </w:hyperlink>
        </w:p>
      </w:sdtContent>
    </w:sdt>
    <w:p>
      <w:pPr>
        <w:spacing w:line="228" w:lineRule="auto"/>
        <w:sectPr>
          <w:footerReference w:type="default" r:id="rId1"/>
          <w:pgSz w:w="11906" w:h="16839"/>
          <w:pgMar w:top="1431" w:right="858" w:bottom="1156" w:left="1001" w:header="0" w:footer="991" w:gutter="0"/>
        </w:sectPr>
        <w:rPr>
          <w:rFonts w:ascii="Calibri" w:hAnsi="Calibri" w:eastAsia="Calibri" w:cs="Calibri"/>
        </w:rPr>
      </w:pPr>
    </w:p>
    <w:p>
      <w:pPr>
        <w:pStyle w:val="BodyText"/>
        <w:spacing w:before="165" w:line="223" w:lineRule="auto"/>
        <w:outlineLvl w:val="0"/>
        <w:rPr>
          <w:sz w:val="43"/>
          <w:szCs w:val="43"/>
        </w:rPr>
      </w:pPr>
      <w:bookmarkStart w:name="bookmark1" w:id="1"/>
      <w:bookmarkEnd w:id="1"/>
      <w:bookmarkStart w:name="bookmark2" w:id="2"/>
      <w:bookmarkEnd w:id="2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第一部分</w:t>
      </w:r>
      <w:r>
        <w:rPr>
          <w:sz w:val="43"/>
          <w:szCs w:val="43"/>
          <w:spacing w:val="7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概况</w:t>
      </w:r>
    </w:p>
    <w:p>
      <w:pPr>
        <w:spacing w:line="466" w:lineRule="auto"/>
        <w:rPr>
          <w:rFonts w:ascii="Arial"/>
          <w:sz w:val="21"/>
        </w:rPr>
      </w:pPr>
      <w:r/>
    </w:p>
    <w:p>
      <w:pPr>
        <w:ind w:left="666"/>
        <w:spacing w:before="97" w:line="624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  <w:position w:val="24"/>
        </w:rPr>
        <w:t>大同市项目推进中心（原名大同市重点工程建设服务中心）为大同市政</w:t>
      </w:r>
    </w:p>
    <w:p>
      <w:pPr>
        <w:spacing w:before="1" w:line="220" w:lineRule="auto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府直属事业单位，归口市发改委管理，副处级建制，编制</w:t>
      </w:r>
      <w:r>
        <w:rPr>
          <w:rFonts w:ascii="FangSong" w:hAnsi="FangSong" w:eastAsia="FangSong" w:cs="FangSong"/>
          <w:sz w:val="30"/>
          <w:szCs w:val="30"/>
          <w:spacing w:val="-4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</w:rPr>
        <w:t>16</w:t>
      </w:r>
      <w:r>
        <w:rPr>
          <w:rFonts w:ascii="FangSong" w:hAnsi="FangSong" w:eastAsia="FangSong" w:cs="FangSong"/>
          <w:sz w:val="30"/>
          <w:szCs w:val="30"/>
          <w:spacing w:val="-52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</w:rPr>
        <w:t>人，实</w:t>
      </w:r>
      <w:r>
        <w:rPr>
          <w:rFonts w:ascii="FangSong" w:hAnsi="FangSong" w:eastAsia="FangSong" w:cs="FangSong"/>
          <w:sz w:val="30"/>
          <w:szCs w:val="30"/>
          <w:spacing w:val="-6"/>
        </w:rPr>
        <w:t>有</w:t>
      </w:r>
      <w:r>
        <w:rPr>
          <w:rFonts w:ascii="FangSong" w:hAnsi="FangSong" w:eastAsia="FangSong" w:cs="FangSong"/>
          <w:sz w:val="30"/>
          <w:szCs w:val="30"/>
          <w:spacing w:val="-43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10</w:t>
      </w:r>
      <w:r>
        <w:rPr>
          <w:rFonts w:ascii="FangSong" w:hAnsi="FangSong" w:eastAsia="FangSong" w:cs="FangSong"/>
          <w:sz w:val="30"/>
          <w:szCs w:val="30"/>
          <w:spacing w:val="-49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6"/>
        </w:rPr>
        <w:t>人。</w:t>
      </w:r>
    </w:p>
    <w:p>
      <w:pPr>
        <w:spacing w:line="414" w:lineRule="auto"/>
        <w:rPr>
          <w:rFonts w:ascii="Arial"/>
          <w:sz w:val="21"/>
        </w:rPr>
      </w:pPr>
      <w:r/>
    </w:p>
    <w:p>
      <w:pPr>
        <w:pStyle w:val="BodyText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一、单位主要职责</w:t>
      </w:r>
    </w:p>
    <w:p>
      <w:pPr>
        <w:spacing w:line="442" w:lineRule="auto"/>
        <w:rPr>
          <w:rFonts w:ascii="Arial"/>
          <w:sz w:val="21"/>
        </w:rPr>
      </w:pPr>
      <w:r/>
    </w:p>
    <w:p>
      <w:pPr>
        <w:ind w:left="615"/>
        <w:spacing w:before="98" w:line="560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  <w:position w:val="19"/>
        </w:rPr>
        <w:t>1、贯彻执行国家投融资体制改革的方针政策、法律法规和省市投融资体</w:t>
      </w:r>
    </w:p>
    <w:p>
      <w:pPr>
        <w:ind w:left="3"/>
        <w:spacing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制改革、投资项目综合管理、“放管服效</w:t>
      </w:r>
      <w:r>
        <w:rPr>
          <w:rFonts w:ascii="FangSong" w:hAnsi="FangSong" w:eastAsia="FangSong" w:cs="FangSong"/>
          <w:sz w:val="30"/>
          <w:szCs w:val="30"/>
          <w:spacing w:val="-107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”决策部署，研究我市具体政策。</w:t>
      </w:r>
    </w:p>
    <w:p>
      <w:pPr>
        <w:ind w:left="6" w:firstLine="590"/>
        <w:spacing w:before="199" w:line="34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2、践行“项目为王</w:t>
      </w:r>
      <w:r>
        <w:rPr>
          <w:rFonts w:ascii="FangSong" w:hAnsi="FangSong" w:eastAsia="FangSong" w:cs="FangSong"/>
          <w:sz w:val="30"/>
          <w:szCs w:val="30"/>
          <w:spacing w:val="-11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"/>
        </w:rPr>
        <w:t>”要求，服务高质量转型项目</w:t>
      </w:r>
      <w:r>
        <w:rPr>
          <w:rFonts w:ascii="FangSong" w:hAnsi="FangSong" w:eastAsia="FangSong" w:cs="FangSong"/>
          <w:sz w:val="30"/>
          <w:szCs w:val="30"/>
          <w:spacing w:val="-2"/>
        </w:rPr>
        <w:t>建设，开展重大项目谋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10"/>
        </w:rPr>
        <w:t>划和研究论证，提出相关政策建议，为全市转型</w:t>
      </w:r>
      <w:r>
        <w:rPr>
          <w:rFonts w:ascii="FangSong" w:hAnsi="FangSong" w:eastAsia="FangSong" w:cs="FangSong"/>
          <w:sz w:val="30"/>
          <w:szCs w:val="30"/>
          <w:spacing w:val="-11"/>
        </w:rPr>
        <w:t>发展提供决策支持、技术支持、</w:t>
      </w:r>
    </w:p>
    <w:p>
      <w:pPr>
        <w:ind w:left="1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服务支持。</w:t>
      </w:r>
    </w:p>
    <w:p>
      <w:pPr>
        <w:ind w:left="7" w:right="98" w:firstLine="591"/>
        <w:spacing w:before="197" w:line="345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</w:rPr>
        <w:t>3、负责全市固定资产投资项目库建设管理;承担投资项目调度管理的技术</w:t>
      </w:r>
      <w:r>
        <w:rPr>
          <w:rFonts w:ascii="FangSong" w:hAnsi="FangSong" w:eastAsia="FangSong" w:cs="FangSong"/>
          <w:sz w:val="30"/>
          <w:szCs w:val="30"/>
          <w:spacing w:val="10"/>
        </w:rPr>
        <w:t xml:space="preserve"> </w:t>
      </w:r>
      <w:r>
        <w:rPr>
          <w:rFonts w:ascii="FangSong" w:hAnsi="FangSong" w:eastAsia="FangSong" w:cs="FangSong"/>
          <w:sz w:val="30"/>
          <w:szCs w:val="30"/>
        </w:rPr>
        <w:t>性、服务性工作，跟踪监测投资项目手续办理、</w:t>
      </w:r>
      <w:r>
        <w:rPr>
          <w:rFonts w:ascii="FangSong" w:hAnsi="FangSong" w:eastAsia="FangSong" w:cs="FangSong"/>
          <w:sz w:val="30"/>
          <w:szCs w:val="30"/>
          <w:spacing w:val="-1"/>
        </w:rPr>
        <w:t>建设情况,提出点办理批处理</w:t>
      </w:r>
    </w:p>
    <w:p>
      <w:pPr>
        <w:ind w:left="2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建议，跟踪协调问题解决。</w:t>
      </w:r>
    </w:p>
    <w:p>
      <w:pPr>
        <w:ind w:left="592"/>
        <w:spacing w:before="198" w:line="561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position w:val="19"/>
        </w:rPr>
        <w:t>4、跟踪监测中央预算内投资、专项债券、省级基本建设资金等政府投资</w:t>
      </w:r>
    </w:p>
    <w:p>
      <w:pPr>
        <w:ind w:left="17"/>
        <w:spacing w:before="1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资金使用和项目实施，按要求开展现场核查和后评价，提出意</w:t>
      </w:r>
      <w:r>
        <w:rPr>
          <w:rFonts w:ascii="FangSong" w:hAnsi="FangSong" w:eastAsia="FangSong" w:cs="FangSong"/>
          <w:sz w:val="30"/>
          <w:szCs w:val="30"/>
          <w:spacing w:val="-2"/>
        </w:rPr>
        <w:t>见和建议。</w:t>
      </w:r>
    </w:p>
    <w:p>
      <w:pPr>
        <w:ind w:left="599"/>
        <w:spacing w:before="198" w:line="559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position w:val="19"/>
        </w:rPr>
        <w:t>5、开展投资环境评价、投资项目实施情况评估、投融资</w:t>
      </w:r>
      <w:r>
        <w:rPr>
          <w:rFonts w:ascii="FangSong" w:hAnsi="FangSong" w:eastAsia="FangSong" w:cs="FangSong"/>
          <w:sz w:val="30"/>
          <w:szCs w:val="30"/>
          <w:spacing w:val="-1"/>
          <w:position w:val="19"/>
        </w:rPr>
        <w:t>政策咨询和相关</w:t>
      </w:r>
    </w:p>
    <w:p>
      <w:pPr>
        <w:ind w:left="3"/>
        <w:spacing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7"/>
        </w:rPr>
        <w:t>培训。</w:t>
      </w:r>
    </w:p>
    <w:p>
      <w:pPr>
        <w:ind w:left="595"/>
        <w:spacing w:before="199" w:line="559" w:lineRule="exac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position w:val="19"/>
        </w:rPr>
        <w:t>6、承担项目管理信息化服务保障工作，负责市投资项目在线审</w:t>
      </w:r>
      <w:r>
        <w:rPr>
          <w:rFonts w:ascii="FangSong" w:hAnsi="FangSong" w:eastAsia="FangSong" w:cs="FangSong"/>
          <w:sz w:val="30"/>
          <w:szCs w:val="30"/>
          <w:spacing w:val="-1"/>
          <w:position w:val="19"/>
        </w:rPr>
        <w:t>批监管平</w:t>
      </w:r>
    </w:p>
    <w:p>
      <w:pPr>
        <w:ind w:left="30"/>
        <w:spacing w:before="2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台、市项目管理库、市重点工程管理信息系统。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pStyle w:val="BodyText"/>
        <w:spacing w:before="101" w:line="224" w:lineRule="auto"/>
        <w:outlineLvl w:val="1"/>
        <w:rPr>
          <w:sz w:val="31"/>
          <w:szCs w:val="31"/>
        </w:rPr>
      </w:pPr>
      <w:bookmarkStart w:name="bookmark3" w:id="3"/>
      <w:bookmarkEnd w:id="3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二、机构设置情况</w:t>
      </w:r>
    </w:p>
    <w:p>
      <w:pPr>
        <w:spacing w:line="416" w:lineRule="auto"/>
        <w:rPr>
          <w:rFonts w:ascii="Arial"/>
          <w:sz w:val="21"/>
        </w:rPr>
      </w:pPr>
      <w:r/>
    </w:p>
    <w:p>
      <w:pPr>
        <w:ind w:right="74"/>
        <w:spacing w:before="97" w:line="624" w:lineRule="exact"/>
        <w:jc w:val="right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5"/>
          <w:position w:val="24"/>
        </w:rPr>
        <w:t>大同市项目推进中心内设科室</w:t>
      </w:r>
      <w:r>
        <w:rPr>
          <w:rFonts w:ascii="FangSong" w:hAnsi="FangSong" w:eastAsia="FangSong" w:cs="FangSong"/>
          <w:sz w:val="30"/>
          <w:szCs w:val="30"/>
          <w:spacing w:val="-66"/>
          <w:position w:val="2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  <w:position w:val="24"/>
        </w:rPr>
        <w:t>4</w:t>
      </w:r>
      <w:r>
        <w:rPr>
          <w:rFonts w:ascii="FangSong" w:hAnsi="FangSong" w:eastAsia="FangSong" w:cs="FangSong"/>
          <w:sz w:val="30"/>
          <w:szCs w:val="30"/>
          <w:spacing w:val="-53"/>
          <w:position w:val="24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  <w:position w:val="24"/>
        </w:rPr>
        <w:t>个，分别为：综合科</w:t>
      </w:r>
      <w:r>
        <w:rPr>
          <w:rFonts w:ascii="FangSong" w:hAnsi="FangSong" w:eastAsia="FangSong" w:cs="FangSong"/>
          <w:sz w:val="30"/>
          <w:szCs w:val="30"/>
          <w:spacing w:val="-6"/>
          <w:position w:val="24"/>
        </w:rPr>
        <w:t>（党建办公室）、转</w:t>
      </w:r>
    </w:p>
    <w:p>
      <w:pPr>
        <w:ind w:left="16"/>
        <w:spacing w:before="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型项目科、基础设施和公共事业项目科、信息服务科。</w:t>
      </w:r>
    </w:p>
    <w:p>
      <w:pPr>
        <w:spacing w:line="221" w:lineRule="auto"/>
        <w:sectPr>
          <w:footerReference w:type="default" r:id="rId2"/>
          <w:pgSz w:w="11906" w:h="16839"/>
          <w:pgMar w:top="1431" w:right="750" w:bottom="1157" w:left="1010" w:header="0" w:footer="991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pStyle w:val="BodyText"/>
        <w:ind w:left="5"/>
        <w:spacing w:before="165" w:line="223" w:lineRule="auto"/>
        <w:outlineLvl w:val="1"/>
        <w:rPr>
          <w:sz w:val="43"/>
          <w:szCs w:val="43"/>
        </w:rPr>
      </w:pPr>
      <w:bookmarkStart w:name="bookmark4" w:id="4"/>
      <w:bookmarkEnd w:id="4"/>
      <w:bookmarkStart w:name="bookmark5" w:id="5"/>
      <w:bookmarkEnd w:id="5"/>
      <w:bookmarkStart w:name="bookmark6" w:id="6"/>
      <w:bookmarkEnd w:id="6"/>
      <w:bookmarkStart w:name="bookmark7" w:id="7"/>
      <w:bookmarkEnd w:id="7"/>
      <w:bookmarkStart w:name="bookmark8" w:id="8"/>
      <w:bookmarkEnd w:id="8"/>
      <w:bookmarkStart w:name="bookmark9" w:id="9"/>
      <w:bookmarkEnd w:id="9"/>
      <w:bookmarkStart w:name="bookmark10" w:id="10"/>
      <w:bookmarkEnd w:id="10"/>
      <w:bookmarkStart w:name="bookmark11" w:id="11"/>
      <w:bookmarkEnd w:id="11"/>
      <w:bookmarkStart w:name="bookmark13" w:id="12"/>
      <w:bookmarkEnd w:id="12"/>
      <w:bookmarkStart w:name="bookmark14" w:id="13"/>
      <w:bookmarkEnd w:id="13"/>
      <w:bookmarkStart w:name="bookmark12" w:id="14"/>
      <w:bookmarkEnd w:id="14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第二部分</w:t>
      </w:r>
      <w:r>
        <w:rPr>
          <w:sz w:val="43"/>
          <w:szCs w:val="43"/>
          <w:spacing w:val="7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7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33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年度部门决算表</w:t>
      </w:r>
    </w:p>
    <w:p>
      <w:pPr>
        <w:spacing w:line="384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1" w:line="225" w:lineRule="auto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</w:t>
      </w:r>
      <w:r>
        <w:rPr>
          <w:rFonts w:ascii="Cambria" w:hAnsi="Cambria" w:eastAsia="Cambria" w:cs="Cambria"/>
          <w:sz w:val="31"/>
          <w:szCs w:val="31"/>
          <w:b/>
          <w:bCs/>
          <w:spacing w:val="7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3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年收入支出决算总表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0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二、</w:t>
      </w:r>
      <w:r>
        <w:rPr>
          <w:rFonts w:ascii="Cambria" w:hAnsi="Cambria" w:eastAsia="Cambria" w:cs="Cambria"/>
          <w:sz w:val="31"/>
          <w:szCs w:val="31"/>
          <w:b/>
          <w:bCs/>
          <w:spacing w:val="6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29"/>
          <w:w w:val="10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年收入决算表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pStyle w:val="BodyText"/>
        <w:ind w:left="1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三、</w:t>
      </w:r>
      <w:r>
        <w:rPr>
          <w:rFonts w:ascii="Cambria" w:hAnsi="Cambria" w:eastAsia="Cambria" w:cs="Cambria"/>
          <w:sz w:val="31"/>
          <w:szCs w:val="31"/>
          <w:b/>
          <w:bCs/>
          <w:spacing w:val="6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34"/>
          <w:w w:val="10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年支出决算表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四、</w:t>
      </w:r>
      <w:r>
        <w:rPr>
          <w:rFonts w:ascii="Cambria" w:hAnsi="Cambria" w:eastAsia="Cambria" w:cs="Cambria"/>
          <w:sz w:val="31"/>
          <w:szCs w:val="31"/>
          <w:b/>
          <w:bCs/>
          <w:spacing w:val="7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25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年财政拨款收入支出决算总表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五、</w:t>
      </w:r>
      <w:r>
        <w:rPr>
          <w:rFonts w:ascii="Cambria" w:hAnsi="Cambria" w:eastAsia="Cambria" w:cs="Cambria"/>
          <w:sz w:val="31"/>
          <w:szCs w:val="31"/>
          <w:b/>
          <w:bCs/>
          <w:spacing w:val="8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39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年一般公共预算财政拨款支出决算表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pStyle w:val="BodyText"/>
        <w:ind w:left="3"/>
        <w:spacing w:before="101" w:line="224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六、</w:t>
      </w:r>
      <w:r>
        <w:rPr>
          <w:rFonts w:ascii="Cambria" w:hAnsi="Cambria" w:eastAsia="Cambria" w:cs="Cambria"/>
          <w:sz w:val="31"/>
          <w:szCs w:val="31"/>
          <w:b/>
          <w:bCs/>
          <w:spacing w:val="9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25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年一般公共预算财政拨款基本支出决算表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pStyle w:val="BodyText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七、</w:t>
      </w:r>
      <w:r>
        <w:rPr>
          <w:rFonts w:ascii="Cambria" w:hAnsi="Cambria" w:eastAsia="Cambria" w:cs="Cambria"/>
          <w:sz w:val="31"/>
          <w:szCs w:val="31"/>
          <w:b/>
          <w:bCs/>
          <w:spacing w:val="8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25"/>
          <w:w w:val="10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年一般公共预算财政拨款“三公</w:t>
      </w:r>
      <w:r>
        <w:rPr>
          <w:sz w:val="31"/>
          <w:szCs w:val="31"/>
          <w:spacing w:val="-11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”经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费支出决算表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2" w:line="224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八、</w:t>
      </w:r>
      <w:r>
        <w:rPr>
          <w:rFonts w:ascii="Cambria" w:hAnsi="Cambria" w:eastAsia="Cambria" w:cs="Cambria"/>
          <w:sz w:val="31"/>
          <w:szCs w:val="31"/>
          <w:b/>
          <w:bCs/>
          <w:spacing w:val="9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25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年政府性基金预算财政拨款收入支出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决算表</w:t>
      </w:r>
    </w:p>
    <w:p>
      <w:pPr>
        <w:spacing w:line="406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01" w:line="224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九、</w:t>
      </w:r>
      <w:r>
        <w:rPr>
          <w:rFonts w:ascii="Cambria" w:hAnsi="Cambria" w:eastAsia="Cambria" w:cs="Cambria"/>
          <w:sz w:val="31"/>
          <w:szCs w:val="31"/>
          <w:b/>
          <w:bCs/>
          <w:spacing w:val="8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43"/>
          <w:w w:val="10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年国有资本经营预算财政拨款支出决算表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pStyle w:val="BodyText"/>
        <w:ind w:left="2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十、</w:t>
      </w:r>
      <w:r>
        <w:rPr>
          <w:rFonts w:ascii="Cambria" w:hAnsi="Cambria" w:eastAsia="Cambria" w:cs="Cambria"/>
          <w:sz w:val="31"/>
          <w:szCs w:val="31"/>
          <w:b/>
          <w:bCs/>
          <w:spacing w:val="8"/>
        </w:rPr>
        <w:t>2021</w:t>
      </w:r>
      <w:r>
        <w:rPr>
          <w:rFonts w:ascii="Cambria" w:hAnsi="Cambria" w:eastAsia="Cambria" w:cs="Cambria"/>
          <w:sz w:val="31"/>
          <w:szCs w:val="31"/>
          <w:b/>
          <w:bCs/>
          <w:spacing w:val="35"/>
          <w:w w:val="101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年部门决算公开相关信息统计表</w:t>
      </w:r>
    </w:p>
    <w:p>
      <w:pPr>
        <w:spacing w:line="225" w:lineRule="auto"/>
        <w:sectPr>
          <w:footerReference w:type="default" r:id="rId3"/>
          <w:pgSz w:w="11906" w:h="16839"/>
          <w:pgMar w:top="1431" w:right="1785" w:bottom="1157" w:left="1004" w:header="0" w:footer="992" w:gutter="0"/>
        </w:sectPr>
        <w:rPr>
          <w:sz w:val="31"/>
          <w:szCs w:val="31"/>
        </w:rPr>
      </w:pPr>
    </w:p>
    <w:p>
      <w:pPr>
        <w:pStyle w:val="BodyText"/>
        <w:ind w:left="4"/>
        <w:spacing w:before="245" w:line="223" w:lineRule="auto"/>
        <w:outlineLvl w:val="0"/>
        <w:rPr>
          <w:sz w:val="43"/>
          <w:szCs w:val="43"/>
        </w:rPr>
      </w:pPr>
      <w:bookmarkStart w:name="bookmark15" w:id="15"/>
      <w:bookmarkEnd w:id="15"/>
      <w:bookmarkStart w:name="bookmark16" w:id="16"/>
      <w:bookmarkEnd w:id="16"/>
      <w:bookmarkStart w:name="bookmark17" w:id="17"/>
      <w:bookmarkEnd w:id="17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第三部分</w:t>
      </w:r>
      <w:r>
        <w:rPr>
          <w:sz w:val="43"/>
          <w:szCs w:val="43"/>
          <w:spacing w:val="7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7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41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年部门决算情况说明</w:t>
      </w:r>
    </w:p>
    <w:p>
      <w:pPr>
        <w:spacing w:line="455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</w:t>
      </w:r>
      <w:r>
        <w:rPr>
          <w:sz w:val="31"/>
          <w:szCs w:val="31"/>
          <w:spacing w:val="8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收入支出决算总体情况说明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pStyle w:val="BodyText"/>
        <w:ind w:left="8" w:right="88" w:firstLine="857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2021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年度收入总计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811130.04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元。其中：一般公共预算财政拨款收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入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811104.21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元，政府性基金预算财政拨款收入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0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元，其他收入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25.83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元。与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2020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年相比，收入减少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17134.8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元，减少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2.07</w:t>
      </w:r>
      <w:r>
        <w:rPr>
          <w:sz w:val="31"/>
          <w:szCs w:val="31"/>
          <w:spacing w:val="5"/>
        </w:rPr>
        <w:t>%</w:t>
      </w:r>
      <w:r>
        <w:rPr>
          <w:rFonts w:ascii="FangSong" w:hAnsi="FangSong" w:eastAsia="FangSong" w:cs="FangSong"/>
          <w:sz w:val="31"/>
          <w:szCs w:val="31"/>
          <w:spacing w:val="5"/>
        </w:rPr>
        <w:t>。收入减少原因</w:t>
      </w:r>
    </w:p>
    <w:p>
      <w:pPr>
        <w:ind w:left="20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为本年我单位没有项目经费预算。</w:t>
      </w:r>
    </w:p>
    <w:p>
      <w:pPr>
        <w:ind w:left="9" w:firstLine="856"/>
        <w:spacing w:before="242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年度支出总计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811104.21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元。其中：基本支出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811104.21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项目支出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元。与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2020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年相比，支出减少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16910.92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元</w:t>
      </w:r>
      <w:r>
        <w:rPr>
          <w:rFonts w:ascii="FangSong" w:hAnsi="FangSong" w:eastAsia="FangSong" w:cs="FangSong"/>
          <w:sz w:val="31"/>
          <w:szCs w:val="31"/>
        </w:rPr>
        <w:t>，减少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2.04%。支</w:t>
      </w:r>
    </w:p>
    <w:p>
      <w:pPr>
        <w:ind w:left="41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出减少原因为本年我单位没有项目经费预算。</w:t>
      </w:r>
    </w:p>
    <w:p>
      <w:pPr>
        <w:spacing w:line="399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01" w:line="225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二、</w:t>
      </w:r>
      <w:r>
        <w:rPr>
          <w:sz w:val="31"/>
          <w:szCs w:val="31"/>
          <w:spacing w:val="74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收入决算情况说明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ind w:left="13" w:right="87" w:firstLine="646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2021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年本年收入合计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811130.04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元，其中：财政拨款收入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811104.21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元，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占总收入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99.99%；上级补助收入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元，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0%；事业收入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元，</w:t>
      </w:r>
      <w:r>
        <w:rPr>
          <w:rFonts w:ascii="FangSong" w:hAnsi="FangSong" w:eastAsia="FangSong" w:cs="FangSong"/>
          <w:sz w:val="31"/>
          <w:szCs w:val="31"/>
          <w:spacing w:val="-7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比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0%；经营收入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元，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0%；附属单位</w:t>
      </w:r>
      <w:r>
        <w:rPr>
          <w:rFonts w:ascii="FangSong" w:hAnsi="FangSong" w:eastAsia="FangSong" w:cs="FangSong"/>
          <w:sz w:val="31"/>
          <w:szCs w:val="31"/>
          <w:spacing w:val="-3"/>
        </w:rPr>
        <w:t>上缴收入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元，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0%；其他</w:t>
      </w:r>
    </w:p>
    <w:p>
      <w:pPr>
        <w:ind w:left="26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5"/>
        </w:rPr>
        <w:t>收入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25.83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元，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0.01%。</w:t>
      </w:r>
    </w:p>
    <w:p>
      <w:pPr>
        <w:spacing w:line="395" w:lineRule="auto"/>
        <w:rPr>
          <w:rFonts w:ascii="Arial"/>
          <w:sz w:val="21"/>
        </w:rPr>
      </w:pPr>
      <w:r/>
    </w:p>
    <w:p>
      <w:pPr>
        <w:pStyle w:val="BodyText"/>
        <w:spacing w:before="101" w:line="225" w:lineRule="auto"/>
        <w:outlineLvl w:val="1"/>
        <w:rPr>
          <w:sz w:val="31"/>
          <w:szCs w:val="31"/>
        </w:rPr>
      </w:pPr>
      <w:bookmarkStart w:name="bookmark18" w:id="18"/>
      <w:bookmarkEnd w:id="18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三、</w:t>
      </w:r>
      <w:r>
        <w:rPr>
          <w:sz w:val="31"/>
          <w:szCs w:val="31"/>
          <w:spacing w:val="69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支出决算情况说明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ind w:left="63" w:right="90" w:firstLine="644"/>
        <w:spacing w:before="10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年度支出总计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811104.21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元。其中：基本支出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811104</w:t>
      </w:r>
      <w:r>
        <w:rPr>
          <w:rFonts w:ascii="FangSong" w:hAnsi="FangSong" w:eastAsia="FangSong" w:cs="FangSong"/>
          <w:sz w:val="31"/>
          <w:szCs w:val="31"/>
          <w:spacing w:val="3"/>
        </w:rPr>
        <w:t>.21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占比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100%；项目支出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元，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0%；上缴上</w:t>
      </w:r>
      <w:r>
        <w:rPr>
          <w:rFonts w:ascii="FangSong" w:hAnsi="FangSong" w:eastAsia="FangSong" w:cs="FangSong"/>
          <w:sz w:val="31"/>
          <w:szCs w:val="31"/>
          <w:spacing w:val="-5"/>
        </w:rPr>
        <w:t>级支出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0%；经</w:t>
      </w:r>
    </w:p>
    <w:p>
      <w:pPr>
        <w:ind w:left="17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营支出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0%；对附属单位补助支出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0%。</w:t>
      </w:r>
    </w:p>
    <w:p>
      <w:pPr>
        <w:spacing w:line="226" w:lineRule="auto"/>
        <w:sectPr>
          <w:footerReference w:type="default" r:id="rId4"/>
          <w:pgSz w:w="11906" w:h="16839"/>
          <w:pgMar w:top="1431" w:right="761" w:bottom="1156" w:left="1006" w:header="0" w:footer="99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ind w:left="27"/>
        <w:spacing w:before="162" w:line="225" w:lineRule="auto"/>
        <w:outlineLvl w:val="1"/>
        <w:rPr>
          <w:sz w:val="31"/>
          <w:szCs w:val="31"/>
        </w:rPr>
      </w:pPr>
      <w:bookmarkStart w:name="bookmark19" w:id="19"/>
      <w:bookmarkEnd w:id="19"/>
      <w:bookmarkStart w:name="bookmark20" w:id="20"/>
      <w:bookmarkEnd w:id="20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四、</w:t>
      </w:r>
      <w:r>
        <w:rPr>
          <w:sz w:val="31"/>
          <w:szCs w:val="31"/>
          <w:spacing w:val="73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财政拨款收入支出决算总体情况说明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ind w:left="7" w:right="87" w:firstLine="698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年度本年财政拨款收入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811104.21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元</w:t>
      </w:r>
      <w:r>
        <w:rPr>
          <w:rFonts w:ascii="FangSong" w:hAnsi="FangSong" w:eastAsia="FangSong" w:cs="FangSong"/>
          <w:sz w:val="31"/>
          <w:szCs w:val="31"/>
          <w:spacing w:val="5"/>
        </w:rPr>
        <w:t>。其中：一般公共预算财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政拨款收入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811104.21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元，政府性基金预算财政拨款收入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元。</w:t>
      </w:r>
      <w:r>
        <w:rPr>
          <w:rFonts w:ascii="FangSong" w:hAnsi="FangSong" w:eastAsia="FangSong" w:cs="FangSong"/>
          <w:sz w:val="31"/>
          <w:szCs w:val="31"/>
          <w:spacing w:val="4"/>
        </w:rPr>
        <w:t>与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2020</w:t>
      </w:r>
    </w:p>
    <w:p>
      <w:pPr>
        <w:ind w:left="12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年相比，收入减少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17095.27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元，减少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2.06%。</w:t>
      </w:r>
    </w:p>
    <w:p>
      <w:pPr>
        <w:ind w:left="7" w:right="87" w:firstLine="698"/>
        <w:spacing w:before="24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年本年度财政拨款支出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811104.21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元</w:t>
      </w:r>
      <w:r>
        <w:rPr>
          <w:rFonts w:ascii="FangSong" w:hAnsi="FangSong" w:eastAsia="FangSong" w:cs="FangSong"/>
          <w:sz w:val="31"/>
          <w:szCs w:val="31"/>
          <w:spacing w:val="5"/>
        </w:rPr>
        <w:t>。其中：一般公共预算财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政拨款支出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811104.21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元，政府性基金财政拨款</w:t>
      </w:r>
      <w:r>
        <w:rPr>
          <w:rFonts w:ascii="FangSong" w:hAnsi="FangSong" w:eastAsia="FangSong" w:cs="FangSong"/>
          <w:sz w:val="31"/>
          <w:szCs w:val="31"/>
          <w:spacing w:val="3"/>
        </w:rPr>
        <w:t>支出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元。与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2020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比，支出减少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16907.92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元，减少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2.04%。收入减少原因为本</w:t>
      </w:r>
      <w:r>
        <w:rPr>
          <w:rFonts w:ascii="FangSong" w:hAnsi="FangSong" w:eastAsia="FangSong" w:cs="FangSong"/>
          <w:sz w:val="31"/>
          <w:szCs w:val="31"/>
          <w:spacing w:val="6"/>
        </w:rPr>
        <w:t>年我单位没</w:t>
      </w:r>
    </w:p>
    <w:p>
      <w:pPr>
        <w:ind w:left="2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有项目经费预算。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pStyle w:val="BodyText"/>
        <w:ind w:left="2"/>
        <w:spacing w:before="101" w:line="225" w:lineRule="auto"/>
        <w:outlineLvl w:val="1"/>
        <w:rPr>
          <w:sz w:val="31"/>
          <w:szCs w:val="31"/>
        </w:rPr>
      </w:pPr>
      <w:bookmarkStart w:name="bookmark21" w:id="21"/>
      <w:bookmarkEnd w:id="21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五、</w:t>
      </w:r>
      <w:r>
        <w:rPr>
          <w:sz w:val="31"/>
          <w:szCs w:val="31"/>
          <w:spacing w:val="67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一般公共预算财政拨款支出决算情况说明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ind w:left="715"/>
        <w:spacing w:before="10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大同市项目推进中心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年度财政拨款支出</w:t>
      </w:r>
      <w:r>
        <w:rPr>
          <w:rFonts w:ascii="FangSong" w:hAnsi="FangSong" w:eastAsia="FangSong" w:cs="FangSong"/>
          <w:sz w:val="31"/>
          <w:szCs w:val="31"/>
          <w:spacing w:val="4"/>
        </w:rPr>
        <w:t>年初预算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795200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元，</w:t>
      </w:r>
    </w:p>
    <w:p>
      <w:pPr>
        <w:ind w:left="6"/>
        <w:spacing w:before="24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支出决算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811104.21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元，完成年初预算的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</w:t>
      </w:r>
      <w:r>
        <w:rPr>
          <w:rFonts w:ascii="FangSong" w:hAnsi="FangSong" w:eastAsia="FangSong" w:cs="FangSong"/>
          <w:sz w:val="31"/>
          <w:szCs w:val="31"/>
          <w:spacing w:val="1"/>
        </w:rPr>
        <w:t>2%。其中：较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2020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年决算支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出减少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16907.92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元。其中：基本支出较上年增加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63</w:t>
      </w:r>
      <w:r>
        <w:rPr>
          <w:rFonts w:ascii="FangSong" w:hAnsi="FangSong" w:eastAsia="FangSong" w:cs="FangSong"/>
          <w:sz w:val="31"/>
          <w:szCs w:val="31"/>
          <w:spacing w:val="-8"/>
        </w:rPr>
        <w:t>471.58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元，增加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8.5%，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支出增加原因为本年我单位新增一人。项目支出较</w:t>
      </w:r>
      <w:r>
        <w:rPr>
          <w:rFonts w:ascii="FangSong" w:hAnsi="FangSong" w:eastAsia="FangSong" w:cs="FangSong"/>
          <w:sz w:val="31"/>
          <w:szCs w:val="31"/>
        </w:rPr>
        <w:t>上年减少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80379.50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元，</w:t>
      </w:r>
    </w:p>
    <w:p>
      <w:pPr>
        <w:ind w:left="8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减少</w:t>
      </w:r>
      <w:r>
        <w:rPr>
          <w:rFonts w:ascii="FangSong" w:hAnsi="FangSong" w:eastAsia="FangSong" w:cs="FangSong"/>
          <w:sz w:val="31"/>
          <w:szCs w:val="31"/>
          <w:spacing w:val="-2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100%，主要原因是本年我单位没有项目经费预算。</w:t>
      </w:r>
    </w:p>
    <w:p>
      <w:pPr>
        <w:spacing w:line="399" w:lineRule="auto"/>
        <w:rPr>
          <w:rFonts w:ascii="Arial"/>
          <w:sz w:val="21"/>
        </w:rPr>
      </w:pPr>
      <w:r/>
    </w:p>
    <w:p>
      <w:pPr>
        <w:pStyle w:val="BodyText"/>
        <w:spacing w:before="102" w:line="224" w:lineRule="auto"/>
        <w:outlineLvl w:val="1"/>
        <w:rPr>
          <w:sz w:val="31"/>
          <w:szCs w:val="31"/>
        </w:rPr>
      </w:pP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六、</w:t>
      </w:r>
      <w:r>
        <w:rPr>
          <w:sz w:val="31"/>
          <w:szCs w:val="31"/>
          <w:spacing w:val="7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一般公共预算财政拨款基本支出决算说明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ind w:left="3" w:right="87" w:firstLine="701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2021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年度财政拨款基本支出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811104.21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元。</w:t>
      </w:r>
      <w:r>
        <w:rPr>
          <w:rFonts w:ascii="FangSong" w:hAnsi="FangSong" w:eastAsia="FangSong" w:cs="FangSong"/>
          <w:sz w:val="31"/>
          <w:szCs w:val="31"/>
          <w:spacing w:val="11"/>
        </w:rPr>
        <w:t>其中：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人员经费支出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764259.21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元，主要包括工资福利支出</w:t>
      </w:r>
      <w:r>
        <w:rPr>
          <w:rFonts w:ascii="FangSong" w:hAnsi="FangSong" w:eastAsia="FangSong" w:cs="FangSong"/>
          <w:sz w:val="31"/>
          <w:szCs w:val="31"/>
          <w:spacing w:val="-5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761859.21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元和对个人的家庭补助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支出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2400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元；公用经费支出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46845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元，主要包括商品和服务支出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46845</w:t>
      </w:r>
    </w:p>
    <w:p>
      <w:pPr>
        <w:ind w:left="11"/>
        <w:spacing w:line="23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元。</w:t>
      </w:r>
    </w:p>
    <w:p>
      <w:pPr>
        <w:spacing w:line="232" w:lineRule="auto"/>
        <w:sectPr>
          <w:footerReference w:type="default" r:id="rId5"/>
          <w:pgSz w:w="11906" w:h="16839"/>
          <w:pgMar w:top="1431" w:right="761" w:bottom="1155" w:left="1008" w:header="0" w:footer="99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spacing w:before="162" w:line="225" w:lineRule="auto"/>
        <w:outlineLvl w:val="1"/>
        <w:rPr>
          <w:sz w:val="31"/>
          <w:szCs w:val="31"/>
        </w:rPr>
      </w:pPr>
      <w:bookmarkStart w:name="bookmark22" w:id="22"/>
      <w:bookmarkEnd w:id="22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七、</w:t>
      </w:r>
      <w:r>
        <w:rPr>
          <w:sz w:val="31"/>
          <w:szCs w:val="31"/>
          <w:spacing w:val="67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一般公共预算财政拨款“三公</w:t>
      </w:r>
      <w:r>
        <w:rPr>
          <w:sz w:val="31"/>
          <w:szCs w:val="31"/>
          <w:spacing w:val="-110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”经费支出决算情况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说明</w:t>
      </w:r>
    </w:p>
    <w:p>
      <w:pPr>
        <w:spacing w:line="399" w:lineRule="auto"/>
        <w:rPr>
          <w:rFonts w:ascii="Arial"/>
          <w:sz w:val="21"/>
        </w:rPr>
      </w:pPr>
      <w:r/>
    </w:p>
    <w:p>
      <w:pPr>
        <w:ind w:left="9" w:firstLine="699"/>
        <w:spacing w:before="10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年度“三公</w:t>
      </w:r>
      <w:r>
        <w:rPr>
          <w:rFonts w:ascii="FangSong" w:hAnsi="FangSong" w:eastAsia="FangSong" w:cs="FangSong"/>
          <w:sz w:val="31"/>
          <w:szCs w:val="31"/>
          <w:spacing w:val="-1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”经费财政拨款支出预算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0.00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元（上年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0.00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元</w:t>
      </w:r>
      <w:r>
        <w:rPr>
          <w:rFonts w:ascii="FangSong" w:hAnsi="FangSong" w:eastAsia="FangSong" w:cs="FangSong"/>
          <w:sz w:val="31"/>
          <w:szCs w:val="31"/>
          <w:spacing w:val="-41"/>
        </w:rPr>
        <w:t>），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支出决算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0.00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元（上年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0.00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元</w:t>
      </w:r>
      <w:r>
        <w:rPr>
          <w:rFonts w:ascii="FangSong" w:hAnsi="FangSong" w:eastAsia="FangSong" w:cs="FangSong"/>
          <w:sz w:val="31"/>
          <w:szCs w:val="31"/>
          <w:spacing w:val="22"/>
        </w:rPr>
        <w:t>），</w:t>
      </w:r>
      <w:r>
        <w:rPr>
          <w:rFonts w:ascii="FangSong" w:hAnsi="FangSong" w:eastAsia="FangSong" w:cs="FangSong"/>
          <w:sz w:val="31"/>
          <w:szCs w:val="31"/>
          <w:spacing w:val="1"/>
        </w:rPr>
        <w:t>完成全年预算（0.00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元）的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0.00%，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与上年“三公经费</w:t>
      </w:r>
      <w:r>
        <w:rPr>
          <w:rFonts w:ascii="FangSong" w:hAnsi="FangSong" w:eastAsia="FangSong" w:cs="FangSong"/>
          <w:sz w:val="31"/>
          <w:szCs w:val="31"/>
          <w:spacing w:val="-10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”财政拨款支出决算相同。其中：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因公出国（境</w:t>
      </w:r>
      <w:r>
        <w:rPr>
          <w:rFonts w:ascii="FangSong" w:hAnsi="FangSong" w:eastAsia="FangSong" w:cs="FangSong"/>
          <w:sz w:val="31"/>
          <w:szCs w:val="31"/>
          <w:spacing w:val="9"/>
        </w:rPr>
        <w:t>）费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支出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0.00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元（上年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0.00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</w:t>
      </w:r>
      <w:r>
        <w:rPr>
          <w:rFonts w:ascii="FangSong" w:hAnsi="FangSong" w:eastAsia="FangSong" w:cs="FangSong"/>
          <w:sz w:val="31"/>
          <w:szCs w:val="31"/>
          <w:spacing w:val="-2"/>
        </w:rPr>
        <w:t>）</w:t>
      </w:r>
      <w:r>
        <w:rPr>
          <w:rFonts w:ascii="FangSong" w:hAnsi="FangSong" w:eastAsia="FangSong" w:cs="FangSong"/>
          <w:sz w:val="31"/>
          <w:szCs w:val="31"/>
          <w:spacing w:val="-8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，</w:t>
      </w:r>
      <w:r>
        <w:rPr>
          <w:rFonts w:ascii="FangSong" w:hAnsi="FangSong" w:eastAsia="FangSong" w:cs="FangSong"/>
          <w:sz w:val="31"/>
          <w:szCs w:val="31"/>
          <w:spacing w:val="4"/>
        </w:rPr>
        <w:t>完成全年预算</w:t>
      </w:r>
      <w:r>
        <w:rPr>
          <w:rFonts w:ascii="FangSong" w:hAnsi="FangSong" w:eastAsia="FangSong" w:cs="FangSong"/>
          <w:sz w:val="31"/>
          <w:szCs w:val="31"/>
          <w:spacing w:val="3"/>
        </w:rPr>
        <w:t>（0.00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元）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的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0.00%，与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上年相同。公务用车购置费支出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0.00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元，公务用车运行维护费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0.00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</w:t>
      </w:r>
    </w:p>
    <w:p>
      <w:pPr>
        <w:ind w:left="1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公务接待费支出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0.00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元。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pStyle w:val="BodyText"/>
        <w:ind w:left="6"/>
        <w:spacing w:before="100" w:line="224" w:lineRule="auto"/>
        <w:outlineLvl w:val="1"/>
        <w:rPr>
          <w:sz w:val="31"/>
          <w:szCs w:val="31"/>
        </w:rPr>
      </w:pPr>
      <w:bookmarkStart w:name="bookmark23" w:id="23"/>
      <w:bookmarkEnd w:id="23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八、</w:t>
      </w:r>
      <w:r>
        <w:rPr>
          <w:sz w:val="31"/>
          <w:szCs w:val="31"/>
          <w:spacing w:val="73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政府性基金预算财政拨款收入支出决算情况说明</w:t>
      </w:r>
    </w:p>
    <w:p>
      <w:pPr>
        <w:spacing w:line="403" w:lineRule="auto"/>
        <w:rPr>
          <w:rFonts w:ascii="Arial"/>
          <w:sz w:val="21"/>
        </w:rPr>
      </w:pPr>
      <w:r/>
    </w:p>
    <w:p>
      <w:pPr>
        <w:ind w:left="663"/>
        <w:spacing w:before="10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年政府性基金财政拨款收入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元，支出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元。</w:t>
      </w:r>
    </w:p>
    <w:p>
      <w:pPr>
        <w:spacing w:line="400" w:lineRule="auto"/>
        <w:rPr>
          <w:rFonts w:ascii="Arial"/>
          <w:sz w:val="21"/>
        </w:rPr>
      </w:pPr>
      <w:r/>
    </w:p>
    <w:p>
      <w:pPr>
        <w:pStyle w:val="BodyText"/>
        <w:ind w:left="8"/>
        <w:spacing w:before="101" w:line="225" w:lineRule="auto"/>
        <w:outlineLvl w:val="1"/>
        <w:rPr>
          <w:sz w:val="31"/>
          <w:szCs w:val="31"/>
        </w:rPr>
      </w:pPr>
      <w:bookmarkStart w:name="bookmark24" w:id="24"/>
      <w:bookmarkEnd w:id="24"/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九、</w:t>
      </w:r>
      <w:r>
        <w:rPr>
          <w:sz w:val="31"/>
          <w:szCs w:val="31"/>
          <w:spacing w:val="66"/>
        </w:rPr>
        <w:t xml:space="preserve"> </w:t>
      </w:r>
      <w:r>
        <w:rPr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其他需要说明的情况</w:t>
      </w:r>
    </w:p>
    <w:p>
      <w:pPr>
        <w:spacing w:line="405" w:lineRule="auto"/>
        <w:rPr>
          <w:rFonts w:ascii="Arial"/>
          <w:sz w:val="21"/>
        </w:rPr>
      </w:pPr>
      <w:r/>
    </w:p>
    <w:p>
      <w:pPr>
        <w:ind w:left="674"/>
        <w:spacing w:before="100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（一）</w:t>
      </w:r>
      <w:r>
        <w:rPr>
          <w:rFonts w:ascii="FangSong" w:hAnsi="FangSong" w:eastAsia="FangSong" w:cs="FangSong"/>
          <w:sz w:val="31"/>
          <w:szCs w:val="31"/>
          <w:spacing w:val="-6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  <w:position w:val="23"/>
        </w:rPr>
        <w:t>政府采购情况说明</w:t>
      </w:r>
    </w:p>
    <w:p>
      <w:pPr>
        <w:ind w:left="709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年政府采购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元。</w:t>
      </w:r>
    </w:p>
    <w:p>
      <w:pPr>
        <w:ind w:left="674"/>
        <w:spacing w:before="24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（二）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国有资产占用情况说明</w:t>
      </w:r>
    </w:p>
    <w:p>
      <w:pPr>
        <w:ind w:left="715"/>
        <w:spacing w:before="241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截止</w:t>
      </w:r>
      <w:r>
        <w:rPr>
          <w:rFonts w:ascii="FangSong" w:hAnsi="FangSong" w:eastAsia="FangSong" w:cs="FangSong"/>
          <w:sz w:val="31"/>
          <w:szCs w:val="31"/>
          <w:spacing w:val="-50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5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年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12</w:t>
      </w:r>
      <w:r>
        <w:rPr>
          <w:rFonts w:ascii="FangSong" w:hAnsi="FangSong" w:eastAsia="FangSong" w:cs="FangSong"/>
          <w:sz w:val="31"/>
          <w:szCs w:val="31"/>
          <w:spacing w:val="-36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月</w:t>
      </w:r>
      <w:r>
        <w:rPr>
          <w:rFonts w:ascii="FangSong" w:hAnsi="FangSong" w:eastAsia="FangSong" w:cs="FangSong"/>
          <w:sz w:val="31"/>
          <w:szCs w:val="31"/>
          <w:spacing w:val="-53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31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日，我单位无公务用车。无单位</w:t>
      </w:r>
      <w:r>
        <w:rPr>
          <w:rFonts w:ascii="FangSong" w:hAnsi="FangSong" w:eastAsia="FangSong" w:cs="FangSong"/>
          <w:sz w:val="31"/>
          <w:szCs w:val="31"/>
          <w:spacing w:val="-54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50</w:t>
      </w:r>
      <w:r>
        <w:rPr>
          <w:rFonts w:ascii="FangSong" w:hAnsi="FangSong" w:eastAsia="FangSong" w:cs="FangSong"/>
          <w:sz w:val="31"/>
          <w:szCs w:val="31"/>
          <w:spacing w:val="-4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3"/>
        </w:rPr>
        <w:t>万（含）</w:t>
      </w:r>
    </w:p>
    <w:p>
      <w:pPr>
        <w:ind w:left="42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以上的通用设备及单位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万（含）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以上的专用</w:t>
      </w:r>
      <w:r>
        <w:rPr>
          <w:rFonts w:ascii="FangSong" w:hAnsi="FangSong" w:eastAsia="FangSong" w:cs="FangSong"/>
          <w:sz w:val="31"/>
          <w:szCs w:val="31"/>
          <w:spacing w:val="1"/>
        </w:rPr>
        <w:t>设备。</w:t>
      </w:r>
    </w:p>
    <w:p>
      <w:pPr>
        <w:ind w:right="87"/>
        <w:spacing w:before="244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截止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年</w:t>
      </w:r>
      <w:r>
        <w:rPr>
          <w:rFonts w:ascii="FangSong" w:hAnsi="FangSong" w:eastAsia="FangSong" w:cs="FangSong"/>
          <w:sz w:val="31"/>
          <w:szCs w:val="31"/>
          <w:spacing w:val="-39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12</w:t>
      </w:r>
      <w:r>
        <w:rPr>
          <w:rFonts w:ascii="FangSong" w:hAnsi="FangSong" w:eastAsia="FangSong" w:cs="FangSong"/>
          <w:sz w:val="31"/>
          <w:szCs w:val="31"/>
          <w:spacing w:val="-3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月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31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日，我单位无权属登记房屋，办公用房为</w:t>
      </w:r>
      <w:r>
        <w:rPr>
          <w:rFonts w:ascii="FangSong" w:hAnsi="FangSong" w:eastAsia="FangSong" w:cs="FangSong"/>
          <w:sz w:val="31"/>
          <w:szCs w:val="31"/>
          <w:spacing w:val="-2"/>
          <w:position w:val="23"/>
        </w:rPr>
        <w:t>市直</w:t>
      </w:r>
    </w:p>
    <w:p>
      <w:pPr>
        <w:ind w:left="9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机关事务管理局统一调配。</w:t>
      </w:r>
    </w:p>
    <w:p>
      <w:pPr>
        <w:ind w:right="87"/>
        <w:spacing w:before="242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截止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年</w:t>
      </w:r>
      <w:r>
        <w:rPr>
          <w:rFonts w:ascii="FangSong" w:hAnsi="FangSong" w:eastAsia="FangSong" w:cs="FangSong"/>
          <w:sz w:val="31"/>
          <w:szCs w:val="31"/>
          <w:spacing w:val="-39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12</w:t>
      </w:r>
      <w:r>
        <w:rPr>
          <w:rFonts w:ascii="FangSong" w:hAnsi="FangSong" w:eastAsia="FangSong" w:cs="FangSong"/>
          <w:sz w:val="31"/>
          <w:szCs w:val="31"/>
          <w:spacing w:val="-3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月</w:t>
      </w:r>
      <w:r>
        <w:rPr>
          <w:rFonts w:ascii="FangSong" w:hAnsi="FangSong" w:eastAsia="FangSong" w:cs="FangSong"/>
          <w:sz w:val="31"/>
          <w:szCs w:val="31"/>
          <w:spacing w:val="-58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31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  <w:position w:val="23"/>
        </w:rPr>
        <w:t>日，我单位除车辆及房屋外，主要资产包</w:t>
      </w:r>
      <w:r>
        <w:rPr>
          <w:rFonts w:ascii="FangSong" w:hAnsi="FangSong" w:eastAsia="FangSong" w:cs="FangSong"/>
          <w:sz w:val="31"/>
          <w:szCs w:val="31"/>
          <w:spacing w:val="-2"/>
          <w:position w:val="23"/>
        </w:rPr>
        <w:t>括办</w:t>
      </w:r>
    </w:p>
    <w:p>
      <w:pPr>
        <w:ind w:left="16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公家具、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电子产品等。</w:t>
      </w:r>
    </w:p>
    <w:p>
      <w:pPr>
        <w:ind w:left="674"/>
        <w:spacing w:before="24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预算绩效情况说明</w:t>
      </w:r>
    </w:p>
    <w:p>
      <w:pPr>
        <w:spacing w:line="227" w:lineRule="auto"/>
        <w:sectPr>
          <w:footerReference w:type="default" r:id="rId6"/>
          <w:pgSz w:w="11906" w:h="16839"/>
          <w:pgMar w:top="1431" w:right="761" w:bottom="1157" w:left="1004" w:header="0" w:footer="99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12" w:firstLine="642"/>
        <w:spacing w:before="161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年，我单位进一步完善内部控制制度，通过科学细化绩效目标，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熟悉绩效管理的程序和流程，严把支出关口，杜绝一切不合理的开支，</w:t>
      </w:r>
    </w:p>
    <w:p>
      <w:pPr>
        <w:ind w:left="5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本年绩效管理工作取得了一定的成效。</w:t>
      </w:r>
    </w:p>
    <w:p>
      <w:pPr>
        <w:ind w:left="668"/>
        <w:spacing w:before="245" w:line="624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3"/>
        </w:rPr>
        <w:t>（四）</w:t>
      </w:r>
      <w:r>
        <w:rPr>
          <w:rFonts w:ascii="FangSong" w:hAnsi="FangSong" w:eastAsia="FangSong" w:cs="FangSong"/>
          <w:sz w:val="31"/>
          <w:szCs w:val="31"/>
          <w:spacing w:val="-50"/>
          <w:position w:val="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23"/>
        </w:rPr>
        <w:t>其他需要说明的情况</w:t>
      </w:r>
    </w:p>
    <w:p>
      <w:pPr>
        <w:ind w:left="667"/>
        <w:spacing w:before="1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无</w:t>
      </w:r>
    </w:p>
    <w:p>
      <w:pPr>
        <w:spacing w:line="435" w:lineRule="auto"/>
        <w:rPr>
          <w:rFonts w:ascii="Arial"/>
          <w:sz w:val="21"/>
        </w:rPr>
      </w:pPr>
      <w:r/>
    </w:p>
    <w:p>
      <w:pPr>
        <w:pStyle w:val="BodyText"/>
        <w:spacing w:before="140" w:line="223" w:lineRule="auto"/>
        <w:outlineLvl w:val="0"/>
        <w:rPr>
          <w:sz w:val="43"/>
          <w:szCs w:val="43"/>
        </w:rPr>
      </w:pPr>
      <w:bookmarkStart w:name="bookmark25" w:id="25"/>
      <w:bookmarkEnd w:id="25"/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第四部分</w:t>
      </w:r>
      <w:r>
        <w:rPr>
          <w:sz w:val="43"/>
          <w:szCs w:val="43"/>
          <w:spacing w:val="8"/>
        </w:rPr>
        <w:t xml:space="preserve"> </w:t>
      </w:r>
      <w:r>
        <w:rPr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名词解释</w:t>
      </w:r>
    </w:p>
    <w:p>
      <w:pPr>
        <w:spacing w:line="457" w:lineRule="auto"/>
        <w:rPr>
          <w:rFonts w:ascii="Arial"/>
          <w:sz w:val="21"/>
        </w:rPr>
      </w:pPr>
      <w:r/>
    </w:p>
    <w:p>
      <w:pPr>
        <w:ind w:left="665"/>
        <w:spacing w:before="10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财政拨款收入：指单位从同级财政部门取得的财政预算资金。</w:t>
      </w:r>
    </w:p>
    <w:p>
      <w:pPr>
        <w:ind w:left="661"/>
        <w:spacing w:before="244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事业收入：指事业单位开展专业业务活动及辅助活动取</w:t>
      </w:r>
      <w:r>
        <w:rPr>
          <w:rFonts w:ascii="FangSong" w:hAnsi="FangSong" w:eastAsia="FangSong" w:cs="FangSong"/>
          <w:sz w:val="31"/>
          <w:szCs w:val="31"/>
          <w:spacing w:val="8"/>
        </w:rPr>
        <w:t>得的收入。</w:t>
      </w:r>
    </w:p>
    <w:p>
      <w:pPr>
        <w:ind w:right="90"/>
        <w:spacing w:before="244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经营收入：指事业单位在专业业务活动及其辅助活动之外开展非独</w:t>
      </w:r>
    </w:p>
    <w:p>
      <w:pPr>
        <w:ind w:left="11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立核算经营活动取得的收入。</w:t>
      </w:r>
    </w:p>
    <w:p>
      <w:pPr>
        <w:ind w:right="90"/>
        <w:spacing w:before="243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其他收入：指单位取得的除上述收入以外的各项收入。主要是按规</w:t>
      </w:r>
    </w:p>
    <w:p>
      <w:pPr>
        <w:ind w:left="10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定动用的售房收入、存款利息收入等。</w:t>
      </w:r>
    </w:p>
    <w:p>
      <w:pPr>
        <w:ind w:right="90"/>
        <w:spacing w:before="247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年初结转和结余：指单位以前年度尚未完成、结转到本年按有关规</w:t>
      </w:r>
    </w:p>
    <w:p>
      <w:pPr>
        <w:ind w:left="10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定继续使用的资金。</w:t>
      </w:r>
    </w:p>
    <w:p>
      <w:pPr>
        <w:ind w:right="90"/>
        <w:spacing w:before="242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基本支出：指为保障机构正常运转、完成日常工作任务而发生的人</w:t>
      </w:r>
    </w:p>
    <w:p>
      <w:pPr>
        <w:ind w:left="29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员支出和公用支出。</w:t>
      </w:r>
    </w:p>
    <w:p>
      <w:pPr>
        <w:ind w:right="90"/>
        <w:spacing w:before="241" w:line="624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3"/>
        </w:rPr>
        <w:t>项目支出：指在基本支出之外为完成特定行政任务和事业发展目标</w:t>
      </w:r>
    </w:p>
    <w:p>
      <w:pPr>
        <w:ind w:left="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所发生的支出。</w:t>
      </w:r>
    </w:p>
    <w:p>
      <w:pPr>
        <w:ind w:left="14" w:right="87" w:firstLine="618"/>
        <w:spacing w:before="24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“三公</w:t>
      </w:r>
      <w:r>
        <w:rPr>
          <w:rFonts w:ascii="FangSong" w:hAnsi="FangSong" w:eastAsia="FangSong" w:cs="FangSong"/>
          <w:sz w:val="31"/>
          <w:szCs w:val="31"/>
          <w:spacing w:val="-10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”经费：指市直部门用一般公共预算安排的因公出国（</w:t>
      </w:r>
      <w:r>
        <w:rPr>
          <w:rFonts w:ascii="FangSong" w:hAnsi="FangSong" w:eastAsia="FangSong" w:cs="FangSong"/>
          <w:sz w:val="31"/>
          <w:szCs w:val="31"/>
          <w:spacing w:val="11"/>
        </w:rPr>
        <w:t>境）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费、公务用车购置及运行费和公务接待费。其中，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因公出国（境）费反</w:t>
      </w:r>
    </w:p>
    <w:p>
      <w:pPr>
        <w:ind w:left="17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映单位公务出国（境）的国际旅费、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国外城市间交通费、住宿费、伙食</w:t>
      </w:r>
    </w:p>
    <w:p>
      <w:pPr>
        <w:spacing w:line="226" w:lineRule="auto"/>
        <w:sectPr>
          <w:footerReference w:type="default" r:id="rId7"/>
          <w:pgSz w:w="11906" w:h="16839"/>
          <w:pgMar w:top="1431" w:right="761" w:bottom="1155" w:left="1010" w:header="0" w:footer="99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firstLine="10"/>
        <w:spacing w:before="160" w:line="372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费、培训费、公杂费等支出；公务用车购置费反映公务用车车辆购置支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出（含车辆购置税</w:t>
      </w:r>
      <w:r>
        <w:rPr>
          <w:rFonts w:ascii="FangSong" w:hAnsi="FangSong" w:eastAsia="FangSong" w:cs="FangSong"/>
          <w:sz w:val="31"/>
          <w:szCs w:val="31"/>
          <w:spacing w:val="-2"/>
        </w:rPr>
        <w:t>）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；</w:t>
      </w:r>
      <w:r>
        <w:rPr>
          <w:rFonts w:ascii="FangSong" w:hAnsi="FangSong" w:eastAsia="FangSong" w:cs="FangSong"/>
          <w:sz w:val="31"/>
          <w:szCs w:val="31"/>
          <w:spacing w:val="13"/>
        </w:rPr>
        <w:t>公务用车运行维护费反映单</w:t>
      </w:r>
      <w:r>
        <w:rPr>
          <w:rFonts w:ascii="FangSong" w:hAnsi="FangSong" w:eastAsia="FangSong" w:cs="FangSong"/>
          <w:sz w:val="31"/>
          <w:szCs w:val="31"/>
          <w:spacing w:val="12"/>
        </w:rPr>
        <w:t>位按规定保留的公务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用车燃料费、维修费、过路过桥费、保险费、安全奖励费用等</w:t>
      </w:r>
      <w:r>
        <w:rPr>
          <w:rFonts w:ascii="FangSong" w:hAnsi="FangSong" w:eastAsia="FangSong" w:cs="FangSong"/>
          <w:sz w:val="31"/>
          <w:szCs w:val="31"/>
          <w:spacing w:val="13"/>
        </w:rPr>
        <w:t>支出；公</w:t>
      </w:r>
    </w:p>
    <w:p>
      <w:pPr>
        <w:ind w:left="8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务接待费反映单位按规定开支的各类公务接待（含外宾接待）支出。</w:t>
      </w:r>
    </w:p>
    <w:sectPr>
      <w:footerReference w:type="default" r:id="rId8"/>
      <w:pgSz w:w="11906" w:h="16839"/>
      <w:pgMar w:top="1431" w:right="849" w:bottom="1157" w:left="1014" w:header="0" w:footer="99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91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77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82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76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78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82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76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97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2023-10-12T15:23:27Z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2023-10-17T11:04:57</vt:filetime>
  </property>
</Properties>
</file>