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BD2D0">
      <w:pPr>
        <w:keepNext w:val="0"/>
        <w:keepLines w:val="0"/>
        <w:pageBreakBefore w:val="0"/>
        <w:widowControl w:val="0"/>
        <w:kinsoku/>
        <w:wordWrap/>
        <w:topLinePunct w:val="0"/>
        <w:autoSpaceDE w:val="0"/>
        <w:autoSpaceDN w:val="0"/>
        <w:bidi w:val="0"/>
        <w:adjustRightInd w:val="0"/>
        <w:snapToGrid/>
        <w:spacing w:line="36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51A5189F">
      <w:pPr>
        <w:keepNext w:val="0"/>
        <w:keepLines w:val="0"/>
        <w:pageBreakBefore w:val="0"/>
        <w:widowControl w:val="0"/>
        <w:kinsoku/>
        <w:wordWrap/>
        <w:topLinePunct w:val="0"/>
        <w:autoSpaceDE w:val="0"/>
        <w:autoSpaceDN w:val="0"/>
        <w:bidi w:val="0"/>
        <w:adjustRightInd w:val="0"/>
        <w:snapToGrid/>
        <w:spacing w:line="240" w:lineRule="auto"/>
        <w:ind w:right="0" w:rightChars="0"/>
        <w:jc w:val="center"/>
        <w:textAlignment w:val="auto"/>
        <w:rPr>
          <w:rFonts w:hint="eastAsia" w:ascii="仿宋" w:hAnsi="仿宋" w:eastAsia="仿宋" w:cs="仿宋"/>
          <w:kern w:val="0"/>
          <w:sz w:val="32"/>
        </w:rPr>
      </w:pPr>
      <w:r>
        <w:rPr>
          <w:rFonts w:hint="eastAsia" w:ascii="方正小标宋_GBK" w:hAnsi="方正小标宋_GBK" w:eastAsia="方正小标宋_GBK" w:cs="方正小标宋_GBK"/>
          <w:b w:val="0"/>
          <w:bCs w:val="0"/>
          <w:sz w:val="44"/>
          <w:szCs w:val="44"/>
          <w:lang w:val="en-US" w:eastAsia="zh-CN"/>
        </w:rPr>
        <w:t>不合格检验项目小知识</w:t>
      </w:r>
    </w:p>
    <w:p w14:paraId="514E502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p>
    <w:p w14:paraId="429B0DC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一、脱氢乙酸及其钠盐</w:t>
      </w:r>
    </w:p>
    <w:p w14:paraId="663DD7B4">
      <w:pPr>
        <w:pStyle w:val="6"/>
        <w:keepNext w:val="0"/>
        <w:keepLines w:val="0"/>
        <w:pageBreakBefore w:val="0"/>
        <w:widowControl w:val="0"/>
        <w:kinsoku/>
        <w:wordWrap/>
        <w:overflowPunct/>
        <w:topLinePunct w:val="0"/>
        <w:bidi w:val="0"/>
        <w:adjustRightInd w:val="0"/>
        <w:snapToGrid w:val="0"/>
        <w:spacing w:line="5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脱氢乙酸及其钠盐作为一种广谱食品防腐剂，对霉菌和酵母菌的抑制能力强。脱氢乙酸及其钠盐能被人体完全吸收，并能抑制人体内多种氧化酶，长期过量摄入脱氢乙酸及其钠盐会危害人体健康。《食品安全国家标准 食品添加剂使用标准》（GB 2760—2024）中规定，脱氢乙酸及其钠盐在未经加工的鲜水果中不得使用。脱氢乙酸检出的原因，可能是水果种植户或者经销商为防止水果腐败变质、延长产品的储存周期违规使用了该添加剂。</w:t>
      </w:r>
    </w:p>
    <w:p w14:paraId="4BEAB151">
      <w:pPr>
        <w:pStyle w:val="6"/>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二、糖精钠</w:t>
      </w:r>
    </w:p>
    <w:p w14:paraId="3898D5E4">
      <w:pPr>
        <w:pStyle w:val="6"/>
        <w:keepNext w:val="0"/>
        <w:keepLines w:val="0"/>
        <w:pageBreakBefore w:val="0"/>
        <w:widowControl w:val="0"/>
        <w:kinsoku/>
        <w:wordWrap/>
        <w:overflowPunct/>
        <w:topLinePunct w:val="0"/>
        <w:bidi w:val="0"/>
        <w:adjustRightInd w:val="0"/>
        <w:snapToGrid w:val="0"/>
        <w:spacing w:line="560" w:lineRule="exact"/>
        <w:textAlignment w:val="auto"/>
        <w:rPr>
          <w:rFonts w:hint="eastAsia" w:eastAsia="仿宋_GB2312"/>
          <w:sz w:val="32"/>
          <w:szCs w:val="32"/>
          <w:lang w:eastAsia="zh-CN"/>
        </w:rPr>
      </w:pPr>
      <w:r>
        <w:rPr>
          <w:rFonts w:hint="eastAsia" w:ascii="仿宋" w:hAnsi="仿宋" w:eastAsia="仿宋" w:cs="仿宋"/>
          <w:color w:val="auto"/>
          <w:sz w:val="32"/>
          <w:szCs w:val="32"/>
          <w:lang w:eastAsia="zh-CN"/>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 食品添加剂使用标准》（GB 2760—20</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4）中规定，未经加工的鲜水果中不得使用糖精钠（以糖精计）。未经加工的鲜水果中检出糖精钠（以糖精计）的原因，可能是</w:t>
      </w:r>
      <w:r>
        <w:rPr>
          <w:rFonts w:hint="eastAsia" w:ascii="仿宋" w:hAnsi="仿宋" w:eastAsia="仿宋" w:cs="仿宋"/>
          <w:color w:val="auto"/>
          <w:sz w:val="32"/>
          <w:szCs w:val="32"/>
          <w:lang w:val="en-US" w:eastAsia="zh-CN"/>
        </w:rPr>
        <w:t>水果种植户或者经销商</w:t>
      </w:r>
      <w:r>
        <w:rPr>
          <w:rFonts w:hint="eastAsia" w:ascii="仿宋" w:hAnsi="仿宋" w:eastAsia="仿宋" w:cs="仿宋"/>
          <w:color w:val="auto"/>
          <w:sz w:val="32"/>
          <w:szCs w:val="32"/>
          <w:lang w:eastAsia="zh-CN"/>
        </w:rPr>
        <w:t>为增加产品甜度，而超范围使用甜味剂。</w:t>
      </w:r>
    </w:p>
    <w:p w14:paraId="331E8474">
      <w:pPr>
        <w:pStyle w:val="6"/>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color w:val="auto"/>
          <w:sz w:val="32"/>
          <w:szCs w:val="32"/>
        </w:rPr>
      </w:pPr>
      <w:r>
        <w:rPr>
          <w:rFonts w:hint="eastAsia" w:ascii="Calibri" w:hAnsi="Calibri" w:eastAsia="仿宋_GB2312" w:cs="Times New Roman"/>
          <w:b/>
          <w:bCs/>
          <w:kern w:val="2"/>
          <w:sz w:val="32"/>
          <w:szCs w:val="32"/>
          <w:lang w:val="en-US" w:eastAsia="zh-CN" w:bidi="ar-SA"/>
        </w:rPr>
        <w:t>三、</w:t>
      </w:r>
      <w:r>
        <w:rPr>
          <w:rFonts w:hint="eastAsia" w:ascii="仿宋_GB2312" w:hAnsi="仿宋_GB2312" w:eastAsia="仿宋_GB2312" w:cs="仿宋_GB2312"/>
          <w:b/>
          <w:bCs/>
          <w:color w:val="auto"/>
          <w:sz w:val="32"/>
          <w:szCs w:val="32"/>
          <w:lang w:eastAsia="zh-CN"/>
        </w:rPr>
        <w:t>噻虫胺</w:t>
      </w:r>
    </w:p>
    <w:p w14:paraId="5D64438E">
      <w:pPr>
        <w:pStyle w:val="6"/>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rPr>
          <w:rFonts w:hint="eastAsia" w:eastAsia="仿宋_GB2312"/>
          <w:kern w:val="0"/>
          <w:sz w:val="32"/>
        </w:rPr>
      </w:pPr>
      <w:r>
        <w:rPr>
          <w:rFonts w:hint="eastAsia" w:ascii="仿宋" w:hAnsi="仿宋" w:eastAsia="仿宋" w:cs="仿宋"/>
          <w:color w:val="auto"/>
          <w:sz w:val="32"/>
          <w:szCs w:val="32"/>
          <w:lang w:eastAsia="zh-CN"/>
        </w:rPr>
        <w:t>噻虫胺是新烟碱类杀虫剂，其作用与烟碱乙酰胆碱受体类似，具有触杀、胃毒和内吸活性。《食品安全国家标准 食品中农药最大残留限量》（GB 2763—2021）中规定，</w:t>
      </w:r>
      <w:r>
        <w:rPr>
          <w:rFonts w:hint="eastAsia" w:ascii="仿宋" w:hAnsi="仿宋" w:eastAsia="仿宋" w:cs="仿宋"/>
          <w:color w:val="auto"/>
          <w:sz w:val="32"/>
          <w:szCs w:val="32"/>
          <w:lang w:val="en-US" w:eastAsia="zh-CN"/>
        </w:rPr>
        <w:t>芹菜</w:t>
      </w:r>
      <w:r>
        <w:rPr>
          <w:rFonts w:hint="eastAsia" w:ascii="仿宋" w:hAnsi="仿宋" w:eastAsia="仿宋" w:cs="仿宋"/>
          <w:color w:val="auto"/>
          <w:sz w:val="32"/>
          <w:szCs w:val="32"/>
          <w:lang w:eastAsia="zh-CN"/>
        </w:rPr>
        <w:t>中最大残留量为0.0</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mg/kg，</w:t>
      </w:r>
      <w:r>
        <w:rPr>
          <w:rFonts w:hint="eastAsia" w:ascii="仿宋" w:hAnsi="仿宋" w:eastAsia="仿宋" w:cs="仿宋"/>
          <w:color w:val="auto"/>
          <w:sz w:val="32"/>
          <w:szCs w:val="32"/>
          <w:lang w:val="en-US" w:eastAsia="zh-CN"/>
        </w:rPr>
        <w:t>菜豆</w:t>
      </w:r>
      <w:r>
        <w:rPr>
          <w:rFonts w:hint="eastAsia" w:ascii="仿宋" w:hAnsi="仿宋" w:eastAsia="仿宋" w:cs="仿宋"/>
          <w:color w:val="auto"/>
          <w:sz w:val="32"/>
          <w:szCs w:val="32"/>
          <w:lang w:eastAsia="zh-CN"/>
        </w:rPr>
        <w:t>中最大残留量为0.</w:t>
      </w:r>
      <w:r>
        <w:rPr>
          <w:rFonts w:hint="eastAsia" w:ascii="仿宋" w:hAnsi="仿宋" w:eastAsia="仿宋" w:cs="仿宋"/>
          <w:color w:val="auto"/>
          <w:sz w:val="32"/>
          <w:szCs w:val="32"/>
          <w:lang w:val="en-US" w:eastAsia="zh-CN"/>
        </w:rPr>
        <w:t>01</w:t>
      </w:r>
      <w:r>
        <w:rPr>
          <w:rFonts w:hint="eastAsia" w:ascii="仿宋" w:hAnsi="仿宋" w:eastAsia="仿宋" w:cs="仿宋"/>
          <w:color w:val="auto"/>
          <w:sz w:val="32"/>
          <w:szCs w:val="32"/>
          <w:lang w:eastAsia="zh-CN"/>
        </w:rPr>
        <w:t>mg/kg，</w:t>
      </w:r>
      <w:r>
        <w:rPr>
          <w:rFonts w:hint="eastAsia" w:ascii="仿宋" w:hAnsi="仿宋" w:eastAsia="仿宋" w:cs="仿宋"/>
          <w:color w:val="auto"/>
          <w:sz w:val="32"/>
          <w:szCs w:val="32"/>
          <w:lang w:val="en-US" w:eastAsia="zh-CN"/>
        </w:rPr>
        <w:t>茄子</w:t>
      </w:r>
      <w:r>
        <w:rPr>
          <w:rFonts w:hint="eastAsia" w:ascii="仿宋" w:hAnsi="仿宋" w:eastAsia="仿宋" w:cs="仿宋"/>
          <w:color w:val="auto"/>
          <w:sz w:val="32"/>
          <w:szCs w:val="32"/>
          <w:lang w:eastAsia="zh-CN"/>
        </w:rPr>
        <w:t>中最大残留量为0.</w:t>
      </w:r>
      <w:r>
        <w:rPr>
          <w:rFonts w:hint="eastAsia" w:ascii="仿宋" w:hAnsi="仿宋" w:eastAsia="仿宋" w:cs="仿宋"/>
          <w:color w:val="auto"/>
          <w:sz w:val="32"/>
          <w:szCs w:val="32"/>
          <w:lang w:val="en-US" w:eastAsia="zh-CN"/>
        </w:rPr>
        <w:t>05</w:t>
      </w:r>
      <w:r>
        <w:rPr>
          <w:rFonts w:hint="eastAsia" w:ascii="仿宋" w:hAnsi="仿宋" w:eastAsia="仿宋" w:cs="仿宋"/>
          <w:color w:val="auto"/>
          <w:sz w:val="32"/>
          <w:szCs w:val="32"/>
          <w:lang w:eastAsia="zh-CN"/>
        </w:rPr>
        <w:t>mg/kg，番木瓜中</w:t>
      </w:r>
      <w:r>
        <w:rPr>
          <w:rFonts w:hint="eastAsia" w:ascii="仿宋" w:hAnsi="仿宋" w:eastAsia="仿宋" w:cs="仿宋"/>
          <w:color w:val="auto"/>
          <w:sz w:val="32"/>
          <w:szCs w:val="32"/>
          <w:lang w:val="en-US" w:eastAsia="zh-CN"/>
        </w:rPr>
        <w:t>噻虫胺</w:t>
      </w:r>
      <w:r>
        <w:rPr>
          <w:rFonts w:hint="eastAsia" w:ascii="仿宋" w:hAnsi="仿宋" w:eastAsia="仿宋" w:cs="仿宋"/>
          <w:color w:val="auto"/>
          <w:sz w:val="32"/>
          <w:szCs w:val="32"/>
          <w:lang w:eastAsia="zh-CN"/>
        </w:rPr>
        <w:t>残留限量值不得超过0.0</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mg/kg。</w:t>
      </w:r>
    </w:p>
    <w:p w14:paraId="7754B3D8">
      <w:pPr>
        <w:pStyle w:val="6"/>
        <w:keepNext w:val="0"/>
        <w:keepLines w:val="0"/>
        <w:pageBreakBefore w:val="0"/>
        <w:widowControl w:val="0"/>
        <w:numPr>
          <w:ilvl w:val="0"/>
          <w:numId w:val="0"/>
        </w:numPr>
        <w:kinsoku/>
        <w:wordWrap/>
        <w:overflowPunct/>
        <w:topLinePunct w:val="0"/>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四、噻虫嗪</w:t>
      </w:r>
    </w:p>
    <w:p w14:paraId="02BD5C51">
      <w:pPr>
        <w:pStyle w:val="6"/>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shd w:val="clear" w:color="auto" w:fill="FFFFFF"/>
          <w:lang w:eastAsia="zh-CN"/>
        </w:rPr>
      </w:pPr>
      <w:r>
        <w:rPr>
          <w:rFonts w:hint="eastAsia" w:ascii="仿宋" w:hAnsi="仿宋" w:eastAsia="仿宋" w:cs="仿宋"/>
          <w:color w:val="auto"/>
          <w:sz w:val="32"/>
          <w:szCs w:val="32"/>
          <w:lang w:eastAsia="zh-CN"/>
        </w:rPr>
        <w:t>噻虫嗪是新烟碱类杀虫剂，具有杀虫谱广，活性高，传导性强，毒性低等特点，既可以叶面喷雾，也可以进行种子处理、灌根和土壤处理，施药后能迅速被植株的根、茎、叶吸收，并传导到植株的各部位，达到快速杀虫的目的。《食品安全国家标准 食品中农药最大残留限量》（GB 2763—2021）中规定，番木瓜中噻虫嗪残留限量值不得超过0.0</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mg/kg。</w:t>
      </w:r>
      <w:bookmarkStart w:id="0" w:name="OLE_LINK1"/>
    </w:p>
    <w:bookmarkEnd w:id="0"/>
    <w:p w14:paraId="396AB1B8">
      <w:pPr>
        <w:pStyle w:val="6"/>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kern w:val="2"/>
          <w:sz w:val="32"/>
          <w:szCs w:val="32"/>
          <w:lang w:val="en-US" w:eastAsia="zh-CN" w:bidi="ar-SA"/>
        </w:rPr>
        <w:t>五、</w:t>
      </w:r>
      <w:r>
        <w:rPr>
          <w:rFonts w:hint="eastAsia" w:ascii="仿宋_GB2312" w:hAnsi="仿宋_GB2312" w:eastAsia="仿宋_GB2312" w:cs="仿宋_GB2312"/>
          <w:b/>
          <w:bCs/>
          <w:color w:val="000000"/>
          <w:sz w:val="32"/>
          <w:szCs w:val="32"/>
          <w:lang w:val="en-US" w:eastAsia="zh-CN"/>
        </w:rPr>
        <w:t>吡唑醚菌酯</w:t>
      </w:r>
    </w:p>
    <w:p w14:paraId="4313EB35">
      <w:pPr>
        <w:pStyle w:val="6"/>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吡唑醚菌酯为杀菌剂，属于甲氧基氨基甲酸酯类，通过抑制菌株的呼吸作用，进而达到杀菌的效果。少量的残留不会引起人体急性中毒，但长期食用吡唑醚菌酯超标的食品，对人体健康可能有一定影响。《食品安全国家标准 食品中农药最大残留限量》（GB 2763—2021）中规定，吡唑醚菌酯在</w:t>
      </w:r>
      <w:r>
        <w:rPr>
          <w:rFonts w:hint="eastAsia" w:ascii="仿宋" w:hAnsi="仿宋" w:eastAsia="仿宋" w:cs="仿宋"/>
          <w:color w:val="auto"/>
          <w:sz w:val="32"/>
          <w:szCs w:val="32"/>
          <w:lang w:val="en-US" w:eastAsia="zh-CN"/>
        </w:rPr>
        <w:t>荔枝</w:t>
      </w:r>
      <w:r>
        <w:rPr>
          <w:rFonts w:hint="eastAsia" w:ascii="仿宋" w:hAnsi="仿宋" w:eastAsia="仿宋" w:cs="仿宋"/>
          <w:color w:val="auto"/>
          <w:sz w:val="32"/>
          <w:szCs w:val="32"/>
          <w:lang w:eastAsia="zh-CN"/>
        </w:rPr>
        <w:t>中的最大残留限量值为</w:t>
      </w:r>
      <w:r>
        <w:rPr>
          <w:rFonts w:hint="eastAsia" w:ascii="仿宋" w:hAnsi="仿宋" w:eastAsia="仿宋" w:cs="仿宋"/>
          <w:color w:val="auto"/>
          <w:sz w:val="32"/>
          <w:szCs w:val="32"/>
          <w:lang w:val="en-US" w:eastAsia="zh-CN"/>
        </w:rPr>
        <w:t>0.1</w:t>
      </w:r>
      <w:r>
        <w:rPr>
          <w:rFonts w:hint="eastAsia" w:ascii="仿宋" w:hAnsi="仿宋" w:eastAsia="仿宋" w:cs="仿宋"/>
          <w:color w:val="auto"/>
          <w:sz w:val="32"/>
          <w:szCs w:val="32"/>
          <w:lang w:eastAsia="zh-CN"/>
        </w:rPr>
        <w:t>mg/kg。农药残留不合格可能是部分种植者缺少对农药安全使用标准和农药合理使用准则的了解，在种植过程中为了减少损失，超范围、超量使用农药；也可能是土壤中农药残留过高导致；亦可能是使用被农药污染的水源灌溉，水中的农药会随着用水转移至植株体内；还可能是为快速控制病情加大用药量或未遵守采摘间隔期规定，致使上市销售时产品中的药物残留量未降解至标准限量值以下。</w:t>
      </w:r>
    </w:p>
    <w:p w14:paraId="630DBEF4">
      <w:pPr>
        <w:pStyle w:val="6"/>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kern w:val="2"/>
          <w:sz w:val="32"/>
          <w:szCs w:val="32"/>
          <w:lang w:val="en-US" w:eastAsia="zh-CN" w:bidi="ar-SA"/>
        </w:rPr>
        <w:t>六、</w:t>
      </w:r>
      <w:r>
        <w:rPr>
          <w:rFonts w:hint="eastAsia" w:ascii="仿宋_GB2312" w:hAnsi="仿宋_GB2312" w:eastAsia="仿宋_GB2312" w:cs="仿宋_GB2312"/>
          <w:b/>
          <w:bCs/>
          <w:color w:val="000000"/>
          <w:sz w:val="32"/>
          <w:szCs w:val="32"/>
          <w:lang w:val="en-US" w:eastAsia="zh-CN"/>
        </w:rPr>
        <w:t>联苯菊酯</w:t>
      </w:r>
      <w:bookmarkStart w:id="1" w:name="OLE_LINK2"/>
    </w:p>
    <w:p w14:paraId="7D30F96B">
      <w:pPr>
        <w:pStyle w:val="6"/>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联苯菊酯主要用于防治棉铃虫,棉红蜘蛛,桃小食心虫等20多种害虫,少量的残留不会引起人体急性中毒，但长期食用吡唑醚菌酯超标的食品，对人体健康可能有一定影响。《食品安全国家标准 食品中农药最大残留限量》（GB 2763—2021）中规定，联苯菊酯在柑中的最大残留限量值为0.05mg/kg。</w:t>
      </w:r>
      <w:bookmarkEnd w:id="1"/>
    </w:p>
    <w:p w14:paraId="1786CC3D">
      <w:pPr>
        <w:pStyle w:val="6"/>
        <w:keepNext w:val="0"/>
        <w:keepLines w:val="0"/>
        <w:pageBreakBefore w:val="0"/>
        <w:widowControl w:val="0"/>
        <w:numPr>
          <w:ilvl w:val="0"/>
          <w:numId w:val="0"/>
        </w:numPr>
        <w:kinsoku/>
        <w:wordWrap/>
        <w:overflowPunct/>
        <w:topLinePunct w:val="0"/>
        <w:bidi w:val="0"/>
        <w:adjustRightInd w:val="0"/>
        <w:snapToGrid w:val="0"/>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cs="仿宋"/>
          <w:b/>
          <w:bCs/>
          <w:sz w:val="32"/>
          <w:szCs w:val="32"/>
          <w:lang w:val="en-US" w:eastAsia="zh-CN"/>
        </w:rPr>
        <w:t>七、</w:t>
      </w:r>
      <w:r>
        <w:rPr>
          <w:rFonts w:hint="eastAsia" w:ascii="仿宋" w:hAnsi="仿宋" w:eastAsia="仿宋" w:cs="仿宋"/>
          <w:b/>
          <w:bCs/>
          <w:sz w:val="32"/>
          <w:szCs w:val="32"/>
          <w:lang w:val="en-US" w:eastAsia="zh-CN"/>
        </w:rPr>
        <w:t>氯氟氰菊酯和高效氯氟氰菊酯</w:t>
      </w:r>
    </w:p>
    <w:p w14:paraId="762E5E0B">
      <w:pPr>
        <w:pStyle w:val="6"/>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氯氟氰菊酯和高效氯氟氰菊酯是一种常见的杀虫剂，可以有效</w:t>
      </w:r>
      <w:r>
        <w:rPr>
          <w:rFonts w:hint="eastAsia" w:ascii="仿宋" w:hAnsi="仿宋" w:cs="仿宋"/>
          <w:color w:val="auto"/>
          <w:sz w:val="32"/>
          <w:szCs w:val="32"/>
          <w:lang w:val="en-US" w:eastAsia="zh-CN"/>
        </w:rPr>
        <w:t>地</w:t>
      </w:r>
      <w:bookmarkStart w:id="2" w:name="_GoBack"/>
      <w:bookmarkEnd w:id="2"/>
      <w:r>
        <w:rPr>
          <w:rFonts w:hint="eastAsia" w:ascii="仿宋" w:hAnsi="仿宋" w:eastAsia="仿宋" w:cs="仿宋"/>
          <w:color w:val="auto"/>
          <w:sz w:val="32"/>
          <w:szCs w:val="32"/>
          <w:lang w:val="en-US" w:eastAsia="zh-CN"/>
        </w:rPr>
        <w:t>防治棉花、果树、蔬菜、大豆等作物上的多种害虫，也能防治动物体上的寄生虫。具有杀虫广谱、速度快、持效期长的特点。氯氟氰菊和高效氯氟氰菊酯属于神经毒农药，具备触杀和胃毒作用。水果、蔬菜中氯氟氰菊酯和高效氯氟氰菊酯的超标主要是在喷洒使用农药时配比含量过高、喷洒后雨水淋洗时间短、降解周期未到，及采摘周期短造成农药的残留量过高。氯氟氰菊和高效氯氟氰菊酯对眼睛和皮肤有刺激作用。</w:t>
      </w:r>
    </w:p>
    <w:p w14:paraId="67ACD3E7">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30" w:leftChars="0" w:right="0" w:rightChars="0"/>
        <w:rPr>
          <w:rFonts w:hint="default"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bidi="ar-SA"/>
        </w:rPr>
        <w:t>八</w:t>
      </w:r>
      <w:r>
        <w:rPr>
          <w:rFonts w:hint="eastAsia" w:ascii="仿宋" w:hAnsi="仿宋" w:eastAsia="仿宋" w:cs="仿宋"/>
          <w:kern w:val="2"/>
          <w:sz w:val="32"/>
          <w:szCs w:val="32"/>
          <w:lang w:val="en-US" w:eastAsia="zh-CN" w:bidi="ar-SA"/>
        </w:rPr>
        <w:t>、</w:t>
      </w:r>
      <w:r>
        <w:rPr>
          <w:rFonts w:hint="eastAsia" w:ascii="仿宋" w:hAnsi="仿宋" w:eastAsia="仿宋" w:cs="仿宋"/>
          <w:b/>
          <w:bCs/>
          <w:sz w:val="32"/>
          <w:szCs w:val="32"/>
          <w:lang w:val="en-US" w:eastAsia="zh-CN"/>
        </w:rPr>
        <w:t>苯醚甲环唑</w:t>
      </w:r>
    </w:p>
    <w:p w14:paraId="266C410C">
      <w:pPr>
        <w:pStyle w:val="6"/>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苯醚甲环唑杀菌剂属低毒杀菌剂。内吸性极强、用量低、低毒、不污染环境是其最大特点。由于内吸性极强，喷布后约2小时被植物组织吸收，其药效不受施后6小时降雨影响。具有保护和治疗双重效果，减轻病害造成的损失，发挥其保护作用。本品属于低毒杀菌剂，按照我国农药急性毒性分级标准，属于低毒农药。</w:t>
      </w:r>
      <w:r>
        <w:rPr>
          <w:rFonts w:hint="eastAsia" w:ascii="仿宋" w:hAnsi="仿宋" w:eastAsia="仿宋" w:cs="仿宋"/>
          <w:color w:val="auto"/>
          <w:sz w:val="32"/>
          <w:szCs w:val="32"/>
          <w:lang w:val="en-US" w:eastAsia="zh-CN"/>
        </w:rPr>
        <w:t>苯醚甲环唑是高效广谱杀菌剂，对蔬菜和瓜果等多种真菌性病害具有很好的防治作用，长期食用苯醚甲环唑超标的食品，对人体健康也有一定影响。《食品安全国家标准食品中农药最大残留限量》（GB 2763-2021）中的规定，芹菜的最大残留量为3 mg/kg。蔬菜中苯醚甲环唑超标的原因，可能是农户为了防治蔬菜的病害，加大用药量或未遵守采摘间隔期规定，致使上市销售的产品中残留量超标。</w:t>
      </w:r>
    </w:p>
    <w:p w14:paraId="796F23CC">
      <w:pPr>
        <w:pStyle w:val="6"/>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textAlignment w:val="auto"/>
        <w:rPr>
          <w:rFonts w:hint="default" w:ascii="仿宋" w:hAnsi="仿宋" w:eastAsia="仿宋" w:cs="仿宋"/>
          <w:color w:val="auto"/>
          <w:sz w:val="32"/>
          <w:szCs w:val="32"/>
          <w:lang w:val="en-US" w:eastAsia="zh-CN"/>
        </w:rPr>
      </w:pPr>
    </w:p>
    <w:p w14:paraId="53A55FF1">
      <w:pPr>
        <w:pStyle w:val="6"/>
        <w:keepNext w:val="0"/>
        <w:keepLines w:val="0"/>
        <w:pageBreakBefore w:val="0"/>
        <w:widowControl w:val="0"/>
        <w:numPr>
          <w:ilvl w:val="0"/>
          <w:numId w:val="0"/>
        </w:numPr>
        <w:kinsoku/>
        <w:wordWrap/>
        <w:overflowPunct/>
        <w:topLinePunct w:val="0"/>
        <w:bidi w:val="0"/>
        <w:adjustRightInd w:val="0"/>
        <w:snapToGrid w:val="0"/>
        <w:spacing w:line="560" w:lineRule="exact"/>
        <w:textAlignment w:val="auto"/>
        <w:rPr>
          <w:rFonts w:hint="eastAsia" w:ascii="仿宋_GB2312" w:hAnsi="仿宋_GB2312" w:eastAsia="仿宋_GB2312" w:cs="仿宋_GB2312"/>
          <w:b/>
          <w:bCs/>
          <w:color w:val="000000"/>
          <w:sz w:val="32"/>
          <w:szCs w:val="32"/>
          <w:lang w:val="en-US" w:eastAsia="zh-CN"/>
        </w:rPr>
      </w:pPr>
    </w:p>
    <w:p w14:paraId="530E2459">
      <w:pPr>
        <w:pStyle w:val="6"/>
        <w:keepNext w:val="0"/>
        <w:keepLines w:val="0"/>
        <w:pageBreakBefore w:val="0"/>
        <w:widowControl w:val="0"/>
        <w:kinsoku/>
        <w:wordWrap/>
        <w:overflowPunct/>
        <w:topLinePunct w:val="0"/>
        <w:bidi w:val="0"/>
        <w:snapToGrid/>
        <w:spacing w:line="560" w:lineRule="exact"/>
        <w:textAlignment w:val="auto"/>
        <w:rPr>
          <w:rFonts w:hint="eastAsia" w:eastAsia="仿宋_GB2312"/>
          <w:kern w:val="0"/>
          <w:sz w:val="32"/>
          <w:lang w:eastAsia="zh-CN"/>
        </w:rPr>
      </w:pPr>
    </w:p>
    <w:p w14:paraId="0533A651">
      <w:pPr>
        <w:keepNext w:val="0"/>
        <w:keepLines w:val="0"/>
        <w:pageBreakBefore w:val="0"/>
        <w:widowControl w:val="0"/>
        <w:kinsoku/>
        <w:wordWrap/>
        <w:overflowPunct/>
        <w:topLinePunct w:val="0"/>
        <w:bidi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ODk1ODA0NDMyNTA0ZTEwZGY5NmJjZTA4Njg2ZjYifQ=="/>
  </w:docVars>
  <w:rsids>
    <w:rsidRoot w:val="00000000"/>
    <w:rsid w:val="030129E7"/>
    <w:rsid w:val="0CE44B8F"/>
    <w:rsid w:val="15D12A9F"/>
    <w:rsid w:val="18E214F8"/>
    <w:rsid w:val="1FD1660E"/>
    <w:rsid w:val="44E13225"/>
    <w:rsid w:val="47DE6C76"/>
    <w:rsid w:val="4F4058D1"/>
    <w:rsid w:val="50D71E2D"/>
    <w:rsid w:val="56FB4775"/>
    <w:rsid w:val="5F056BF5"/>
    <w:rsid w:val="63903AA9"/>
    <w:rsid w:val="67E94F4F"/>
    <w:rsid w:val="74D44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ind w:left="420" w:leftChars="200"/>
    </w:pPr>
  </w:style>
  <w:style w:type="paragraph" w:styleId="3">
    <w:name w:val="envelope return"/>
    <w:basedOn w:val="1"/>
    <w:qFormat/>
    <w:uiPriority w:val="0"/>
    <w:pPr>
      <w:snapToGrid w:val="0"/>
    </w:pPr>
    <w:rPr>
      <w:rFonts w:ascii="Arial" w:hAnsi="Arial" w:cs="Arial"/>
    </w:rPr>
  </w:style>
  <w:style w:type="paragraph" w:styleId="4">
    <w:name w:val="toc 1"/>
    <w:basedOn w:val="1"/>
    <w:next w:val="1"/>
    <w:qFormat/>
    <w:uiPriority w:val="0"/>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2"/>
    <w:qFormat/>
    <w:uiPriority w:val="0"/>
    <w:pPr>
      <w:adjustRightInd w:val="0"/>
      <w:ind w:left="0" w:leftChars="0" w:firstLine="880" w:firstLineChars="200"/>
    </w:pPr>
    <w:rPr>
      <w:rFonts w:ascii="Calibri" w:hAnsi="Calibri" w:eastAsia="仿宋"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1692</Words>
  <Characters>1803</Characters>
  <Lines>0</Lines>
  <Paragraphs>0</Paragraphs>
  <TotalTime>2</TotalTime>
  <ScaleCrop>false</ScaleCrop>
  <LinksUpToDate>false</LinksUpToDate>
  <CharactersWithSpaces>1817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2025-03-24T02:48:00Z</dcterms:created>
  <dc:creator>Administrator</dc:creator>
  <cp:lastModifiedBy>小魔仙</cp:lastModifiedBy>
  <dcterms:modified xsi:type="dcterms:W3CDTF">2025-08-18T09:56:00Z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7A91098B6FC442D9A29F356F234213A0_12</vt:lpwstr>
  </property>
  <property fmtid="{D5CDD505-2E9C-101B-9397-08002B2CF9AE}" pid="4" name="KSOTemplateDocerSaveRecord">
    <vt:lpwstr>eyJoZGlkIjoiMmVjMmM0MGQ5MTYwYTdmMzlhNTI4MTY2NWNhNzg3MTIiLCJ1c2VySWQiOiIyNTU3MjczMDYifQ==</vt:lpwstr>
  </property>
</Properties>
</file>