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val="0"/>
        <w:jc w:val="center"/>
        <w:textAlignment w:val="center"/>
        <w:rPr>
          <w:rFonts w:hint="default" w:ascii="宋体" w:hAnsi="宋体" w:eastAsia="宋体"/>
          <w:b/>
          <w:i w:val="0"/>
          <w:snapToGrid/>
          <w:color w:val="000000"/>
          <w:sz w:val="48"/>
          <w:u w:val="none"/>
          <w:lang w:eastAsia="zh-CN"/>
        </w:rPr>
      </w:pPr>
      <w:r>
        <w:rPr>
          <w:rFonts w:hint="eastAsia" w:ascii="方正小标宋简体" w:hAnsi="方正小标宋简体" w:eastAsia="方正小标宋简体" w:cs="方正小标宋简体"/>
          <w:b w:val="0"/>
          <w:bCs/>
          <w:i w:val="0"/>
          <w:snapToGrid/>
          <w:color w:val="000000"/>
          <w:sz w:val="44"/>
          <w:szCs w:val="44"/>
          <w:u w:val="none"/>
          <w:lang w:eastAsia="zh-CN"/>
        </w:rPr>
        <w:t>大同市文化和旅游局随机抽查事项清单</w:t>
      </w:r>
    </w:p>
    <w:tbl>
      <w:tblPr>
        <w:tblStyle w:val="4"/>
        <w:tblW w:w="0" w:type="auto"/>
        <w:tblInd w:w="-3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41"/>
        <w:gridCol w:w="1250"/>
        <w:gridCol w:w="2383"/>
        <w:gridCol w:w="4817"/>
        <w:gridCol w:w="1183"/>
        <w:gridCol w:w="1100"/>
        <w:gridCol w:w="1183"/>
        <w:gridCol w:w="1217"/>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5"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序号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抽查事项</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检查依据</w:t>
            </w:r>
          </w:p>
        </w:tc>
        <w:tc>
          <w:tcPr>
            <w:tcW w:w="481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检查内容</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检查方式</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适用对象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抽查比例</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抽查频次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87"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b w:val="0"/>
                <w:i w:val="0"/>
                <w:snapToGrid/>
                <w:color w:val="000000"/>
                <w:sz w:val="22"/>
                <w:u w:val="none"/>
                <w:lang w:val="en-US" w:eastAsia="zh-CN"/>
              </w:rPr>
            </w:pPr>
            <w:r>
              <w:rPr>
                <w:rFonts w:hint="eastAsia" w:ascii="宋体" w:hAnsi="宋体"/>
                <w:b w:val="0"/>
                <w:i w:val="0"/>
                <w:snapToGrid/>
                <w:color w:val="000000"/>
                <w:sz w:val="22"/>
                <w:u w:val="none"/>
                <w:lang w:val="en-US" w:eastAsia="zh-CN"/>
              </w:rPr>
              <w:t>1</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ascii="宋体" w:hAnsi="宋体"/>
                <w:b w:val="0"/>
                <w:i w:val="0"/>
                <w:snapToGrid/>
                <w:color w:val="000000"/>
                <w:sz w:val="22"/>
                <w:u w:val="none"/>
                <w:lang w:eastAsia="zh-CN"/>
              </w:rPr>
              <w:t>娱乐场所</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《娱乐场所管理条例》</w:t>
            </w:r>
            <w:r>
              <w:rPr>
                <w:rFonts w:hint="eastAsia"/>
                <w:lang w:eastAsia="zh-CN"/>
              </w:rPr>
              <w:t>、</w:t>
            </w:r>
            <w:r>
              <w:rPr>
                <w:rFonts w:hint="eastAsia"/>
              </w:rPr>
              <w:t>《娱乐场所管理办法》</w:t>
            </w:r>
          </w:p>
        </w:tc>
        <w:tc>
          <w:tcPr>
            <w:tcW w:w="4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40" w:lineRule="exact"/>
              <w:ind w:left="63" w:leftChars="30" w:right="63" w:rightChars="30"/>
              <w:rPr>
                <w:rFonts w:hint="default" w:ascii="宋体" w:hAnsi="宋体" w:eastAsia="宋体"/>
                <w:b w:val="0"/>
                <w:i w:val="0"/>
                <w:snapToGrid/>
                <w:color w:val="000000"/>
                <w:sz w:val="22"/>
                <w:u w:val="none"/>
                <w:lang w:eastAsia="zh-CN"/>
              </w:rPr>
            </w:pPr>
            <w:r>
              <w:rPr>
                <w:rFonts w:hint="eastAsia"/>
              </w:rPr>
              <w:t>歌舞娱乐场所播放、表演的节目含有禁止内容，使用的歌曲点播系统连接至境外曲库，歌舞娱乐场所接纳未成年人，擅自变更场所使用的歌曲点播系统;游艺娱乐场所设置未经文化主管部门内容核查的游戏游艺设备，擅自变更游戏游</w:t>
            </w:r>
            <w:bookmarkStart w:id="0" w:name="_GoBack"/>
            <w:bookmarkEnd w:id="0"/>
            <w:r>
              <w:rPr>
                <w:rFonts w:hint="eastAsia"/>
              </w:rPr>
              <w:t>艺设备;法律法规规章规定的其他事项。</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b w:val="0"/>
                <w:i w:val="0"/>
                <w:snapToGrid/>
                <w:color w:val="000000"/>
                <w:sz w:val="22"/>
                <w:u w:val="none"/>
                <w:lang w:eastAsia="zh-CN"/>
              </w:rPr>
            </w:pPr>
            <w:r>
              <w:rPr>
                <w:rFonts w:hint="eastAsia"/>
              </w:rPr>
              <w:t>现场检查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原则上不超过20%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b w:val="0"/>
                <w:i w:val="0"/>
                <w:snapToGrid/>
                <w:color w:val="000000"/>
                <w:sz w:val="22"/>
                <w:u w:val="none"/>
                <w:lang w:eastAsia="zh-CN"/>
              </w:rPr>
            </w:pPr>
            <w:r>
              <w:rPr>
                <w:rFonts w:hint="eastAsia"/>
              </w:rPr>
              <w:t>原则上每月不低于</w:t>
            </w:r>
            <w:r>
              <w:rPr>
                <w:rFonts w:hint="eastAsia"/>
                <w:lang w:val="en-US" w:eastAsia="zh-CN"/>
              </w:rPr>
              <w:t>1</w:t>
            </w:r>
            <w:r>
              <w:rPr>
                <w:rFonts w:hint="eastAsia"/>
              </w:rPr>
              <w:t>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04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b w:val="0"/>
                <w:i w:val="0"/>
                <w:snapToGrid/>
                <w:color w:val="000000"/>
                <w:sz w:val="22"/>
                <w:u w:val="none"/>
                <w:lang w:val="en-US" w:eastAsia="zh-CN"/>
              </w:rPr>
            </w:pPr>
            <w:r>
              <w:rPr>
                <w:rFonts w:hint="eastAsia" w:ascii="宋体" w:hAnsi="宋体"/>
                <w:b w:val="0"/>
                <w:i w:val="0"/>
                <w:snapToGrid/>
                <w:color w:val="000000"/>
                <w:sz w:val="22"/>
                <w:u w:val="none"/>
                <w:lang w:val="en-US" w:eastAsia="zh-CN"/>
              </w:rPr>
              <w:t>2</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ascii="宋体" w:hAnsi="宋体"/>
                <w:b w:val="0"/>
                <w:i w:val="0"/>
                <w:snapToGrid/>
                <w:color w:val="000000"/>
                <w:sz w:val="22"/>
                <w:u w:val="none"/>
                <w:lang w:eastAsia="zh-CN"/>
              </w:rPr>
              <w:t>艺术品</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《艺术品经营管理办法》</w:t>
            </w:r>
          </w:p>
        </w:tc>
        <w:tc>
          <w:tcPr>
            <w:tcW w:w="4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63" w:leftChars="30" w:right="63" w:rightChars="30"/>
              <w:jc w:val="left"/>
              <w:textAlignment w:val="center"/>
              <w:rPr>
                <w:rFonts w:hint="default" w:ascii="宋体" w:hAnsi="宋体" w:eastAsia="宋体"/>
                <w:b w:val="0"/>
                <w:i w:val="0"/>
                <w:snapToGrid/>
                <w:color w:val="000000"/>
                <w:sz w:val="22"/>
                <w:u w:val="none"/>
                <w:lang w:eastAsia="zh-CN"/>
              </w:rPr>
            </w:pPr>
            <w:r>
              <w:rPr>
                <w:rFonts w:hint="eastAsia"/>
              </w:rPr>
              <w:t>经营含有禁止内容的艺术品;从事艺术品经营活动没有备案;法律法规规章规定的其他事项</w:t>
            </w:r>
          </w:p>
        </w:tc>
        <w:tc>
          <w:tcPr>
            <w:tcW w:w="11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现场检查</w:t>
            </w:r>
          </w:p>
        </w:tc>
        <w:tc>
          <w:tcPr>
            <w:tcW w:w="11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p>
        </w:tc>
        <w:tc>
          <w:tcPr>
            <w:tcW w:w="11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原则上不超过20%</w:t>
            </w:r>
          </w:p>
        </w:tc>
        <w:tc>
          <w:tcPr>
            <w:tcW w:w="12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原则上每月不低于</w:t>
            </w:r>
            <w:r>
              <w:rPr>
                <w:rFonts w:hint="eastAsia"/>
                <w:lang w:val="en-US" w:eastAsia="zh-CN"/>
              </w:rPr>
              <w:t>1</w:t>
            </w:r>
            <w:r>
              <w:rPr>
                <w:rFonts w:hint="eastAsia"/>
              </w:rPr>
              <w:t>次</w:t>
            </w:r>
          </w:p>
        </w:tc>
        <w:tc>
          <w:tcPr>
            <w:tcW w:w="8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4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b w:val="0"/>
                <w:i w:val="0"/>
                <w:snapToGrid/>
                <w:color w:val="000000"/>
                <w:sz w:val="22"/>
                <w:u w:val="none"/>
                <w:lang w:val="en-US" w:eastAsia="zh-CN"/>
              </w:rPr>
            </w:pPr>
            <w:r>
              <w:rPr>
                <w:rFonts w:hint="eastAsia" w:ascii="宋体" w:hAnsi="宋体"/>
                <w:b w:val="0"/>
                <w:i w:val="0"/>
                <w:snapToGrid/>
                <w:color w:val="000000"/>
                <w:sz w:val="22"/>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互联网上网服务营业场所</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《互联网上网服务营业场所管理条例》</w:t>
            </w:r>
          </w:p>
        </w:tc>
        <w:tc>
          <w:tcPr>
            <w:tcW w:w="48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63" w:leftChars="30" w:right="63" w:rightChars="30"/>
              <w:jc w:val="left"/>
              <w:textAlignment w:val="center"/>
              <w:rPr>
                <w:rFonts w:hint="default" w:ascii="宋体" w:hAnsi="宋体" w:eastAsia="宋体"/>
                <w:b w:val="0"/>
                <w:i w:val="0"/>
                <w:snapToGrid/>
                <w:color w:val="000000"/>
                <w:sz w:val="22"/>
                <w:u w:val="none"/>
                <w:lang w:eastAsia="zh-CN"/>
              </w:rPr>
            </w:pPr>
            <w:r>
              <w:rPr>
                <w:rFonts w:hint="eastAsia"/>
              </w:rPr>
              <w:t>互联网上网服务营业场所接纳未成年人进入营业场所;擅自停止实施经营管理技术措施;未悬挂《网络文化经营许可证》或未成年人禁入标志;未按规定核对、登记上网消费者的有效身份证件或者记录有关上网信息;变更名称、住所、法定代表人或主要负责人、网络地址或者终止经营活动，未向文化行政部门办理有关手续或者备案;法律法规规章规定的其他事项</w:t>
            </w:r>
          </w:p>
        </w:tc>
        <w:tc>
          <w:tcPr>
            <w:tcW w:w="1183"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现场检查</w:t>
            </w:r>
          </w:p>
        </w:tc>
        <w:tc>
          <w:tcPr>
            <w:tcW w:w="110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p>
        </w:tc>
        <w:tc>
          <w:tcPr>
            <w:tcW w:w="1183"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原则上不超过20%</w:t>
            </w:r>
          </w:p>
        </w:tc>
        <w:tc>
          <w:tcPr>
            <w:tcW w:w="1217"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原则上每月不低于</w:t>
            </w:r>
            <w:r>
              <w:rPr>
                <w:rFonts w:hint="eastAsia"/>
                <w:lang w:val="en-US" w:eastAsia="zh-CN"/>
              </w:rPr>
              <w:t>1</w:t>
            </w:r>
            <w:r>
              <w:rPr>
                <w:rFonts w:hint="eastAsia"/>
              </w:rPr>
              <w:t>次</w:t>
            </w:r>
          </w:p>
        </w:tc>
        <w:tc>
          <w:tcPr>
            <w:tcW w:w="833"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p>
        </w:tc>
      </w:tr>
    </w:tbl>
    <w:p>
      <w:pPr>
        <w:rPr>
          <w:rFonts w:hint="eastAsia" w:eastAsia="宋体"/>
          <w:lang w:val="en-US"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41"/>
        <w:gridCol w:w="1250"/>
        <w:gridCol w:w="1963"/>
        <w:gridCol w:w="420"/>
        <w:gridCol w:w="4817"/>
        <w:gridCol w:w="1183"/>
        <w:gridCol w:w="1100"/>
        <w:gridCol w:w="1183"/>
        <w:gridCol w:w="1217"/>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5"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序号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抽查事项</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检查依据</w:t>
            </w:r>
          </w:p>
        </w:tc>
        <w:tc>
          <w:tcPr>
            <w:tcW w:w="5237"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检查内容</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检查方式</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适用对象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抽查比例</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抽查频次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b w:val="0"/>
                <w:i w:val="0"/>
                <w:snapToGrid/>
                <w:color w:val="000000"/>
                <w:sz w:val="22"/>
                <w:u w:val="none"/>
                <w:lang w:val="en-US" w:eastAsia="zh-CN"/>
              </w:rPr>
            </w:pPr>
            <w:r>
              <w:rPr>
                <w:rFonts w:hint="eastAsia" w:ascii="宋体" w:hAnsi="宋体"/>
                <w:b w:val="0"/>
                <w:i w:val="0"/>
                <w:snapToGrid/>
                <w:color w:val="000000"/>
                <w:sz w:val="22"/>
                <w:u w:val="none"/>
                <w:lang w:val="en-US" w:eastAsia="zh-CN"/>
              </w:rPr>
              <w:t>4</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互联网文化</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《互联网文化管理暂行规定》</w:t>
            </w:r>
          </w:p>
        </w:tc>
        <w:tc>
          <w:tcPr>
            <w:tcW w:w="5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63" w:leftChars="30" w:right="63" w:rightChars="30"/>
              <w:jc w:val="left"/>
              <w:textAlignment w:val="center"/>
              <w:rPr>
                <w:rFonts w:hint="default" w:ascii="宋体" w:hAnsi="宋体" w:eastAsia="宋体"/>
                <w:b w:val="0"/>
                <w:i w:val="0"/>
                <w:snapToGrid/>
                <w:color w:val="000000"/>
                <w:sz w:val="22"/>
                <w:u w:val="none"/>
                <w:lang w:eastAsia="zh-CN"/>
              </w:rPr>
            </w:pPr>
            <w:r>
              <w:rPr>
                <w:rFonts w:hint="eastAsia"/>
              </w:rPr>
              <w:t>互联网文化单位未在网站主页的显著位置标明文化行政部门颁发的《网络文化经营许可证》编号或者备案编号;经营性互联网文化单位经营进口互联网文化产品未在其显著位置标明文化部批准文号、经营国产互联网文化产品未在其显著位置标明文化部备案编号;经营性互联网文化单位擅自变更进口互联网文化产品的名称或者增删内容;经营型互联网文化单位经营国产互联网文化产品逾期未报文化行政部门备案;经营性互联网文化单位提供含有禁止内容的互联网文化产品，或者提供未经文化部批准进口的互联网文化产品;法律法规规章规定的其他事项</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现场检查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原则上不超过20%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原则上每月不低于</w:t>
            </w:r>
            <w:r>
              <w:rPr>
                <w:rFonts w:hint="eastAsia"/>
                <w:lang w:val="en-US" w:eastAsia="zh-CN"/>
              </w:rPr>
              <w:t>1</w:t>
            </w:r>
            <w:r>
              <w:rPr>
                <w:rFonts w:hint="eastAsia"/>
              </w:rPr>
              <w:t>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b w:val="0"/>
                <w:i w:val="0"/>
                <w:snapToGrid/>
                <w:color w:val="000000"/>
                <w:sz w:val="22"/>
                <w:u w:val="none"/>
                <w:lang w:val="en-US" w:eastAsia="zh-CN"/>
              </w:rPr>
            </w:pPr>
            <w:r>
              <w:rPr>
                <w:rFonts w:hint="eastAsia" w:ascii="宋体" w:hAnsi="宋体"/>
                <w:b w:val="0"/>
                <w:i w:val="0"/>
                <w:snapToGrid/>
                <w:color w:val="000000"/>
                <w:sz w:val="22"/>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网络游戏</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40" w:lineRule="exact"/>
              <w:ind w:left="42" w:leftChars="20" w:right="42" w:rightChars="20"/>
              <w:rPr>
                <w:rFonts w:hint="default" w:ascii="宋体" w:hAnsi="宋体" w:eastAsia="宋体"/>
                <w:b w:val="0"/>
                <w:i w:val="0"/>
                <w:snapToGrid/>
                <w:color w:val="000000"/>
                <w:sz w:val="22"/>
                <w:u w:val="none"/>
                <w:lang w:eastAsia="zh-CN"/>
              </w:rPr>
            </w:pPr>
            <w:r>
              <w:rPr>
                <w:rFonts w:hint="eastAsia"/>
              </w:rPr>
              <w:t>《网络游戏管理暂行办法》</w:t>
            </w:r>
          </w:p>
        </w:tc>
        <w:tc>
          <w:tcPr>
            <w:tcW w:w="5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63" w:leftChars="30" w:right="63" w:rightChars="30"/>
              <w:jc w:val="left"/>
              <w:textAlignment w:val="center"/>
              <w:rPr>
                <w:rFonts w:hint="default" w:ascii="宋体" w:hAnsi="宋体" w:eastAsia="宋体"/>
                <w:b w:val="0"/>
                <w:i w:val="0"/>
                <w:snapToGrid/>
                <w:color w:val="000000"/>
                <w:sz w:val="22"/>
                <w:u w:val="none"/>
                <w:lang w:eastAsia="zh-CN"/>
              </w:rPr>
            </w:pPr>
            <w:r>
              <w:rPr>
                <w:rFonts w:hint="eastAsia"/>
              </w:rPr>
              <w:t>提供含有禁止内容的网络游戏产品和服务;获得《网络文化经营许可证》的网络游戏经营单位变更有关内容未按规定向原发证机关办理变更手续;上网运营未获得文化部内容审查批准的进口网络游戏;进口网络游戏变更运营企业未按要求重新申报;对进口网络游戏内容进行实质性变动未报送审查;网络游戏经营单位授权无网络游戏运营资质的单位运营网络游戏;网络游戏经营单位在网络游戏中设置未经网络游戏用户同意的强制对战;网络游戏的推广和宣传含有禁止内容;网络游戏经营单位存在以随机抽取等偶然方式，诱导网络游戏用户采取投入法定货币或虚拟货币方式获取网络游戏产品和服务;网络游戏运营企业未要求网络游戏用户使用有效身份证件进行实名注册，并保存用户注册信息;法律法规规章规定的其他事项</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现场检查、网络巡查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原则上不超过20%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原则上每月不低于</w:t>
            </w:r>
            <w:r>
              <w:rPr>
                <w:rFonts w:hint="eastAsia"/>
                <w:lang w:val="en-US" w:eastAsia="zh-CN"/>
              </w:rPr>
              <w:t>1</w:t>
            </w:r>
            <w:r>
              <w:rPr>
                <w:rFonts w:hint="eastAsia"/>
              </w:rPr>
              <w:t>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77"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序号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抽查事项</w:t>
            </w:r>
          </w:p>
        </w:tc>
        <w:tc>
          <w:tcPr>
            <w:tcW w:w="2383"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检查依据</w:t>
            </w:r>
          </w:p>
        </w:tc>
        <w:tc>
          <w:tcPr>
            <w:tcW w:w="481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检查内容</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检查方式</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适用对象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抽查比例</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抽查频次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黑体"/>
                <w:b/>
                <w:i w:val="0"/>
                <w:snapToGrid/>
                <w:color w:val="000000"/>
                <w:kern w:val="2"/>
                <w:sz w:val="24"/>
                <w:szCs w:val="24"/>
                <w:u w:val="none"/>
                <w:lang w:val="en-US" w:eastAsia="zh-CN"/>
              </w:rPr>
            </w:pPr>
            <w:r>
              <w:rPr>
                <w:rFonts w:hint="default" w:ascii="宋体" w:hAnsi="宋体" w:eastAsia="宋体"/>
                <w:b/>
                <w:i w:val="0"/>
                <w:snapToGrid/>
                <w:color w:val="000000"/>
                <w:sz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726"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b w:val="0"/>
                <w:i w:val="0"/>
                <w:snapToGrid/>
                <w:color w:val="000000"/>
                <w:sz w:val="22"/>
                <w:u w:val="none"/>
                <w:lang w:val="en-US" w:eastAsia="zh-CN"/>
              </w:rPr>
            </w:pPr>
            <w:r>
              <w:rPr>
                <w:rFonts w:hint="eastAsia" w:ascii="宋体" w:hAnsi="宋体"/>
                <w:b w:val="0"/>
                <w:i w:val="0"/>
                <w:snapToGrid/>
                <w:color w:val="000000"/>
                <w:sz w:val="22"/>
                <w:u w:val="none"/>
                <w:lang w:val="en-US" w:eastAsia="zh-CN"/>
              </w:rPr>
              <w:t>6</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40" w:lineRule="exact"/>
              <w:ind w:left="42" w:leftChars="20" w:right="42" w:rightChars="20"/>
              <w:rPr>
                <w:rFonts w:hint="default" w:ascii="宋体" w:hAnsi="宋体" w:eastAsia="宋体"/>
                <w:b w:val="0"/>
                <w:i w:val="0"/>
                <w:snapToGrid/>
                <w:color w:val="000000"/>
                <w:sz w:val="22"/>
                <w:u w:val="none"/>
                <w:lang w:eastAsia="zh-CN"/>
              </w:rPr>
            </w:pPr>
            <w:r>
              <w:rPr>
                <w:rFonts w:hint="eastAsia"/>
              </w:rPr>
              <w:t>广播影视</w:t>
            </w:r>
          </w:p>
        </w:tc>
        <w:tc>
          <w:tcPr>
            <w:tcW w:w="23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40" w:lineRule="exact"/>
              <w:ind w:left="42" w:leftChars="20" w:right="42" w:rightChars="20"/>
              <w:rPr>
                <w:rFonts w:hint="default" w:ascii="宋体" w:hAnsi="宋体" w:eastAsia="宋体"/>
                <w:b w:val="0"/>
                <w:i w:val="0"/>
                <w:snapToGrid/>
                <w:color w:val="000000"/>
                <w:sz w:val="22"/>
                <w:u w:val="none"/>
                <w:lang w:eastAsia="zh-CN"/>
              </w:rPr>
            </w:pPr>
            <w:r>
              <w:rPr>
                <w:rFonts w:hint="eastAsia"/>
              </w:rPr>
              <w:t>《电影管理条例》</w:t>
            </w:r>
            <w:r>
              <w:rPr>
                <w:rFonts w:hint="eastAsia"/>
                <w:lang w:eastAsia="zh-CN"/>
              </w:rPr>
              <w:t>、</w:t>
            </w:r>
            <w:r>
              <w:rPr>
                <w:rFonts w:hint="eastAsia"/>
              </w:rPr>
              <w:t>《卫星电视广播地面接收设施管理规定》</w:t>
            </w:r>
            <w:r>
              <w:rPr>
                <w:rFonts w:hint="eastAsia"/>
                <w:lang w:eastAsia="zh-CN"/>
              </w:rPr>
              <w:t>、</w:t>
            </w:r>
            <w:r>
              <w:rPr>
                <w:rFonts w:hint="eastAsia"/>
              </w:rPr>
              <w:t>《广播电视管理条例》</w:t>
            </w:r>
          </w:p>
        </w:tc>
        <w:tc>
          <w:tcPr>
            <w:tcW w:w="4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63" w:leftChars="30" w:right="63" w:rightChars="30"/>
              <w:jc w:val="left"/>
              <w:textAlignment w:val="center"/>
              <w:rPr>
                <w:rFonts w:hint="default" w:ascii="宋体" w:hAnsi="宋体" w:eastAsia="宋体"/>
                <w:b w:val="0"/>
                <w:i w:val="0"/>
                <w:snapToGrid/>
                <w:color w:val="000000"/>
                <w:sz w:val="22"/>
                <w:u w:val="none"/>
                <w:lang w:eastAsia="zh-CN"/>
              </w:rPr>
            </w:pPr>
            <w:r>
              <w:rPr>
                <w:rFonts w:hint="eastAsia"/>
              </w:rPr>
              <w:t>证照是否齐全并在显目处悬挂；是否按照许可证载明事项从事业务；放映的电影具有《电影片公映许可证》；不利用电影资料片从事或者变相从事经营性的放映活动；法律法规规章规定的其他事项</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现场检查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原则上不超过20%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原则上每月不低于</w:t>
            </w:r>
            <w:r>
              <w:rPr>
                <w:rFonts w:hint="eastAsia"/>
                <w:lang w:val="en-US" w:eastAsia="zh-CN"/>
              </w:rPr>
              <w:t>1</w:t>
            </w:r>
            <w:r>
              <w:rPr>
                <w:rFonts w:hint="eastAsia"/>
              </w:rPr>
              <w:t>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b w:val="0"/>
                <w:i w:val="0"/>
                <w:snapToGrid/>
                <w:color w:val="000000"/>
                <w:sz w:val="22"/>
                <w:u w:val="none"/>
                <w:lang w:val="en-US" w:eastAsia="zh-CN"/>
              </w:rPr>
            </w:pPr>
            <w:r>
              <w:rPr>
                <w:rFonts w:hint="eastAsia" w:ascii="宋体" w:hAnsi="宋体"/>
                <w:b w:val="0"/>
                <w:i w:val="0"/>
                <w:snapToGrid/>
                <w:color w:val="000000"/>
                <w:sz w:val="22"/>
                <w:u w:val="none"/>
                <w:lang w:val="en-US" w:eastAsia="zh-CN"/>
              </w:rPr>
              <w:t>7</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旅游市场</w:t>
            </w:r>
          </w:p>
        </w:tc>
        <w:tc>
          <w:tcPr>
            <w:tcW w:w="23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r>
              <w:rPr>
                <w:rFonts w:hint="eastAsia"/>
              </w:rPr>
              <w:t>《中华人民共和国旅游法》、《旅行社条例》、《旅行社条例实施细则》、《导游人员管理条例》等法律、行政法规和旅游行政主管部门规章、规定</w:t>
            </w:r>
          </w:p>
        </w:tc>
        <w:tc>
          <w:tcPr>
            <w:tcW w:w="4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40" w:lineRule="exact"/>
              <w:ind w:left="63" w:leftChars="30" w:right="63" w:rightChars="30"/>
            </w:pPr>
            <w:r>
              <w:rPr>
                <w:rFonts w:hint="eastAsia"/>
              </w:rPr>
              <w:t>1、旅行社：经营场所、营业设施、注册资本等基础性经营条件是否符合法律规定；经营旅行社业务是否取得经营、执业许可；分支机构的名称、标牌、经营范围等是否符合法律规定；是否依法经营，有无不合理低价、虚假广告、价格欺诈等不正当竞争行为及损害消费者合法权益的行为；是否与旅游者签订旅游合同、提供与合同内容相符的旅游服务；是否与导游等长期聘用人员签订劳动合同，并办理相关社会保险。</w:t>
            </w:r>
          </w:p>
          <w:p>
            <w:pPr>
              <w:keepNext w:val="0"/>
              <w:keepLines w:val="0"/>
              <w:pageBreakBefore w:val="0"/>
              <w:widowControl w:val="0"/>
              <w:kinsoku/>
              <w:wordWrap/>
              <w:overflowPunct/>
              <w:topLinePunct w:val="0"/>
              <w:autoSpaceDE/>
              <w:bidi w:val="0"/>
              <w:adjustRightInd/>
              <w:snapToGrid/>
              <w:spacing w:line="340" w:lineRule="exact"/>
              <w:ind w:left="63" w:leftChars="30" w:right="63" w:rightChars="30"/>
            </w:pPr>
            <w:r>
              <w:rPr>
                <w:rFonts w:hint="eastAsia"/>
              </w:rPr>
              <w:t>2、导游和领队：是否取得经营、执业许可；服务行为是否合法、规范；法律法规规定的其他监管事项。</w:t>
            </w:r>
          </w:p>
          <w:p>
            <w:pPr>
              <w:keepNext w:val="0"/>
              <w:keepLines w:val="0"/>
              <w:pageBreakBefore w:val="0"/>
              <w:widowControl w:val="0"/>
              <w:kinsoku/>
              <w:wordWrap/>
              <w:overflowPunct/>
              <w:topLinePunct w:val="0"/>
              <w:autoSpaceDE/>
              <w:bidi w:val="0"/>
              <w:adjustRightInd/>
              <w:snapToGrid/>
              <w:spacing w:line="340" w:lineRule="exact"/>
              <w:ind w:left="63" w:leftChars="30" w:right="63" w:rightChars="30"/>
              <w:rPr>
                <w:rFonts w:hint="default" w:ascii="宋体" w:hAnsi="宋体" w:eastAsia="宋体"/>
                <w:b w:val="0"/>
                <w:i w:val="0"/>
                <w:snapToGrid/>
                <w:color w:val="000000"/>
                <w:sz w:val="22"/>
                <w:u w:val="none"/>
                <w:lang w:eastAsia="zh-CN"/>
              </w:rPr>
            </w:pPr>
            <w:r>
              <w:rPr>
                <w:rFonts w:hint="eastAsia"/>
              </w:rPr>
              <w:t>3、A级旅游景区、星级饭店、星级乡村旅游接待点：设施和服务是否低于相应的标准；未取得质量等级的旅游企业是否使用相关质量等级的称谓和标识；法律法规规定的其他监管事项</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现场检查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原则上不超过20%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default" w:ascii="宋体" w:hAnsi="宋体" w:eastAsia="宋体" w:cs="黑体"/>
                <w:b w:val="0"/>
                <w:i w:val="0"/>
                <w:snapToGrid/>
                <w:color w:val="000000"/>
                <w:kern w:val="2"/>
                <w:sz w:val="22"/>
                <w:szCs w:val="24"/>
                <w:u w:val="none"/>
                <w:lang w:val="en-US" w:eastAsia="zh-CN"/>
              </w:rPr>
            </w:pPr>
            <w:r>
              <w:rPr>
                <w:rFonts w:hint="eastAsia"/>
              </w:rPr>
              <w:t>原则上每月不低于</w:t>
            </w:r>
            <w:r>
              <w:rPr>
                <w:rFonts w:hint="eastAsia"/>
                <w:lang w:val="en-US" w:eastAsia="zh-CN"/>
              </w:rPr>
              <w:t>1</w:t>
            </w:r>
            <w:r>
              <w:rPr>
                <w:rFonts w:hint="eastAsia"/>
              </w:rPr>
              <w:t>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default" w:ascii="宋体" w:hAnsi="宋体" w:eastAsia="宋体"/>
                <w:b w:val="0"/>
                <w:i w:val="0"/>
                <w:snapToGrid/>
                <w:color w:val="000000"/>
                <w:sz w:val="22"/>
                <w:u w:val="none"/>
                <w:lang w:eastAsia="zh-CN"/>
              </w:rPr>
            </w:pPr>
          </w:p>
        </w:tc>
      </w:tr>
    </w:tbl>
    <w:p>
      <w:pPr>
        <w:rPr>
          <w:rFonts w:hint="eastAsia" w:eastAsia="宋体"/>
          <w:lang w:val="en-US" w:eastAsia="zh-CN"/>
        </w:rPr>
      </w:pPr>
    </w:p>
    <w:p>
      <w:pPr>
        <w:rPr>
          <w:rFonts w:hint="eastAsia" w:eastAsia="宋体"/>
          <w:lang w:val="en-US" w:eastAsia="zh-CN"/>
        </w:rPr>
      </w:pPr>
    </w:p>
    <w:sectPr>
      <w:pgSz w:w="16838" w:h="11906" w:orient="landscape"/>
      <w:pgMar w:top="141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756C"/>
    <w:rsid w:val="16C42883"/>
    <w:rsid w:val="1E7A5C7F"/>
    <w:rsid w:val="20262D82"/>
    <w:rsid w:val="23A06AEC"/>
    <w:rsid w:val="3E1C074A"/>
    <w:rsid w:val="42400DCA"/>
    <w:rsid w:val="472A05B1"/>
    <w:rsid w:val="4C4E6E11"/>
    <w:rsid w:val="50EE47E0"/>
    <w:rsid w:val="63BE3BB2"/>
    <w:rsid w:val="64845C07"/>
    <w:rsid w:val="75907B48"/>
    <w:rsid w:val="75E17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2020-07-17T09:43:26Z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