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840" w:lineRule="atLeast"/>
        <w:jc w:val="center"/>
        <w:rPr>
          <w:rFonts w:cs="宋体"/>
          <w:color w:val="000000"/>
          <w:sz w:val="36"/>
          <w:szCs w:val="36"/>
          <w:shd w:val="clear" w:color="auto" w:fill="FFFFFF"/>
        </w:rPr>
      </w:pPr>
      <w:r>
        <w:rPr>
          <w:rFonts w:cs="宋体"/>
          <w:color w:val="000000"/>
          <w:sz w:val="36"/>
          <w:szCs w:val="36"/>
          <w:shd w:val="clear" w:color="auto" w:fill="FFFFFF"/>
        </w:rPr>
        <w:t>大同市</w:t>
      </w:r>
      <w:r>
        <w:rPr>
          <w:rFonts w:hint="eastAsia" w:cs="宋体"/>
          <w:color w:val="000000"/>
          <w:sz w:val="36"/>
          <w:szCs w:val="36"/>
          <w:shd w:val="clear" w:color="auto" w:fill="FFFFFF"/>
          <w:lang w:eastAsia="zh-CN"/>
        </w:rPr>
        <w:t>安居工程建设保障中心</w:t>
      </w:r>
      <w:r>
        <w:rPr>
          <w:rFonts w:cs="宋体"/>
          <w:color w:val="000000"/>
          <w:sz w:val="36"/>
          <w:szCs w:val="36"/>
          <w:shd w:val="clear" w:color="auto" w:fill="FFFFFF"/>
        </w:rPr>
        <w:t>202</w:t>
      </w:r>
      <w:r>
        <w:rPr>
          <w:rFonts w:hint="eastAsia" w:cs="宋体"/>
          <w:color w:val="000000"/>
          <w:sz w:val="36"/>
          <w:szCs w:val="36"/>
          <w:shd w:val="clear" w:color="auto" w:fill="FFFFFF"/>
          <w:lang w:val="en-US" w:eastAsia="zh-CN"/>
        </w:rPr>
        <w:t>1</w:t>
      </w:r>
      <w:r>
        <w:rPr>
          <w:rFonts w:cs="宋体"/>
          <w:color w:val="000000"/>
          <w:sz w:val="36"/>
          <w:szCs w:val="36"/>
          <w:shd w:val="clear" w:color="auto" w:fill="FFFFFF"/>
        </w:rPr>
        <w:t>年度部门决算</w:t>
      </w:r>
    </w:p>
    <w:p>
      <w:pPr>
        <w:jc w:val="center"/>
        <w:rPr>
          <w:rFonts w:hint="default" w:ascii="宋体" w:hAnsi="宋体" w:eastAsia="宋体" w:cs="宋体"/>
          <w:b/>
          <w:color w:val="000000"/>
          <w:kern w:val="44"/>
          <w:sz w:val="36"/>
          <w:szCs w:val="36"/>
          <w:shd w:val="clear" w:color="auto" w:fill="FFFFFF"/>
          <w:lang w:val="en-US" w:eastAsia="zh-CN" w:bidi="ar-SA"/>
        </w:rPr>
      </w:pPr>
      <w:r>
        <w:rPr>
          <w:rFonts w:hint="eastAsia" w:ascii="宋体" w:hAnsi="宋体" w:eastAsia="宋体" w:cs="宋体"/>
          <w:b/>
          <w:color w:val="000000"/>
          <w:kern w:val="44"/>
          <w:sz w:val="36"/>
          <w:szCs w:val="36"/>
          <w:shd w:val="clear" w:color="auto" w:fill="FFFFFF"/>
          <w:lang w:val="en-US" w:eastAsia="zh-CN" w:bidi="ar-SA"/>
        </w:rPr>
        <w:t>目    录</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概况</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本部门职责</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eastAsia"/>
          <w:sz w:val="32"/>
          <w:szCs w:val="32"/>
          <w:lang w:val="en-US" w:eastAsia="zh-CN"/>
        </w:rPr>
        <w:t>机构设置情况</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2021年度部门决算报表</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eastAsia"/>
          <w:sz w:val="32"/>
          <w:szCs w:val="32"/>
          <w:lang w:val="en-US" w:eastAsia="zh-CN"/>
        </w:rPr>
      </w:pPr>
      <w:r>
        <w:rPr>
          <w:rFonts w:hint="eastAsia"/>
          <w:sz w:val="32"/>
          <w:szCs w:val="32"/>
          <w:lang w:val="en-US" w:eastAsia="zh-CN"/>
        </w:rPr>
        <w:t>收入支出决算总表</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default"/>
          <w:sz w:val="32"/>
          <w:szCs w:val="32"/>
          <w:lang w:val="en-US" w:eastAsia="zh-CN"/>
        </w:rPr>
      </w:pPr>
      <w:r>
        <w:rPr>
          <w:rFonts w:hint="eastAsia"/>
          <w:sz w:val="32"/>
          <w:szCs w:val="32"/>
          <w:lang w:val="en-US" w:eastAsia="zh-CN"/>
        </w:rPr>
        <w:t>收入决算表</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default"/>
          <w:sz w:val="32"/>
          <w:szCs w:val="32"/>
          <w:lang w:val="en-US" w:eastAsia="zh-CN"/>
        </w:rPr>
      </w:pPr>
      <w:r>
        <w:rPr>
          <w:rFonts w:hint="eastAsia"/>
          <w:sz w:val="32"/>
          <w:szCs w:val="32"/>
          <w:lang w:val="en-US" w:eastAsia="zh-CN"/>
        </w:rPr>
        <w:t>支出决算表</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default"/>
          <w:sz w:val="32"/>
          <w:szCs w:val="32"/>
          <w:lang w:val="en-US" w:eastAsia="zh-CN"/>
        </w:rPr>
      </w:pPr>
      <w:r>
        <w:rPr>
          <w:rFonts w:hint="eastAsia"/>
          <w:sz w:val="32"/>
          <w:szCs w:val="32"/>
          <w:lang w:val="en-US" w:eastAsia="zh-CN"/>
        </w:rPr>
        <w:t>财政拨款收入支出决算总表</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default"/>
          <w:sz w:val="32"/>
          <w:szCs w:val="32"/>
          <w:lang w:val="en-US" w:eastAsia="zh-CN"/>
        </w:rPr>
      </w:pPr>
      <w:r>
        <w:rPr>
          <w:rFonts w:hint="eastAsia"/>
          <w:sz w:val="32"/>
          <w:szCs w:val="32"/>
          <w:lang w:val="en-US" w:eastAsia="zh-CN"/>
        </w:rPr>
        <w:t>一般公共预算财政拨款支出决算表（一）</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default"/>
          <w:sz w:val="32"/>
          <w:szCs w:val="32"/>
          <w:lang w:val="en-US" w:eastAsia="zh-CN"/>
        </w:rPr>
      </w:pPr>
      <w:r>
        <w:rPr>
          <w:rFonts w:hint="eastAsia"/>
          <w:sz w:val="32"/>
          <w:szCs w:val="32"/>
          <w:lang w:val="en-US" w:eastAsia="zh-CN"/>
        </w:rPr>
        <w:t>一般公共预算财政拨款支出决算表（二）</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default"/>
          <w:sz w:val="32"/>
          <w:szCs w:val="32"/>
          <w:lang w:val="en-US" w:eastAsia="zh-CN"/>
        </w:rPr>
      </w:pPr>
      <w:r>
        <w:rPr>
          <w:rFonts w:hint="eastAsia"/>
          <w:sz w:val="32"/>
          <w:szCs w:val="32"/>
          <w:lang w:val="en-US" w:eastAsia="zh-CN"/>
        </w:rPr>
        <w:t>一般公共预算财政拨款“三公”经费支出决算表</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default"/>
          <w:sz w:val="32"/>
          <w:szCs w:val="32"/>
          <w:lang w:val="en-US" w:eastAsia="zh-CN"/>
        </w:rPr>
      </w:pPr>
      <w:r>
        <w:rPr>
          <w:rFonts w:hint="eastAsia"/>
          <w:sz w:val="32"/>
          <w:szCs w:val="32"/>
          <w:lang w:val="en-US" w:eastAsia="zh-CN"/>
        </w:rPr>
        <w:t>政府性基金预算财政拨款收入支出决算表</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default"/>
          <w:sz w:val="32"/>
          <w:szCs w:val="32"/>
          <w:lang w:val="en-US" w:eastAsia="zh-CN"/>
        </w:rPr>
      </w:pPr>
      <w:r>
        <w:rPr>
          <w:rFonts w:hint="eastAsia"/>
          <w:sz w:val="32"/>
          <w:szCs w:val="32"/>
          <w:lang w:val="en-US" w:eastAsia="zh-CN"/>
        </w:rPr>
        <w:t>国有资产经营预算财政拨款支出决算表</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default"/>
          <w:sz w:val="32"/>
          <w:szCs w:val="32"/>
          <w:lang w:val="en-US" w:eastAsia="zh-CN"/>
        </w:rPr>
      </w:pPr>
      <w:r>
        <w:rPr>
          <w:rFonts w:hint="eastAsia"/>
          <w:sz w:val="32"/>
          <w:szCs w:val="32"/>
          <w:lang w:val="en-US" w:eastAsia="zh-CN"/>
        </w:rPr>
        <w:t>部门决算公开相关信息统计表</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2021年度部门决算情况说明</w:t>
      </w:r>
    </w:p>
    <w:p>
      <w:pPr>
        <w:keepNext w:val="0"/>
        <w:keepLines w:val="0"/>
        <w:pageBreakBefore w:val="0"/>
        <w:widowControl w:val="0"/>
        <w:numPr>
          <w:ilvl w:val="0"/>
          <w:numId w:val="4"/>
        </w:numPr>
        <w:kinsoku/>
        <w:wordWrap/>
        <w:overflowPunct/>
        <w:topLinePunct w:val="0"/>
        <w:autoSpaceDE/>
        <w:autoSpaceDN/>
        <w:bidi w:val="0"/>
        <w:adjustRightInd/>
        <w:snapToGrid/>
        <w:ind w:leftChars="0" w:firstLine="640" w:firstLineChars="200"/>
        <w:textAlignment w:val="auto"/>
        <w:rPr>
          <w:rFonts w:hint="eastAsia"/>
          <w:sz w:val="32"/>
          <w:szCs w:val="32"/>
          <w:lang w:val="en-US" w:eastAsia="zh-CN"/>
        </w:rPr>
      </w:pPr>
      <w:r>
        <w:rPr>
          <w:rFonts w:hint="eastAsia"/>
          <w:sz w:val="32"/>
          <w:szCs w:val="32"/>
          <w:lang w:val="en-US" w:eastAsia="zh-CN"/>
        </w:rPr>
        <w:t>收入支出决算总体情况说明</w:t>
      </w:r>
    </w:p>
    <w:p>
      <w:pPr>
        <w:keepNext w:val="0"/>
        <w:keepLines w:val="0"/>
        <w:pageBreakBefore w:val="0"/>
        <w:widowControl w:val="0"/>
        <w:numPr>
          <w:ilvl w:val="0"/>
          <w:numId w:val="4"/>
        </w:numPr>
        <w:kinsoku/>
        <w:wordWrap/>
        <w:overflowPunct/>
        <w:topLinePunct w:val="0"/>
        <w:autoSpaceDE/>
        <w:autoSpaceDN/>
        <w:bidi w:val="0"/>
        <w:adjustRightInd/>
        <w:snapToGrid/>
        <w:ind w:leftChars="0" w:firstLine="640" w:firstLineChars="200"/>
        <w:textAlignment w:val="auto"/>
        <w:rPr>
          <w:rFonts w:hint="default"/>
          <w:sz w:val="32"/>
          <w:szCs w:val="32"/>
          <w:lang w:val="en-US" w:eastAsia="zh-CN"/>
        </w:rPr>
      </w:pPr>
      <w:r>
        <w:rPr>
          <w:rFonts w:hint="eastAsia"/>
          <w:sz w:val="32"/>
          <w:szCs w:val="32"/>
          <w:lang w:val="en-US" w:eastAsia="zh-CN"/>
        </w:rPr>
        <w:t>收入决算情况说明</w:t>
      </w:r>
    </w:p>
    <w:p>
      <w:pPr>
        <w:keepNext w:val="0"/>
        <w:keepLines w:val="0"/>
        <w:pageBreakBefore w:val="0"/>
        <w:widowControl w:val="0"/>
        <w:numPr>
          <w:ilvl w:val="0"/>
          <w:numId w:val="4"/>
        </w:numPr>
        <w:kinsoku/>
        <w:wordWrap/>
        <w:overflowPunct/>
        <w:topLinePunct w:val="0"/>
        <w:autoSpaceDE/>
        <w:autoSpaceDN/>
        <w:bidi w:val="0"/>
        <w:adjustRightInd/>
        <w:snapToGrid/>
        <w:ind w:leftChars="0" w:firstLine="640" w:firstLineChars="200"/>
        <w:textAlignment w:val="auto"/>
        <w:rPr>
          <w:rFonts w:hint="default"/>
          <w:sz w:val="32"/>
          <w:szCs w:val="32"/>
          <w:lang w:val="en-US" w:eastAsia="zh-CN"/>
        </w:rPr>
      </w:pPr>
      <w:r>
        <w:rPr>
          <w:rFonts w:hint="eastAsia"/>
          <w:sz w:val="32"/>
          <w:szCs w:val="32"/>
          <w:lang w:val="en-US" w:eastAsia="zh-CN"/>
        </w:rPr>
        <w:t>支出决算情况说明</w:t>
      </w:r>
    </w:p>
    <w:p>
      <w:pPr>
        <w:keepNext w:val="0"/>
        <w:keepLines w:val="0"/>
        <w:pageBreakBefore w:val="0"/>
        <w:widowControl w:val="0"/>
        <w:numPr>
          <w:ilvl w:val="0"/>
          <w:numId w:val="4"/>
        </w:numPr>
        <w:kinsoku/>
        <w:wordWrap/>
        <w:overflowPunct/>
        <w:topLinePunct w:val="0"/>
        <w:autoSpaceDE/>
        <w:autoSpaceDN/>
        <w:bidi w:val="0"/>
        <w:adjustRightInd/>
        <w:snapToGrid/>
        <w:ind w:leftChars="0" w:firstLine="640" w:firstLineChars="200"/>
        <w:textAlignment w:val="auto"/>
        <w:rPr>
          <w:rFonts w:hint="default"/>
          <w:sz w:val="32"/>
          <w:szCs w:val="32"/>
          <w:lang w:val="en-US" w:eastAsia="zh-CN"/>
        </w:rPr>
      </w:pPr>
      <w:r>
        <w:rPr>
          <w:rFonts w:hint="eastAsia"/>
          <w:sz w:val="32"/>
          <w:szCs w:val="32"/>
          <w:lang w:val="en-US" w:eastAsia="zh-CN"/>
        </w:rPr>
        <w:t>财政拨款收入支出决算总体情况说明</w:t>
      </w:r>
    </w:p>
    <w:p>
      <w:pPr>
        <w:keepNext w:val="0"/>
        <w:keepLines w:val="0"/>
        <w:pageBreakBefore w:val="0"/>
        <w:widowControl w:val="0"/>
        <w:numPr>
          <w:ilvl w:val="0"/>
          <w:numId w:val="4"/>
        </w:numPr>
        <w:kinsoku/>
        <w:wordWrap/>
        <w:overflowPunct/>
        <w:topLinePunct w:val="0"/>
        <w:autoSpaceDE/>
        <w:autoSpaceDN/>
        <w:bidi w:val="0"/>
        <w:adjustRightInd/>
        <w:snapToGrid/>
        <w:ind w:leftChars="0" w:firstLine="640" w:firstLineChars="200"/>
        <w:textAlignment w:val="auto"/>
        <w:rPr>
          <w:rFonts w:hint="default"/>
          <w:sz w:val="32"/>
          <w:szCs w:val="32"/>
          <w:lang w:val="en-US" w:eastAsia="zh-CN"/>
        </w:rPr>
      </w:pPr>
      <w:r>
        <w:rPr>
          <w:rFonts w:hint="eastAsia"/>
          <w:sz w:val="32"/>
          <w:szCs w:val="32"/>
          <w:lang w:val="en-US" w:eastAsia="zh-CN"/>
        </w:rPr>
        <w:t>一般公共预算财政拨款支出决算情况说明</w:t>
      </w:r>
    </w:p>
    <w:p>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财政拨款支出决算总体情况</w:t>
      </w:r>
    </w:p>
    <w:p>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eastAsia"/>
          <w:sz w:val="32"/>
          <w:szCs w:val="32"/>
          <w:lang w:val="en-US" w:eastAsia="zh-CN"/>
        </w:rPr>
        <w:t>财政拨款支出决算结构情况</w:t>
      </w:r>
    </w:p>
    <w:p>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eastAsia"/>
          <w:sz w:val="32"/>
          <w:szCs w:val="32"/>
          <w:lang w:val="en-US" w:eastAsia="zh-CN"/>
        </w:rPr>
        <w:t>财政拨款支出决算具体情况</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hint="eastAsia"/>
          <w:sz w:val="32"/>
          <w:szCs w:val="32"/>
          <w:lang w:val="en-US" w:eastAsia="zh-CN"/>
        </w:rPr>
      </w:pPr>
      <w:r>
        <w:rPr>
          <w:rFonts w:hint="eastAsia"/>
          <w:sz w:val="32"/>
          <w:szCs w:val="32"/>
          <w:lang w:val="en-US" w:eastAsia="zh-CN"/>
        </w:rPr>
        <w:t>一般公共预算财政拨款基本支出决算情况说明</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hint="default"/>
          <w:sz w:val="32"/>
          <w:szCs w:val="32"/>
          <w:lang w:val="en-US" w:eastAsia="zh-CN"/>
        </w:rPr>
      </w:pPr>
      <w:r>
        <w:rPr>
          <w:rFonts w:hint="eastAsia"/>
          <w:sz w:val="32"/>
          <w:szCs w:val="32"/>
          <w:lang w:val="en-US" w:eastAsia="zh-CN"/>
        </w:rPr>
        <w:t>一般公共预算财政拨款“三公”经费支出决算情况说明</w:t>
      </w:r>
    </w:p>
    <w:p>
      <w:pPr>
        <w:keepNext w:val="0"/>
        <w:keepLines w:val="0"/>
        <w:pageBreakBefore w:val="0"/>
        <w:widowControl w:val="0"/>
        <w:numPr>
          <w:ilvl w:val="0"/>
          <w:numId w:val="6"/>
        </w:numPr>
        <w:kinsoku/>
        <w:wordWrap/>
        <w:overflowPunct/>
        <w:topLinePunct w:val="0"/>
        <w:autoSpaceDE/>
        <w:autoSpaceDN/>
        <w:bidi w:val="0"/>
        <w:adjustRightInd/>
        <w:snapToGrid/>
        <w:ind w:leftChars="0" w:firstLine="640" w:firstLineChars="200"/>
        <w:textAlignment w:val="auto"/>
        <w:rPr>
          <w:rFonts w:hint="eastAsia"/>
          <w:sz w:val="32"/>
          <w:szCs w:val="32"/>
          <w:lang w:val="en-US" w:eastAsia="zh-CN"/>
        </w:rPr>
      </w:pPr>
      <w:r>
        <w:rPr>
          <w:rFonts w:hint="eastAsia"/>
          <w:sz w:val="32"/>
          <w:szCs w:val="32"/>
          <w:lang w:val="en-US" w:eastAsia="zh-CN"/>
        </w:rPr>
        <w:t>“三公”经费财政拨款支出决算总体情况说明</w:t>
      </w:r>
    </w:p>
    <w:p>
      <w:pPr>
        <w:keepNext w:val="0"/>
        <w:keepLines w:val="0"/>
        <w:pageBreakBefore w:val="0"/>
        <w:widowControl w:val="0"/>
        <w:numPr>
          <w:ilvl w:val="0"/>
          <w:numId w:val="6"/>
        </w:numPr>
        <w:kinsoku/>
        <w:wordWrap/>
        <w:overflowPunct/>
        <w:topLinePunct w:val="0"/>
        <w:autoSpaceDE/>
        <w:autoSpaceDN/>
        <w:bidi w:val="0"/>
        <w:adjustRightInd/>
        <w:snapToGrid/>
        <w:ind w:leftChars="0" w:firstLine="640" w:firstLineChars="200"/>
        <w:textAlignment w:val="auto"/>
        <w:rPr>
          <w:rFonts w:hint="default"/>
          <w:sz w:val="32"/>
          <w:szCs w:val="32"/>
          <w:lang w:val="en-US" w:eastAsia="zh-CN"/>
        </w:rPr>
      </w:pPr>
      <w:r>
        <w:rPr>
          <w:rFonts w:hint="eastAsia"/>
          <w:sz w:val="32"/>
          <w:szCs w:val="32"/>
          <w:lang w:val="en-US" w:eastAsia="zh-CN"/>
        </w:rPr>
        <w:t>“三公”经费财政拨款支出决算具体情况说明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eastAsia"/>
          <w:sz w:val="32"/>
          <w:szCs w:val="32"/>
          <w:lang w:val="en-US" w:eastAsia="zh-CN"/>
        </w:rPr>
        <w:t>八、</w:t>
      </w:r>
      <w:r>
        <w:rPr>
          <w:rFonts w:hint="eastAsia" w:ascii="宋体" w:hAnsi="宋体" w:cs="宋体"/>
          <w:b w:val="0"/>
          <w:bCs w:val="0"/>
          <w:color w:val="000000"/>
          <w:sz w:val="32"/>
          <w:szCs w:val="32"/>
          <w:shd w:val="clear" w:color="auto" w:fill="FFFFFF"/>
          <w:lang w:val="en-US" w:eastAsia="zh-CN"/>
        </w:rPr>
        <w:t>政府基金支出决算情况说明</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sz w:val="32"/>
          <w:szCs w:val="32"/>
          <w:lang w:val="en-US" w:eastAsia="zh-CN"/>
        </w:rPr>
      </w:pPr>
      <w:r>
        <w:rPr>
          <w:rFonts w:hint="eastAsia"/>
          <w:sz w:val="32"/>
          <w:szCs w:val="32"/>
          <w:lang w:val="en-US" w:eastAsia="zh-CN"/>
        </w:rPr>
        <w:t>九、其他重要事项情况说明</w:t>
      </w:r>
    </w:p>
    <w:p>
      <w:pPr>
        <w:keepNext w:val="0"/>
        <w:keepLines w:val="0"/>
        <w:pageBreakBefore w:val="0"/>
        <w:widowControl w:val="0"/>
        <w:numPr>
          <w:ilvl w:val="0"/>
          <w:numId w:val="7"/>
        </w:numPr>
        <w:kinsoku/>
        <w:wordWrap/>
        <w:overflowPunct/>
        <w:topLinePunct w:val="0"/>
        <w:autoSpaceDE/>
        <w:autoSpaceDN/>
        <w:bidi w:val="0"/>
        <w:adjustRightInd/>
        <w:snapToGrid/>
        <w:ind w:leftChars="0" w:firstLine="640" w:firstLineChars="200"/>
        <w:textAlignment w:val="auto"/>
        <w:rPr>
          <w:rFonts w:hint="eastAsia"/>
          <w:sz w:val="32"/>
          <w:szCs w:val="32"/>
          <w:lang w:val="en-US" w:eastAsia="zh-CN"/>
        </w:rPr>
      </w:pPr>
      <w:r>
        <w:rPr>
          <w:rFonts w:hint="eastAsia"/>
          <w:sz w:val="32"/>
          <w:szCs w:val="32"/>
          <w:lang w:val="en-US" w:eastAsia="zh-CN"/>
        </w:rPr>
        <w:t>机关运行经费支出情况说明</w:t>
      </w:r>
    </w:p>
    <w:p>
      <w:pPr>
        <w:keepNext w:val="0"/>
        <w:keepLines w:val="0"/>
        <w:pageBreakBefore w:val="0"/>
        <w:widowControl w:val="0"/>
        <w:numPr>
          <w:ilvl w:val="0"/>
          <w:numId w:val="7"/>
        </w:numPr>
        <w:kinsoku/>
        <w:wordWrap/>
        <w:overflowPunct/>
        <w:topLinePunct w:val="0"/>
        <w:autoSpaceDE/>
        <w:autoSpaceDN/>
        <w:bidi w:val="0"/>
        <w:adjustRightInd/>
        <w:snapToGrid/>
        <w:ind w:leftChars="0" w:firstLine="640" w:firstLineChars="200"/>
        <w:textAlignment w:val="auto"/>
        <w:rPr>
          <w:rFonts w:hint="eastAsia"/>
          <w:sz w:val="32"/>
          <w:szCs w:val="32"/>
          <w:lang w:val="en-US" w:eastAsia="zh-CN"/>
        </w:rPr>
      </w:pPr>
      <w:r>
        <w:rPr>
          <w:rFonts w:hint="eastAsia"/>
          <w:sz w:val="32"/>
          <w:szCs w:val="32"/>
          <w:lang w:val="en-US" w:eastAsia="zh-CN"/>
        </w:rPr>
        <w:t>政府采购情况说明</w:t>
      </w:r>
    </w:p>
    <w:p>
      <w:pPr>
        <w:keepNext w:val="0"/>
        <w:keepLines w:val="0"/>
        <w:pageBreakBefore w:val="0"/>
        <w:widowControl w:val="0"/>
        <w:numPr>
          <w:ilvl w:val="0"/>
          <w:numId w:val="7"/>
        </w:numPr>
        <w:kinsoku/>
        <w:wordWrap/>
        <w:overflowPunct/>
        <w:topLinePunct w:val="0"/>
        <w:autoSpaceDE/>
        <w:autoSpaceDN/>
        <w:bidi w:val="0"/>
        <w:adjustRightInd/>
        <w:snapToGrid/>
        <w:ind w:leftChars="0" w:firstLine="640" w:firstLineChars="200"/>
        <w:textAlignment w:val="auto"/>
        <w:rPr>
          <w:rFonts w:hint="eastAsia"/>
          <w:sz w:val="32"/>
          <w:szCs w:val="32"/>
          <w:lang w:val="en-US" w:eastAsia="zh-CN"/>
        </w:rPr>
      </w:pPr>
      <w:r>
        <w:rPr>
          <w:rFonts w:hint="eastAsia"/>
          <w:sz w:val="32"/>
          <w:szCs w:val="32"/>
          <w:lang w:val="en-US" w:eastAsia="zh-CN"/>
        </w:rPr>
        <w:t>国有资产占用情况说明</w:t>
      </w:r>
    </w:p>
    <w:p>
      <w:pPr>
        <w:keepNext w:val="0"/>
        <w:keepLines w:val="0"/>
        <w:pageBreakBefore w:val="0"/>
        <w:widowControl w:val="0"/>
        <w:numPr>
          <w:ilvl w:val="0"/>
          <w:numId w:val="7"/>
        </w:numPr>
        <w:kinsoku/>
        <w:wordWrap/>
        <w:overflowPunct/>
        <w:topLinePunct w:val="0"/>
        <w:autoSpaceDE/>
        <w:autoSpaceDN/>
        <w:bidi w:val="0"/>
        <w:adjustRightInd/>
        <w:snapToGrid/>
        <w:ind w:leftChars="0" w:firstLine="640" w:firstLineChars="200"/>
        <w:textAlignment w:val="auto"/>
        <w:rPr>
          <w:rFonts w:hint="eastAsia"/>
          <w:sz w:val="32"/>
          <w:szCs w:val="32"/>
          <w:lang w:val="en-US" w:eastAsia="zh-CN"/>
        </w:rPr>
      </w:pPr>
      <w:r>
        <w:rPr>
          <w:rFonts w:hint="eastAsia"/>
          <w:sz w:val="32"/>
          <w:szCs w:val="32"/>
          <w:lang w:val="en-US" w:eastAsia="zh-CN"/>
        </w:rPr>
        <w:t>预算绩效情况说明</w:t>
      </w:r>
    </w:p>
    <w:p>
      <w:pPr>
        <w:keepNext w:val="0"/>
        <w:keepLines w:val="0"/>
        <w:pageBreakBefore w:val="0"/>
        <w:widowControl w:val="0"/>
        <w:numPr>
          <w:ilvl w:val="0"/>
          <w:numId w:val="8"/>
        </w:numPr>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预算绩效管理工作开展情况</w:t>
      </w:r>
    </w:p>
    <w:p>
      <w:pPr>
        <w:keepNext w:val="0"/>
        <w:keepLines w:val="0"/>
        <w:pageBreakBefore w:val="0"/>
        <w:widowControl w:val="0"/>
        <w:numPr>
          <w:ilvl w:val="0"/>
          <w:numId w:val="8"/>
        </w:numPr>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部门决算中项目绩效自评结果</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名词解释</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p>
    <w:p>
      <w:pPr>
        <w:widowControl w:val="0"/>
        <w:numPr>
          <w:ilvl w:val="0"/>
          <w:numId w:val="0"/>
        </w:numPr>
        <w:jc w:val="both"/>
        <w:rPr>
          <w:rFonts w:hint="eastAsia"/>
          <w:sz w:val="32"/>
          <w:szCs w:val="32"/>
          <w:lang w:val="en-US" w:eastAsia="zh-CN"/>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rPr>
        <w:t>大同市</w:t>
      </w:r>
      <w:r>
        <w:rPr>
          <w:rFonts w:hint="eastAsia" w:asciiTheme="majorEastAsia" w:hAnsiTheme="majorEastAsia" w:eastAsiaTheme="majorEastAsia" w:cstheme="majorEastAsia"/>
          <w:b/>
          <w:bCs/>
          <w:sz w:val="44"/>
          <w:szCs w:val="44"/>
          <w:lang w:eastAsia="zh-CN"/>
        </w:rPr>
        <w:t>安居工程建设保障中心</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1</w:t>
      </w:r>
      <w:r>
        <w:rPr>
          <w:rFonts w:hint="eastAsia" w:asciiTheme="majorEastAsia" w:hAnsiTheme="majorEastAsia" w:eastAsiaTheme="majorEastAsia" w:cstheme="majorEastAsia"/>
          <w:b/>
          <w:bCs/>
          <w:sz w:val="44"/>
          <w:szCs w:val="44"/>
        </w:rPr>
        <w:t>年度部门决算</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概况</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一、本部门职责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z w:val="32"/>
          <w:szCs w:val="32"/>
          <w:lang w:eastAsia="zh-CN"/>
        </w:rPr>
        <w:t>）配合落实市安居工程建设及住房保障工作。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（二）</w:t>
      </w:r>
      <w:r>
        <w:rPr>
          <w:rFonts w:hint="eastAsia" w:asciiTheme="minorEastAsia" w:hAnsiTheme="minorEastAsia" w:eastAsiaTheme="minorEastAsia" w:cstheme="minorEastAsia"/>
          <w:sz w:val="32"/>
          <w:szCs w:val="32"/>
          <w:lang w:eastAsia="zh-CN"/>
        </w:rPr>
        <w:t>统筹中央、省保障性安居工程的专项补助资金。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（三）</w:t>
      </w:r>
      <w:r>
        <w:rPr>
          <w:rFonts w:hint="eastAsia" w:asciiTheme="minorEastAsia" w:hAnsiTheme="minorEastAsia" w:eastAsiaTheme="minorEastAsia" w:cstheme="minorEastAsia"/>
          <w:sz w:val="32"/>
          <w:szCs w:val="32"/>
          <w:lang w:eastAsia="zh-CN"/>
        </w:rPr>
        <w:t>督促县区落实城镇旧住宅综合整治调查摸底等有关工作。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（四）</w:t>
      </w:r>
      <w:r>
        <w:rPr>
          <w:rFonts w:hint="eastAsia" w:asciiTheme="minorEastAsia" w:hAnsiTheme="minorEastAsia" w:eastAsiaTheme="minorEastAsia" w:cstheme="minorEastAsia"/>
          <w:sz w:val="32"/>
          <w:szCs w:val="32"/>
          <w:lang w:eastAsia="zh-CN"/>
        </w:rPr>
        <w:t>负责保障性安居工程有关数据、信息收集报送工作。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（五）</w:t>
      </w:r>
      <w:r>
        <w:rPr>
          <w:rFonts w:hint="eastAsia" w:asciiTheme="minorEastAsia" w:hAnsiTheme="minorEastAsia" w:eastAsiaTheme="minorEastAsia" w:cstheme="minorEastAsia"/>
          <w:sz w:val="32"/>
          <w:szCs w:val="32"/>
          <w:lang w:eastAsia="zh-CN"/>
        </w:rPr>
        <w:t>配合落实政府安置房源和配套用房的筹集和统计工作。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（六）</w:t>
      </w:r>
      <w:r>
        <w:rPr>
          <w:rFonts w:hint="eastAsia" w:asciiTheme="minorEastAsia" w:hAnsiTheme="minorEastAsia" w:eastAsiaTheme="minorEastAsia" w:cstheme="minorEastAsia"/>
          <w:sz w:val="32"/>
          <w:szCs w:val="32"/>
          <w:lang w:eastAsia="zh-CN"/>
        </w:rPr>
        <w:t>负责督促县区保障性安居工程目标任务落实工作。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（七）配合落实棚改贷款的相关工作。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（八）</w:t>
      </w:r>
      <w:r>
        <w:rPr>
          <w:rFonts w:hint="eastAsia" w:asciiTheme="minorEastAsia" w:hAnsiTheme="minorEastAsia" w:eastAsiaTheme="minorEastAsia" w:cstheme="minorEastAsia"/>
          <w:sz w:val="32"/>
          <w:szCs w:val="32"/>
          <w:lang w:eastAsia="zh-CN"/>
        </w:rPr>
        <w:t>负责收集各县区城镇居民中低收入家庭及新就业职工、外来务工人员住房现状。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（九）</w:t>
      </w:r>
      <w:r>
        <w:rPr>
          <w:rFonts w:hint="eastAsia" w:asciiTheme="minorEastAsia" w:hAnsiTheme="minorEastAsia" w:eastAsiaTheme="minorEastAsia" w:cstheme="minorEastAsia"/>
          <w:sz w:val="32"/>
          <w:szCs w:val="32"/>
          <w:lang w:eastAsia="zh-CN"/>
        </w:rPr>
        <w:t>协助落实各县区保障对象的轮候和退出管理工作。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w:t>
      </w:r>
      <w:r>
        <w:rPr>
          <w:rFonts w:hint="eastAsia" w:asciiTheme="minorEastAsia" w:hAnsiTheme="minorEastAsia" w:eastAsiaTheme="minorEastAsia" w:cstheme="minorEastAsia"/>
          <w:sz w:val="32"/>
          <w:szCs w:val="32"/>
          <w:lang w:eastAsia="zh-CN"/>
        </w:rPr>
        <w:t>协助落实各县区住房保障家庭租赁补贴发放工作。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（十一）</w:t>
      </w:r>
      <w:r>
        <w:rPr>
          <w:rFonts w:hint="eastAsia" w:asciiTheme="minorEastAsia" w:hAnsiTheme="minorEastAsia" w:eastAsiaTheme="minorEastAsia" w:cstheme="minorEastAsia"/>
          <w:sz w:val="32"/>
          <w:szCs w:val="32"/>
          <w:lang w:eastAsia="zh-CN"/>
        </w:rPr>
        <w:t>承办市住房和城乡建设局交办的其他事项。</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二、</w:t>
      </w:r>
      <w:r>
        <w:rPr>
          <w:rFonts w:hint="eastAsia" w:asciiTheme="minorEastAsia" w:hAnsiTheme="minorEastAsia" w:eastAsiaTheme="minorEastAsia" w:cstheme="minorEastAsia"/>
          <w:b/>
          <w:bCs/>
          <w:sz w:val="32"/>
          <w:szCs w:val="32"/>
          <w:lang w:eastAsia="zh-CN"/>
        </w:rPr>
        <w:t>机构设置情况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大同市</w:t>
      </w:r>
      <w:r>
        <w:rPr>
          <w:rFonts w:hint="eastAsia" w:asciiTheme="minorEastAsia" w:hAnsiTheme="minorEastAsia" w:eastAsiaTheme="minorEastAsia" w:cstheme="minorEastAsia"/>
          <w:sz w:val="32"/>
          <w:szCs w:val="32"/>
          <w:lang w:eastAsia="zh-CN"/>
        </w:rPr>
        <w:t>安居工程建设保障中心是市住房和城乡建设局管理的事业单位，为公益一类，副处级。</w:t>
      </w:r>
      <w:r>
        <w:rPr>
          <w:rFonts w:hint="eastAsia" w:asciiTheme="minorEastAsia" w:hAnsiTheme="minorEastAsia" w:eastAsiaTheme="minorEastAsia" w:cstheme="minorEastAsia"/>
          <w:sz w:val="32"/>
          <w:szCs w:val="32"/>
        </w:rPr>
        <w:t>我</w:t>
      </w:r>
      <w:r>
        <w:rPr>
          <w:rFonts w:hint="eastAsia" w:asciiTheme="minorEastAsia" w:hAnsiTheme="minorEastAsia" w:eastAsiaTheme="minorEastAsia" w:cstheme="minorEastAsia"/>
          <w:sz w:val="32"/>
          <w:szCs w:val="32"/>
          <w:lang w:eastAsia="zh-CN"/>
        </w:rPr>
        <w:t>单位</w:t>
      </w:r>
      <w:r>
        <w:rPr>
          <w:rFonts w:hint="eastAsia" w:asciiTheme="minorEastAsia" w:hAnsiTheme="minorEastAsia" w:eastAsiaTheme="minorEastAsia" w:cstheme="minorEastAsia"/>
          <w:sz w:val="32"/>
          <w:szCs w:val="32"/>
        </w:rPr>
        <w:t>内设科室1</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个，分别是办公室、</w:t>
      </w:r>
      <w:r>
        <w:rPr>
          <w:rFonts w:hint="eastAsia" w:asciiTheme="minorEastAsia" w:hAnsiTheme="minorEastAsia" w:eastAsiaTheme="minorEastAsia" w:cstheme="minorEastAsia"/>
          <w:sz w:val="32"/>
          <w:szCs w:val="32"/>
          <w:lang w:eastAsia="zh-CN"/>
        </w:rPr>
        <w:t>党建</w:t>
      </w:r>
      <w:r>
        <w:rPr>
          <w:rFonts w:hint="eastAsia" w:asciiTheme="minorEastAsia" w:hAnsiTheme="minorEastAsia" w:eastAsiaTheme="minorEastAsia" w:cstheme="minorEastAsia"/>
          <w:sz w:val="32"/>
          <w:szCs w:val="32"/>
        </w:rPr>
        <w:t>办公室、人事教育科、</w:t>
      </w:r>
      <w:r>
        <w:rPr>
          <w:rFonts w:hint="eastAsia" w:asciiTheme="minorEastAsia" w:hAnsiTheme="minorEastAsia" w:eastAsiaTheme="minorEastAsia" w:cstheme="minorEastAsia"/>
          <w:sz w:val="32"/>
          <w:szCs w:val="32"/>
          <w:lang w:eastAsia="zh-CN"/>
        </w:rPr>
        <w:t>财务科、建设事务科、信息科、工程技术科、棚户区改造事务科、租赁补贴科、公租房事务科、旧住宅区改造事务科、核查科、档案科。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第二部分202</w:t>
      </w:r>
      <w:r>
        <w:rPr>
          <w:rFonts w:hint="eastAsia" w:ascii="黑体" w:hAnsi="黑体" w:eastAsia="黑体" w:cs="黑体"/>
          <w:sz w:val="32"/>
          <w:szCs w:val="32"/>
          <w:lang w:val="en-US" w:eastAsia="zh-CN"/>
        </w:rPr>
        <w:t>1</w:t>
      </w:r>
      <w:r>
        <w:rPr>
          <w:rFonts w:hint="eastAsia" w:ascii="黑体" w:hAnsi="黑体" w:eastAsia="黑体" w:cs="黑体"/>
          <w:sz w:val="32"/>
          <w:szCs w:val="32"/>
        </w:rPr>
        <w:t>年度部门决算报表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一、收入支出决算总表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二、收入决算表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三、支出决算表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四、财政拨款收入支出决算总表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五、一般公共预算财政拨款支出决算表（一）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六、一般公共预算财政拨款支出决算表（二）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七、一般公共预算财政拨款“三公”经费支出决算表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八、政府性基金预算财政拨款收入支出决算表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九、国有资产经营预算财政拨款支出决算表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说明：我单位未使用国有资本经营预算安排的支出，故本表无数据。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十、部门决算公开相关信息统计表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第三部分202</w:t>
      </w:r>
      <w:r>
        <w:rPr>
          <w:rFonts w:hint="eastAsia" w:ascii="黑体" w:hAnsi="黑体" w:eastAsia="黑体" w:cs="黑体"/>
          <w:sz w:val="32"/>
          <w:szCs w:val="32"/>
          <w:lang w:val="en-US" w:eastAsia="zh-CN"/>
        </w:rPr>
        <w:t>1</w:t>
      </w:r>
      <w:r>
        <w:rPr>
          <w:rFonts w:hint="eastAsia" w:ascii="黑体" w:hAnsi="黑体" w:eastAsia="黑体" w:cs="黑体"/>
          <w:sz w:val="32"/>
          <w:szCs w:val="32"/>
        </w:rPr>
        <w:t>年部门决算情况说明</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一、收</w:t>
      </w:r>
      <w:r>
        <w:rPr>
          <w:rFonts w:hint="eastAsia" w:asciiTheme="minorEastAsia" w:hAnsiTheme="minorEastAsia" w:eastAsiaTheme="minorEastAsia" w:cstheme="minorEastAsia"/>
          <w:b/>
          <w:bCs/>
          <w:sz w:val="32"/>
          <w:szCs w:val="32"/>
          <w:lang w:eastAsia="zh-CN"/>
        </w:rPr>
        <w:t>入</w:t>
      </w:r>
      <w:r>
        <w:rPr>
          <w:rFonts w:hint="eastAsia" w:asciiTheme="minorEastAsia" w:hAnsiTheme="minorEastAsia" w:eastAsiaTheme="minorEastAsia" w:cstheme="minorEastAsia"/>
          <w:b/>
          <w:bCs/>
          <w:sz w:val="32"/>
          <w:szCs w:val="32"/>
        </w:rPr>
        <w:t>支</w:t>
      </w:r>
      <w:r>
        <w:rPr>
          <w:rFonts w:hint="eastAsia" w:asciiTheme="minorEastAsia" w:hAnsiTheme="minorEastAsia" w:eastAsiaTheme="minorEastAsia" w:cstheme="minorEastAsia"/>
          <w:b/>
          <w:bCs/>
          <w:sz w:val="32"/>
          <w:szCs w:val="32"/>
          <w:lang w:eastAsia="zh-CN"/>
        </w:rPr>
        <w:t>出决算总体</w:t>
      </w:r>
      <w:r>
        <w:rPr>
          <w:rFonts w:hint="eastAsia" w:asciiTheme="minorEastAsia" w:hAnsiTheme="minorEastAsia" w:eastAsiaTheme="minorEastAsia" w:cstheme="minorEastAsia"/>
          <w:b/>
          <w:bCs/>
          <w:sz w:val="32"/>
          <w:szCs w:val="32"/>
        </w:rPr>
        <w:t>情况</w:t>
      </w:r>
      <w:r>
        <w:rPr>
          <w:rFonts w:hint="eastAsia" w:asciiTheme="minorEastAsia" w:hAnsiTheme="minorEastAsia" w:eastAsiaTheme="minorEastAsia" w:cstheme="minorEastAsia"/>
          <w:b/>
          <w:bCs/>
          <w:sz w:val="32"/>
          <w:szCs w:val="32"/>
          <w:lang w:eastAsia="zh-CN"/>
        </w:rPr>
        <w:t>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年度收入</w:t>
      </w:r>
      <w:r>
        <w:rPr>
          <w:rFonts w:hint="eastAsia" w:asciiTheme="minorEastAsia" w:hAnsiTheme="minorEastAsia" w:eastAsiaTheme="minorEastAsia" w:cstheme="minorEastAsia"/>
          <w:sz w:val="32"/>
          <w:szCs w:val="32"/>
          <w:lang w:eastAsia="zh-CN"/>
        </w:rPr>
        <w:t>总计</w:t>
      </w:r>
      <w:r>
        <w:rPr>
          <w:rFonts w:hint="eastAsia" w:asciiTheme="minorEastAsia" w:hAnsiTheme="minorEastAsia" w:eastAsiaTheme="minorEastAsia" w:cstheme="minorEastAsia"/>
          <w:sz w:val="32"/>
          <w:szCs w:val="32"/>
          <w:lang w:val="en-US" w:eastAsia="zh-CN"/>
        </w:rPr>
        <w:t>1281.49</w:t>
      </w:r>
      <w:r>
        <w:rPr>
          <w:rFonts w:hint="eastAsia" w:asciiTheme="minorEastAsia" w:hAnsiTheme="minorEastAsia" w:eastAsiaTheme="minorEastAsia" w:cstheme="minorEastAsia"/>
          <w:sz w:val="32"/>
          <w:szCs w:val="32"/>
        </w:rPr>
        <w:t>万元，支出</w:t>
      </w:r>
      <w:r>
        <w:rPr>
          <w:rFonts w:hint="eastAsia" w:asciiTheme="minorEastAsia" w:hAnsiTheme="minorEastAsia" w:eastAsiaTheme="minorEastAsia" w:cstheme="minorEastAsia"/>
          <w:sz w:val="32"/>
          <w:szCs w:val="32"/>
          <w:lang w:eastAsia="zh-CN"/>
        </w:rPr>
        <w:t>总计</w:t>
      </w:r>
      <w:r>
        <w:rPr>
          <w:rFonts w:hint="eastAsia" w:asciiTheme="minorEastAsia" w:hAnsiTheme="minorEastAsia" w:eastAsiaTheme="minorEastAsia" w:cstheme="minorEastAsia"/>
          <w:sz w:val="32"/>
          <w:szCs w:val="32"/>
          <w:lang w:val="en-US" w:eastAsia="zh-CN"/>
        </w:rPr>
        <w:t>1280.04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。与上年相比，</w:t>
      </w:r>
      <w:r>
        <w:rPr>
          <w:rFonts w:hint="eastAsia" w:asciiTheme="minorEastAsia" w:hAnsiTheme="minorEastAsia" w:eastAsiaTheme="minorEastAsia" w:cstheme="minorEastAsia"/>
          <w:sz w:val="32"/>
          <w:szCs w:val="32"/>
        </w:rPr>
        <w:t>收入</w:t>
      </w:r>
      <w:r>
        <w:rPr>
          <w:rFonts w:hint="eastAsia" w:asciiTheme="minorEastAsia" w:hAnsiTheme="minorEastAsia" w:eastAsiaTheme="minorEastAsia" w:cstheme="minorEastAsia"/>
          <w:sz w:val="32"/>
          <w:szCs w:val="32"/>
          <w:lang w:eastAsia="zh-CN"/>
        </w:rPr>
        <w:t>总计减少</w:t>
      </w:r>
      <w:r>
        <w:rPr>
          <w:rFonts w:hint="eastAsia" w:asciiTheme="minorEastAsia" w:hAnsiTheme="minorEastAsia" w:eastAsiaTheme="minorEastAsia" w:cstheme="minorEastAsia"/>
          <w:sz w:val="32"/>
          <w:szCs w:val="32"/>
          <w:lang w:val="en-US" w:eastAsia="zh-CN"/>
        </w:rPr>
        <w:t>369.19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下降</w:t>
      </w:r>
      <w:r>
        <w:rPr>
          <w:rFonts w:hint="eastAsia" w:asciiTheme="minorEastAsia" w:hAnsiTheme="minorEastAsia" w:eastAsiaTheme="minorEastAsia" w:cstheme="minorEastAsia"/>
          <w:sz w:val="32"/>
          <w:szCs w:val="32"/>
          <w:lang w:val="en-US" w:eastAsia="zh-CN"/>
        </w:rPr>
        <w:t>22.4%，</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eastAsia="zh-CN"/>
        </w:rPr>
        <w:t>总计减少</w:t>
      </w:r>
      <w:r>
        <w:rPr>
          <w:rFonts w:hint="eastAsia" w:asciiTheme="minorEastAsia" w:hAnsiTheme="minorEastAsia" w:eastAsiaTheme="minorEastAsia" w:cstheme="minorEastAsia"/>
          <w:sz w:val="32"/>
          <w:szCs w:val="32"/>
          <w:lang w:val="en-US" w:eastAsia="zh-CN"/>
        </w:rPr>
        <w:t>370.39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下降</w:t>
      </w:r>
      <w:r>
        <w:rPr>
          <w:rFonts w:hint="eastAsia" w:asciiTheme="minorEastAsia" w:hAnsiTheme="minorEastAsia" w:eastAsiaTheme="minorEastAsia" w:cstheme="minorEastAsia"/>
          <w:sz w:val="32"/>
          <w:szCs w:val="32"/>
          <w:lang w:val="en-US" w:eastAsia="zh-CN"/>
        </w:rPr>
        <w:t>22.4%。</w:t>
      </w:r>
      <w:r>
        <w:rPr>
          <w:rFonts w:hint="eastAsia" w:asciiTheme="minorEastAsia" w:hAnsiTheme="minorEastAsia" w:eastAsiaTheme="minorEastAsia" w:cstheme="minorEastAsia"/>
          <w:sz w:val="32"/>
          <w:szCs w:val="32"/>
        </w:rPr>
        <w:t>主要原因</w:t>
      </w:r>
      <w:r>
        <w:rPr>
          <w:rFonts w:hint="eastAsia" w:asciiTheme="minorEastAsia" w:hAnsiTheme="minorEastAsia" w:eastAsiaTheme="minorEastAsia" w:cstheme="minorEastAsia"/>
          <w:sz w:val="32"/>
          <w:szCs w:val="32"/>
          <w:lang w:eastAsia="zh-CN"/>
        </w:rPr>
        <w:t>是财政拨款收入减少。</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二、收入决算情况说明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2021年度收入合计1281.49万元，其中：财政拨款收入1280.04万元，占比99.89%；其他收入（利息收入）1.45万元，占比0.11%。</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三、支出决算情况说明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2021年度支出合计1280.04万元，其中：基本支出583.81万元,占比45.61%；项目支出696.23万元，占比54.39%。</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四、财政拨款收入支出决算总体情况说明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2021年度财政拨款收入总计1280.04万元、支出总计1280.04万元。与上年相比，财政拨款收入总计减少370.39万元，下降22.4%，财政拨款支出总计减少370.39万元，下降22.4%。主要原因是</w:t>
      </w:r>
      <w:r>
        <w:rPr>
          <w:rFonts w:hint="eastAsia" w:asciiTheme="minorEastAsia" w:hAnsiTheme="minorEastAsia" w:eastAsiaTheme="minorEastAsia" w:cstheme="minorEastAsia"/>
          <w:sz w:val="32"/>
          <w:szCs w:val="32"/>
          <w:lang w:eastAsia="zh-CN"/>
        </w:rPr>
        <w:t>财政拨款收入减少。</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五、一般公共预算财政拨款支出决算情况说明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lang w:eastAsia="zh-CN"/>
        </w:rPr>
        <w:t>财政拨款支出决算总体说明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2021年度财政拨款支出914.04万元，占本年支出合计的71.40%。与上年相比，财政拨款支出减少403.39万元，下降30.62%。主要原因是</w:t>
      </w:r>
      <w:r>
        <w:rPr>
          <w:rFonts w:hint="eastAsia" w:asciiTheme="minorEastAsia" w:hAnsiTheme="minorEastAsia" w:eastAsiaTheme="minorEastAsia" w:cstheme="minorEastAsia"/>
          <w:sz w:val="32"/>
          <w:szCs w:val="32"/>
          <w:lang w:eastAsia="zh-CN"/>
        </w:rPr>
        <w:t>财政拨款收入减少。其中，人员经费</w:t>
      </w:r>
      <w:r>
        <w:rPr>
          <w:rFonts w:hint="eastAsia" w:asciiTheme="minorEastAsia" w:hAnsiTheme="minorEastAsia" w:eastAsiaTheme="minorEastAsia" w:cstheme="minorEastAsia"/>
          <w:sz w:val="32"/>
          <w:szCs w:val="32"/>
          <w:lang w:val="en-US" w:eastAsia="zh-CN"/>
        </w:rPr>
        <w:t>541.32万元，占比59.22%，日常公用经费42.49万元，占比4.65%。</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（二）</w:t>
      </w:r>
      <w:r>
        <w:rPr>
          <w:rFonts w:hint="eastAsia" w:asciiTheme="minorEastAsia" w:hAnsiTheme="minorEastAsia" w:eastAsiaTheme="minorEastAsia" w:cstheme="minorEastAsia"/>
          <w:sz w:val="32"/>
          <w:szCs w:val="32"/>
          <w:lang w:eastAsia="zh-CN"/>
        </w:rPr>
        <w:t>财政拨款支出决算结构情况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2021年度财政拨款支出914.04元，主要用于以下方面：社会保险和就业（类）支出89.98万元，占9.84%；卫生健康（类）支出11.76万元，占1.29%；住房保障（类）支出812.30万元，占88.87%。</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（三）财政拨款支出决算具体情况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2021年度财政拨款支出年初预算1494.23万元，支出决算914.04万元，完成年初预算的85.67%。其中：社会保险和就业（类）支出年初预算90.75万元，支出决算89.98万元，完成年初预算的99.15 %。用于职工养老保险缴费、职业年金缴费、独生子女奖励金、抚恤金、退休职工的提租补贴支出。较上年决算增加89.98万元，主要原因是上年列支在住房保障（类）；卫生健康（类）支出年初预算11.76万元，支出决算11.76万元，完成年初预算的 100 %。用于职工的基本医疗保险缴费。较上年决算增加11.76万元，主要原因是上年列支在住房保障（类）；住房保障（类）支出年初预算1391.72万元，支出决算812.30万元，完成年初预算的 58.37 %。用于职工基本工资、津贴补贴、绩效工资、妇女卫生费、提租补贴、住房公积金缴费、福利费、工会经费、公务用车运行维护费、办公费、残疾人保障金、公租房空置房源采暖费、物业费、公租房项目室内设计费、室内装修工程实施方案编制费、精装工程监理费。较上年决算减少495.01万元，主要原因是财政拨款减少。</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2021年度财政拨款基本支出583.81万元，其中：人员经费541.32万元，主要包括职工基本工资、津贴补贴、绩效工资、退休费、抚恤金、独生子女奖励金、妇女卫生费、提租补贴、养老保险缴费、医疗保险缴费、职业年金缴费、住房公积金缴费、其他社会保险缴费；公用经费42.49万元，主要包括办公费、取暖费、物业管理费、工会经费、福利费、公务用车运行维护费。</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七、一般公共预算财政拨款“三公”经费支出决算情况说明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（一）“三公”经费财政拨款支出决算总体情况说明。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2021年度“三公”经费财政拨款支出预算3.2万元，支出决算2.8万元，完成预算87.5%。比上年增加2.2万元，主要原因是机构改革三家单位合并，业务增加，用车次数增加。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（二）“三公”经费财政拨款支出决算具体情况说明。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2021年度公务用车运行维护费财政拨款支出预算32000元，支出决算2.8万元，完成预算87.5%。比上年增加2.2万元，主要原因是机构改革三家单位合并，业务增加，用车次数增加。</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八、政府基金支出预算情况说明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2021年度本单位政府基金支出366万元，主要是用于支付正德嘉苑公共租赁住房装修款。</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九、其他重要事项情况说明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（一）机关运行经费支出情况说明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本单位无机关运行经费。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（二）政府采购情况说明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2021年度采购支出总额17.71万元，其中：政府采购货物支出17.71万元、政府采购工程支出0万元、政府采购服务支出0万元。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（三）国有资产占用情况说明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截至2021年12月31日，本单位共有车辆2辆。其中，其他用车2辆，其他用车主要是用于监督检查；单位50万元（含）以上的通用设备0台，单位100万元（含）以上专用设备0台（套）。</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（四）预算绩效情况说明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预算绩效管理工作开展情况。根据预算绩效管理要求，我单位组织对2021年度市级财政预算安排的专项资金类14个项目支出全面开展绩效自评，涉及预算资金330.23万元，占一般公共预算项目支出总额的100%。组织对2021年度1个政府性基金预算项目支出开展绩效自评，共涉及预算资金366万元，占政府性基金预算项目支出总额的100%。</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（2）部门决算中项目绩效自评结果。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专项业务费项目绩效自评综述：根据年初设定的绩效目标，项目自评得分为100分。全年预算数为130万元，执行数为130万元，完成预算的100 %。项目绩效目标完成情况较好。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惠安新居公租房屋面防水维修费项目绩效自评综述：根据年初设定的绩效目标，项目自评得分为98.20分。全年预算数为7.8万元，执行数为6.36万元，完成预算的82%。项目绩效目标完成情况较好，经费支付按照第三方评审机构的审定值支付进度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正德嘉苑公租房室内装修工程款项目绩效自评综述：根据年初设定的绩效目标，项目自评得分为96分。全年预算数为643.03万元，执行数为366万元，完成预算的60%。项目绩效目标完成情况较好，经费支付按照财政局评审中心审定的进度支付工程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第四部分 </w:t>
      </w:r>
      <w:r>
        <w:rPr>
          <w:rFonts w:hint="eastAsia" w:ascii="黑体" w:hAnsi="黑体" w:eastAsia="黑体" w:cs="黑体"/>
          <w:sz w:val="32"/>
          <w:szCs w:val="32"/>
        </w:rPr>
        <w:t>名词解释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二、其他收入：指单位取得的除上述收入以外的各项收入。主要是事业单位固定资产出租收入、存款利息收入等。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三 、使用非财政拨款结余：指事业单位使用以前年度积累的非财政拨款结余弥补当年收支差额的金额。</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四、年初结转和结余：指单位以前年度尚未完成、结转到本年仍按原规定用途继续使用的资金，或项目已完成等产生的结余资金。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五、结余分配：指事业单位按照会计制度规定缴纳的所得税、提取的专用结余以及转入非财政拨款结余的金额等。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六、年末结转和结余：指单位按有关规定结转到下年或以后年度继续使用的资金，或项目已完成等产生的结余资金。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七、</w:t>
      </w:r>
      <w:r>
        <w:rPr>
          <w:rFonts w:hint="eastAsia" w:asciiTheme="minorEastAsia" w:hAnsiTheme="minorEastAsia" w:eastAsiaTheme="minorEastAsia" w:cstheme="minorEastAsia"/>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八、</w:t>
      </w:r>
      <w:r>
        <w:rPr>
          <w:rFonts w:hint="eastAsia" w:asciiTheme="minorEastAsia" w:hAnsiTheme="minorEastAsia" w:eastAsiaTheme="minorEastAsia" w:cstheme="minorEastAsia"/>
          <w:sz w:val="32"/>
          <w:szCs w:val="32"/>
        </w:rPr>
        <w:t>项目支出:指在基本支出之外为完成特定</w:t>
      </w:r>
      <w:r>
        <w:rPr>
          <w:rFonts w:hint="eastAsia" w:asciiTheme="minorEastAsia" w:hAnsiTheme="minorEastAsia" w:eastAsiaTheme="minorEastAsia" w:cstheme="minorEastAsia"/>
          <w:sz w:val="32"/>
          <w:szCs w:val="32"/>
          <w:lang w:eastAsia="zh-CN"/>
        </w:rPr>
        <w:t>事业</w:t>
      </w:r>
      <w:r>
        <w:rPr>
          <w:rFonts w:hint="eastAsia" w:asciiTheme="minorEastAsia" w:hAnsiTheme="minorEastAsia" w:eastAsiaTheme="minorEastAsia" w:cstheme="minorEastAsia"/>
          <w:sz w:val="32"/>
          <w:szCs w:val="32"/>
        </w:rPr>
        <w:t>任务和事业发展目标所发生的支出。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“三公”经费:指一般公共决算安排的因公出国</w:t>
      </w:r>
      <w:r>
        <w:rPr>
          <w:rFonts w:hint="eastAsia" w:asciiTheme="minorEastAsia" w:hAnsiTheme="minorEastAsia" w:eastAsiaTheme="minorEastAsia" w:cstheme="minorEastAsia"/>
          <w:sz w:val="32"/>
          <w:szCs w:val="32"/>
          <w:lang w:eastAsia="zh-CN"/>
        </w:rPr>
        <w:t>（境）</w:t>
      </w:r>
      <w:r>
        <w:rPr>
          <w:rFonts w:hint="eastAsia" w:asciiTheme="minorEastAsia" w:hAnsiTheme="minorEastAsia" w:eastAsiaTheme="minorEastAsia" w:cstheme="minorEastAsia"/>
          <w:sz w:val="32"/>
          <w:szCs w:val="32"/>
        </w:rPr>
        <w:t>费、公务用车购置费及运行费和公务接待费。其中，因公出国</w:t>
      </w:r>
      <w:r>
        <w:rPr>
          <w:rFonts w:hint="eastAsia" w:asciiTheme="minorEastAsia" w:hAnsiTheme="minorEastAsia" w:eastAsiaTheme="minorEastAsia" w:cstheme="minorEastAsia"/>
          <w:sz w:val="32"/>
          <w:szCs w:val="32"/>
          <w:lang w:eastAsia="zh-CN"/>
        </w:rPr>
        <w:t>（境）</w:t>
      </w:r>
      <w:r>
        <w:rPr>
          <w:rFonts w:hint="eastAsia" w:asciiTheme="minorEastAsia" w:hAnsiTheme="minorEastAsia" w:eastAsiaTheme="minorEastAsia" w:cstheme="minorEastAsia"/>
          <w:sz w:val="32"/>
          <w:szCs w:val="32"/>
        </w:rPr>
        <w:t>费反映单位公务出国</w:t>
      </w:r>
      <w:r>
        <w:rPr>
          <w:rFonts w:hint="eastAsia" w:asciiTheme="minorEastAsia" w:hAnsiTheme="minorEastAsia" w:eastAsiaTheme="minorEastAsia" w:cstheme="minorEastAsia"/>
          <w:sz w:val="32"/>
          <w:szCs w:val="32"/>
          <w:lang w:eastAsia="zh-CN"/>
        </w:rPr>
        <w:t>（境）</w:t>
      </w:r>
      <w:r>
        <w:rPr>
          <w:rFonts w:hint="eastAsia" w:asciiTheme="minorEastAsia" w:hAnsiTheme="minorEastAsia" w:eastAsiaTheme="minorEastAsia" w:cstheme="minorEastAsia"/>
          <w:sz w:val="32"/>
          <w:szCs w:val="32"/>
        </w:rPr>
        <w:t>的国际旅费、国</w:t>
      </w:r>
      <w:r>
        <w:rPr>
          <w:rFonts w:hint="eastAsia" w:asciiTheme="minorEastAsia" w:hAnsiTheme="minorEastAsia" w:eastAsiaTheme="minorEastAsia" w:cstheme="minorEastAsia"/>
          <w:sz w:val="32"/>
          <w:szCs w:val="32"/>
          <w:lang w:eastAsia="zh-CN"/>
        </w:rPr>
        <w:t>外城市间</w:t>
      </w:r>
      <w:r>
        <w:rPr>
          <w:rFonts w:hint="eastAsia" w:asciiTheme="minorEastAsia" w:hAnsiTheme="minorEastAsia" w:eastAsiaTheme="minorEastAsia" w:cstheme="minorEastAsia"/>
          <w:sz w:val="32"/>
          <w:szCs w:val="32"/>
        </w:rPr>
        <w:t>交通费、住宿费、伙食费、培训费、公杂费等支出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公务用车购置费反映公务用车购置支出（含车辆购置税）</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公务用车运行维护费反映单位按规定保留的公务用车燃料费、维修费、过路过桥费、保险费、安全奖励费等支出</w:t>
      </w:r>
      <w:r>
        <w:rPr>
          <w:rFonts w:hint="eastAsia" w:asciiTheme="minorEastAsia" w:hAnsiTheme="minorEastAsia" w:eastAsiaTheme="minorEastAsia" w:cstheme="minorEastAsia"/>
          <w:sz w:val="32"/>
          <w:szCs w:val="32"/>
          <w:lang w:val="en-US" w:eastAsia="zh-CN"/>
        </w:rPr>
        <w:t>；</w:t>
      </w:r>
      <w:bookmarkStart w:id="0" w:name="_GoBack"/>
      <w:bookmarkEnd w:id="0"/>
      <w:r>
        <w:rPr>
          <w:rFonts w:hint="eastAsia" w:asciiTheme="minorEastAsia" w:hAnsiTheme="minorEastAsia" w:eastAsiaTheme="minorEastAsia" w:cstheme="minorEastAsia"/>
          <w:sz w:val="32"/>
          <w:szCs w:val="32"/>
        </w:rPr>
        <w:t>公务接待费反应单位按规定开支的各类公务接待（含外宾接待）支出。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r>
        <w:rPr>
          <w:rFonts w:hint="eastAsia" w:ascii="黑体" w:hAnsi="黑体" w:eastAsia="黑体" w:cs="黑体"/>
          <w:sz w:val="32"/>
          <w:szCs w:val="32"/>
          <w:lang w:val="en-US" w:eastAsia="zh-CN"/>
        </w:rPr>
        <w:t>第五部分 附件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eastAsia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Cambria">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E8BE9"/>
    <w:multiLevelType w:val="singleLevel"/>
    <w:tmpl w:val="B38E8BE9"/>
    <w:lvl w:ilvl="0" w:tentative="0">
      <w:start w:val="1"/>
      <w:numFmt w:val="chineseCounting"/>
      <w:suff w:val="nothing"/>
      <w:lvlText w:val="（%1）"/>
      <w:lvlJc w:val="left"/>
      <w:rPr>
        <w:rFonts w:hint="eastAsia"/>
      </w:rPr>
    </w:lvl>
  </w:abstractNum>
  <w:abstractNum w:abstractNumId="1">
    <w:nsid w:val="205108D1"/>
    <w:multiLevelType w:val="singleLevel"/>
    <w:tmpl w:val="205108D1"/>
    <w:lvl w:ilvl="0" w:tentative="0">
      <w:start w:val="1"/>
      <w:numFmt w:val="chineseCounting"/>
      <w:suff w:val="nothing"/>
      <w:lvlText w:val="%1、"/>
      <w:lvlJc w:val="left"/>
      <w:rPr>
        <w:rFonts w:hint="eastAsia"/>
      </w:rPr>
    </w:lvl>
  </w:abstractNum>
  <w:abstractNum w:abstractNumId="2">
    <w:nsid w:val="22462A54"/>
    <w:multiLevelType w:val="singleLevel"/>
    <w:tmpl w:val="22462A54"/>
    <w:lvl w:ilvl="0" w:tentative="0">
      <w:start w:val="1"/>
      <w:numFmt w:val="chineseCounting"/>
      <w:suff w:val="space"/>
      <w:lvlText w:val="第%1部分"/>
      <w:lvlJc w:val="left"/>
      <w:rPr>
        <w:rFonts w:hint="eastAsia"/>
        <w:sz w:val="32"/>
        <w:szCs w:val="32"/>
      </w:rPr>
    </w:lvl>
  </w:abstractNum>
  <w:abstractNum w:abstractNumId="3">
    <w:nsid w:val="40F10D10"/>
    <w:multiLevelType w:val="singleLevel"/>
    <w:tmpl w:val="40F10D10"/>
    <w:lvl w:ilvl="0" w:tentative="0">
      <w:start w:val="1"/>
      <w:numFmt w:val="chineseCounting"/>
      <w:suff w:val="nothing"/>
      <w:lvlText w:val="%1、"/>
      <w:lvlJc w:val="left"/>
      <w:rPr>
        <w:rFonts w:hint="eastAsia"/>
      </w:rPr>
    </w:lvl>
  </w:abstractNum>
  <w:abstractNum w:abstractNumId="4">
    <w:nsid w:val="524CE9C2"/>
    <w:multiLevelType w:val="singleLevel"/>
    <w:tmpl w:val="524CE9C2"/>
    <w:lvl w:ilvl="0" w:tentative="0">
      <w:start w:val="1"/>
      <w:numFmt w:val="chineseCounting"/>
      <w:suff w:val="nothing"/>
      <w:lvlText w:val="（%1）"/>
      <w:lvlJc w:val="left"/>
      <w:rPr>
        <w:rFonts w:hint="eastAsia"/>
      </w:rPr>
    </w:lvl>
  </w:abstractNum>
  <w:abstractNum w:abstractNumId="5">
    <w:nsid w:val="62D6864D"/>
    <w:multiLevelType w:val="singleLevel"/>
    <w:tmpl w:val="62D6864D"/>
    <w:lvl w:ilvl="0" w:tentative="0">
      <w:start w:val="1"/>
      <w:numFmt w:val="decimal"/>
      <w:suff w:val="nothing"/>
      <w:lvlText w:val="（%1）"/>
      <w:lvlJc w:val="left"/>
    </w:lvl>
  </w:abstractNum>
  <w:abstractNum w:abstractNumId="6">
    <w:nsid w:val="666892F7"/>
    <w:multiLevelType w:val="singleLevel"/>
    <w:tmpl w:val="666892F7"/>
    <w:lvl w:ilvl="0" w:tentative="0">
      <w:start w:val="1"/>
      <w:numFmt w:val="chineseCounting"/>
      <w:suff w:val="nothing"/>
      <w:lvlText w:val="（%1）"/>
      <w:lvlJc w:val="left"/>
      <w:rPr>
        <w:rFonts w:hint="eastAsia"/>
      </w:rPr>
    </w:lvl>
  </w:abstractNum>
  <w:abstractNum w:abstractNumId="7">
    <w:nsid w:val="72718A6C"/>
    <w:multiLevelType w:val="singleLevel"/>
    <w:tmpl w:val="72718A6C"/>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7"/>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TQzYTdhMGY5MTIyNmFkNTVkODYxYTgyMzVmYTEzNDkifQ=="/>
  </w:docVars>
  <w:rsids>
    <w:rsidRoot w:val="507E04F2"/>
    <w:rsid w:val="02D149AD"/>
    <w:rsid w:val="03071604"/>
    <w:rsid w:val="03D454D5"/>
    <w:rsid w:val="05133C63"/>
    <w:rsid w:val="12B75243"/>
    <w:rsid w:val="13AD18A8"/>
    <w:rsid w:val="15885061"/>
    <w:rsid w:val="174E6F4B"/>
    <w:rsid w:val="18FE0E90"/>
    <w:rsid w:val="19A75E26"/>
    <w:rsid w:val="1AB91166"/>
    <w:rsid w:val="1D181F4A"/>
    <w:rsid w:val="1D4C6F21"/>
    <w:rsid w:val="1DBF4C6F"/>
    <w:rsid w:val="1F5B33FE"/>
    <w:rsid w:val="1F7F013A"/>
    <w:rsid w:val="214B19AF"/>
    <w:rsid w:val="21BE2BE8"/>
    <w:rsid w:val="24400708"/>
    <w:rsid w:val="28A3543A"/>
    <w:rsid w:val="2923120B"/>
    <w:rsid w:val="2E1E4E36"/>
    <w:rsid w:val="2F5561B7"/>
    <w:rsid w:val="2FF55762"/>
    <w:rsid w:val="3AF67FC7"/>
    <w:rsid w:val="3D3E1186"/>
    <w:rsid w:val="3E962A3C"/>
    <w:rsid w:val="442917BF"/>
    <w:rsid w:val="45A647D8"/>
    <w:rsid w:val="48711A69"/>
    <w:rsid w:val="507E04F2"/>
    <w:rsid w:val="54812C33"/>
    <w:rsid w:val="553539DB"/>
    <w:rsid w:val="58DF56DB"/>
    <w:rsid w:val="58E37964"/>
    <w:rsid w:val="5BE537D4"/>
    <w:rsid w:val="628110AA"/>
    <w:rsid w:val="67475AFF"/>
    <w:rsid w:val="6750098D"/>
    <w:rsid w:val="69333ED8"/>
    <w:rsid w:val="6A3E5B5D"/>
    <w:rsid w:val="6E083615"/>
    <w:rsid w:val="729F531D"/>
    <w:rsid w:val="72D51F74"/>
    <w:rsid w:val="79156236"/>
    <w:rsid w:val="7D7F5FD5"/>
    <w:rsid w:val="7E602EE5"/>
    <w:rsid w:val="7FFB699F"/>
    <w:rsid w:val="BDFFC272"/>
    <w:rsid w:val="DAFFB4BF"/>
    <w:rsid w:val="EFEEB522"/>
    <w:rsid w:val="EFFB1D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3711</Words>
  <Characters>4124</Characters>
  <Lines>0</Lines>
  <Paragraphs>0</Paragraphs>
  <TotalTime>14</TotalTime>
  <ScaleCrop>false</ScaleCrop>
  <LinksUpToDate>false</LinksUpToDate>
  <CharactersWithSpaces>4309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2022-07-18T17:43:00Z</dcterms:created>
  <dc:creator>大同市住房保障管理中心</dc:creator>
  <cp:lastModifiedBy>dt</cp:lastModifiedBy>
  <cp:lastPrinted>2022-07-19T18:29:00Z</cp:lastPrinted>
  <dcterms:modified xsi:type="dcterms:W3CDTF">2022-07-25T10:30:53Z</dcterms:modified>
  <dc:title>大同市安居工程建设保障中心2021年度部门决算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56189B63FC6744D3B86129D4E5DD72F2</vt:lpwstr>
  </property>
</Properties>
</file>