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/>
          <w:sz w:val="20"/>
        </w:rPr>
      </w:pPr>
      <w:r>
        <w:pict>
          <v:shape id="_x0000_s1026" o:spid="_x0000_s1026" o:spt="202" type="#_x0000_t202" style="position:absolute;left:0pt;margin-left:304.65pt;margin-top:790.3pt;height:15.7pt;width:6.6pt;mso-position-horizontal-relative:page;mso-position-vertical-relative:page;z-index:-2516572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14" w:lineRule="exact"/>
                    <w:ind w:left="0" w:right="0" w:firstLine="0"/>
                    <w:jc w:val="left"/>
                    <w:rPr>
                      <w:rFonts w:ascii="Segoe Print"/>
                      <w:sz w:val="18"/>
                    </w:rPr>
                  </w:pPr>
                  <w:r>
                    <w:rPr>
                      <w:rFonts w:ascii="Segoe Print"/>
                      <w:sz w:val="18"/>
                    </w:rPr>
                    <w:t>1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3340735</wp:posOffset>
            </wp:positionV>
            <wp:extent cx="7556500" cy="73526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35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rFonts w:ascii="Times New Roman"/>
          <w:sz w:val="20"/>
        </w:rPr>
      </w:pPr>
    </w:p>
    <w:p>
      <w:pPr>
        <w:pStyle w:val="6"/>
        <w:spacing w:before="5"/>
        <w:rPr>
          <w:rFonts w:ascii="Times New Roman"/>
          <w:sz w:val="26"/>
        </w:rPr>
      </w:pPr>
    </w:p>
    <w:p>
      <w:pPr>
        <w:spacing w:before="0" w:line="1195" w:lineRule="exact"/>
        <w:ind w:left="0" w:right="478" w:firstLine="0"/>
        <w:jc w:val="center"/>
        <w:rPr>
          <w:b/>
          <w:sz w:val="96"/>
        </w:rPr>
      </w:pPr>
      <w:r>
        <w:rPr>
          <w:b/>
          <w:color w:val="16992C"/>
          <w:sz w:val="96"/>
        </w:rPr>
        <w:t>大同市能源局</w:t>
      </w:r>
    </w:p>
    <w:p>
      <w:pPr>
        <w:spacing w:before="15"/>
        <w:ind w:left="0" w:right="464" w:firstLine="0"/>
        <w:jc w:val="center"/>
        <w:rPr>
          <w:sz w:val="96"/>
        </w:rPr>
        <w:sectPr>
          <w:type w:val="continuous"/>
          <w:pgSz w:w="11900" w:h="16840"/>
          <w:pgMar w:top="1600" w:right="20" w:bottom="0" w:left="260" w:header="720" w:footer="720" w:gutter="0"/>
          <w:pgNumType w:fmt="decimal"/>
          <w:cols w:space="720" w:num="1"/>
        </w:sectPr>
      </w:pPr>
      <w:r>
        <w:rPr>
          <w:b/>
          <w:color w:val="16992C"/>
          <w:sz w:val="96"/>
        </w:rPr>
        <w:t>20</w:t>
      </w:r>
      <w:r>
        <w:rPr>
          <w:rFonts w:hint="eastAsia"/>
          <w:b/>
          <w:color w:val="16992C"/>
          <w:sz w:val="96"/>
          <w:lang w:val="en-US" w:eastAsia="zh-CN"/>
        </w:rPr>
        <w:t>22</w:t>
      </w:r>
      <w:r>
        <w:rPr>
          <w:b/>
          <w:color w:val="16992C"/>
          <w:sz w:val="96"/>
        </w:rPr>
        <w:t>年度部门预算</w:t>
      </w:r>
    </w:p>
    <w:p>
      <w:pPr>
        <w:spacing w:after="0"/>
      </w:pPr>
      <w:bookmarkStart w:id="0" w:name="第一部分  概况3"/>
      <w:bookmarkEnd w:id="0"/>
      <w:bookmarkStart w:id="1" w:name="目录"/>
      <w:bookmarkEnd w:id="1"/>
      <w:r>
        <w:pict>
          <v:group id="_x0000_s1062" o:spid="_x0000_s1062" o:spt="203" style="position:absolute;left:0pt;margin-left:-1.9pt;margin-top:0.95pt;height:842pt;width:595pt;mso-position-horizontal-relative:page;mso-position-vertical-relative:page;z-index:-251655168;mso-width-relative:page;mso-height-relative:page;" coordsize="11900,16840">
            <o:lock v:ext="edit"/>
            <v:shape id="_x0000_s1063" o:spid="_x0000_s1063" o:spt="75" type="#_x0000_t75" style="position:absolute;left:1800;top:15455;height:19;width:8271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64" o:spid="_x0000_s1064" o:spt="75" type="#_x0000_t75" style="position:absolute;left:1819;top:1118;height:265;width:8237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65" o:spid="_x0000_s1065" o:spt="75" type="#_x0000_t75" style="position:absolute;left:0;top:0;height:16840;width:11900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</v:group>
        </w:pict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pStyle w:val="6"/>
        <w:spacing w:before="1"/>
        <w:rPr>
          <w:rFonts w:ascii="Times New Roman"/>
          <w:sz w:val="19"/>
        </w:rPr>
      </w:pPr>
    </w:p>
    <w:p>
      <w:pPr>
        <w:pStyle w:val="5"/>
        <w:spacing w:line="381" w:lineRule="exact"/>
        <w:ind w:left="2060"/>
        <w:rPr>
          <w:rFonts w:hint="eastAsia" w:asciiTheme="majorEastAsia" w:hAnsiTheme="majorEastAsia" w:eastAsiaTheme="majorEastAsia" w:cstheme="majorEastAsia"/>
          <w:sz w:val="32"/>
          <w:szCs w:val="32"/>
        </w:rPr>
      </w:pPr>
    </w:p>
    <w:p>
      <w:pPr>
        <w:spacing w:before="170" w:line="340" w:lineRule="auto"/>
        <w:ind w:left="1420" w:right="1239" w:firstLine="0"/>
        <w:jc w:val="both"/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</w:pPr>
    </w:p>
    <w:p>
      <w:pPr>
        <w:pStyle w:val="3"/>
        <w:spacing w:line="579" w:lineRule="exact"/>
        <w:ind w:left="2020"/>
        <w:jc w:val="left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⼀、本部门职责</w:t>
      </w:r>
    </w:p>
    <w:p>
      <w:pPr>
        <w:rPr>
          <w:rFonts w:hint="eastAsia"/>
        </w:rPr>
      </w:pPr>
    </w:p>
    <w:p>
      <w:pPr>
        <w:pStyle w:val="5"/>
        <w:spacing w:line="381" w:lineRule="exact"/>
        <w:ind w:left="206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(一)贯彻落实国家、省有关能源工作的法律、法规和政策，</w:t>
      </w:r>
    </w:p>
    <w:p>
      <w:pPr>
        <w:spacing w:before="170" w:line="340" w:lineRule="auto"/>
        <w:ind w:left="1595" w:leftChars="725" w:right="1239" w:firstLine="0" w:firstLineChars="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研究拟定全市能源发展战略、政策和发展规划，起草有关能源地方性法规、规章草案，推进能源体制改革。涉及能源发展的重大规划、政策和投资项目管理等，由市发展和改革委员会牵头，以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联席会议制度进行协调协商。</w:t>
      </w:r>
    </w:p>
    <w:p>
      <w:pPr>
        <w:spacing w:before="0" w:line="340" w:lineRule="auto"/>
        <w:ind w:left="1420" w:right="1239" w:firstLine="64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(二)负责全市能源行业管理。组织拟定全市煤炭、电力、石 油、天然气、新能源和可再生能源等能源以及炼油等产业的相关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标准并组织实施。</w:t>
      </w:r>
    </w:p>
    <w:p>
      <w:pPr>
        <w:spacing w:before="0" w:line="340" w:lineRule="auto"/>
        <w:ind w:left="1420" w:right="1239" w:firstLine="64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(三)按省、市人民政府规定权限，负责审批、核准、审核能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源固定资产投资项目，并负责组织项目竣工验收。</w:t>
      </w:r>
    </w:p>
    <w:p>
      <w:pPr>
        <w:spacing w:before="0" w:line="340" w:lineRule="auto"/>
        <w:ind w:left="1420" w:right="1239" w:firstLine="64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(四)负责能源预测预警，监测全市能源发展状况，发布能源 信息，参与能源运行调节和应急保障。拟订石油、天然气战略储备规划，提出石油、天然气战略储备收储、动用建议，经市发展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和改革委员会审核后，报市人民政府审批，按程序组织实施。</w:t>
      </w:r>
    </w:p>
    <w:p>
      <w:pPr>
        <w:spacing w:before="0" w:line="340" w:lineRule="auto"/>
        <w:ind w:left="1420" w:right="1239" w:firstLine="64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(五)牵头组织全市节能降耗工作，拟订年度工作计划、预期 建议目标并组织实施。承担能源行业节能降耗和清洁生产。制定全市年度能源消费总量建议控制目标，指导、监督能源消费总量控制有关工作，衔接能源生产和供需平衡。牵头组织全市节能监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督管理和节能监察工作。负责能源领域节能降耗监察工作。</w:t>
      </w:r>
    </w:p>
    <w:p>
      <w:pPr>
        <w:spacing w:before="0" w:line="340" w:lineRule="auto"/>
        <w:ind w:left="1420" w:right="1239" w:firstLine="640"/>
        <w:jc w:val="both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>(六)协调落实推进电力发展和改革中的重大问题。负责全市 电力运行管理。负责供电营业区的划分、变更和《供电营业许可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证》申请资料的审核上报工作。</w:t>
      </w:r>
    </w:p>
    <w:p>
      <w:pPr>
        <w:spacing w:before="29"/>
        <w:ind w:left="2060" w:right="0" w:firstLine="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(七)负责石油、天然气等管道建设和保护。</w:t>
      </w:r>
    </w:p>
    <w:p>
      <w:pPr>
        <w:spacing w:before="173" w:line="340" w:lineRule="auto"/>
        <w:ind w:left="1420" w:right="1239" w:firstLine="64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 xml:space="preserve">(八)指导协调新能源、可再生能源、农村电网和农村能源发 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展工作。</w:t>
      </w:r>
    </w:p>
    <w:p>
      <w:pPr>
        <w:spacing w:before="0" w:line="340" w:lineRule="auto"/>
        <w:ind w:left="1420" w:right="1239" w:firstLine="64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 xml:space="preserve">(九)负责能源领域科技进步、装备和节能技术改造等相关工 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作，推广应用新产品、新技术、新设备。</w:t>
      </w:r>
    </w:p>
    <w:p>
      <w:pPr>
        <w:spacing w:before="0" w:line="340" w:lineRule="auto"/>
        <w:ind w:left="1420" w:right="1239" w:firstLine="64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 xml:space="preserve">(十)组织推进能源国际、省际、市际合作，协调对外能源开 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发利用工作。</w:t>
      </w:r>
    </w:p>
    <w:p>
      <w:pPr>
        <w:spacing w:before="0" w:line="340" w:lineRule="auto"/>
        <w:ind w:left="1420" w:right="1239" w:firstLine="64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w w:val="95"/>
          <w:sz w:val="32"/>
          <w:szCs w:val="32"/>
        </w:rPr>
        <w:t xml:space="preserve">(十一)参与制定与能源相关的资源、环保及应对气候变化等 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政策，提出能源价格调整和进出口总量建议。</w:t>
      </w:r>
    </w:p>
    <w:p>
      <w:pPr>
        <w:spacing w:before="0" w:line="407" w:lineRule="exact"/>
        <w:ind w:left="2060" w:right="0" w:firstLine="0"/>
        <w:jc w:val="left"/>
        <w:rPr>
          <w:rFonts w:hint="eastAsia" w:asciiTheme="majorEastAsia" w:hAnsiTheme="majorEastAsia" w:eastAsiaTheme="majorEastAsia" w:cstheme="majorEastAsia"/>
          <w:sz w:val="32"/>
          <w:szCs w:val="32"/>
        </w:rPr>
        <w:sectPr>
          <w:headerReference r:id="rId5" w:type="default"/>
          <w:footerReference r:id="rId6" w:type="default"/>
          <w:pgSz w:w="11900" w:h="16840"/>
          <w:pgMar w:top="1360" w:right="20" w:bottom="1380" w:left="260" w:header="1173" w:footer="1184" w:gutter="0"/>
          <w:pgNumType w:fmt="decimal"/>
          <w:cols w:space="720" w:num="1"/>
        </w:sect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(十二)完成市委、市政府交办的其他任务。</w:t>
      </w:r>
    </w:p>
    <w:p>
      <w:pPr>
        <w:spacing w:after="0" w:line="340" w:lineRule="auto"/>
        <w:jc w:val="both"/>
        <w:rPr>
          <w:sz w:val="32"/>
        </w:rPr>
      </w:pP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⼆、机构设置情况</w:t>
      </w:r>
    </w:p>
    <w:p>
      <w:pPr>
        <w:pStyle w:val="6"/>
        <w:spacing w:before="36" w:line="285" w:lineRule="auto"/>
        <w:ind w:left="1540" w:right="1725" w:firstLine="559"/>
        <w:rPr>
          <w:sz w:val="32"/>
          <w:szCs w:val="32"/>
        </w:rPr>
      </w:pPr>
      <w:r>
        <w:rPr>
          <w:spacing w:val="-17"/>
          <w:w w:val="95"/>
          <w:sz w:val="32"/>
          <w:szCs w:val="32"/>
        </w:rPr>
        <w:t>从部门预算构成看，大同市能源局预算主要包括局本级预算、局属事业</w:t>
      </w:r>
      <w:r>
        <w:rPr>
          <w:spacing w:val="-28"/>
          <w:sz w:val="32"/>
          <w:szCs w:val="32"/>
        </w:rPr>
        <w:t>单位预算。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spacing w:after="0" w:line="340" w:lineRule="auto"/>
        <w:jc w:val="both"/>
      </w:pPr>
      <w:r>
        <w:pict>
          <v:group id="_x0000_s1032" o:spid="_x0000_s1032" o:spt="203" style="position:absolute;left:0pt;margin-left:98.05pt;margin-top:55.1pt;height:181.45pt;width:362.7pt;mso-position-horizontal-relative:page;mso-wrap-distance-bottom:0pt;mso-wrap-distance-top:0pt;z-index:-251651072;mso-width-relative:page;mso-height-relative:page;" coordorigin="2534,284" coordsize="7254,3629">
            <o:lock v:ext="edit"/>
            <v:shape id="_x0000_s1033" o:spid="_x0000_s1033" style="position:absolute;left:6145;top:1736;height:737;width:2556;" fillcolor="#000000" filled="t" stroked="f" coordorigin="6145,1736" coordsize="2556,737" path="m8657,2335l6145,2335,6145,1736,6189,1736,6189,2292,6167,2292,6189,2314,8657,2314,8657,2335xm6189,2314l6167,2292,6189,2292,6189,2314xm8701,2335l8679,2335,8657,2314,6189,2314,6189,2292,8701,2292,8701,2335xm8701,2473l8657,2473,8657,2314,8679,2335,8701,2335,8701,2473xe">
              <v:path arrowok="t"/>
              <v:fill on="t" focussize="0,0"/>
              <v:stroke on="f"/>
              <v:imagedata o:title=""/>
              <o:lock v:ext="edit"/>
            </v:shape>
            <v:shape id="_x0000_s1034" o:spid="_x0000_s1034" style="position:absolute;left:6135;top:1736;height:605;width:73;" fillcolor="#000000" filled="t" stroked="f" coordorigin="6135,1736" coordsize="73,605" path="m6164,2340l6135,1738,6179,1736,6208,2338,6164,2340xe">
              <v:path arrowok="t"/>
              <v:fill on="t" focussize="0,0"/>
              <v:stroke on="f"/>
              <v:imagedata o:title=""/>
              <o:lock v:ext="edit"/>
            </v:shape>
            <v:shape id="_x0000_s1035" o:spid="_x0000_s1035" style="position:absolute;left:3604;top:1736;height:737;width:2571;" fillcolor="#000000" filled="t" stroked="f" coordorigin="3604,1736" coordsize="2571,737" path="m6131,2314l6131,1736,6175,1736,6175,2292,6153,2292,6131,2314xm3648,2473l3604,2473,3604,2292,6131,2292,6131,2314,3648,2314,3626,2335,3648,2335,3648,2473xm6175,2335l3648,2335,3648,2314,6131,2314,6153,2292,6175,2292,6175,2335xm3648,2335l3626,2335,3648,2314,3648,2335xe">
              <v:path arrowok="t"/>
              <v:fill on="t" focussize="0,0"/>
              <v:stroke on="f"/>
              <v:imagedata o:title=""/>
              <o:lock v:ext="edit"/>
            </v:shape>
            <v:shape id="_x0000_s1036" o:spid="_x0000_s1036" style="position:absolute;left:5071;top:291;height:1445;width:2165;" fillcolor="#BADFE2" filled="t" stroked="f" coordorigin="5071,291" coordsize="2165,1445" path="m6996,1736l5311,1736,5237,1724,5170,1688,5119,1638,5083,1570,5071,1496,5071,531,5083,454,5119,390,5170,337,5237,303,5311,291,6996,291,7070,303,7138,337,7190,390,7224,454,7236,531,7236,1496,7224,1570,7190,1638,7138,1688,7070,1724,6996,1736xe">
              <v:path arrowok="t"/>
              <v:fill on="t" focussize="0,0"/>
              <v:stroke on="f"/>
              <v:imagedata o:title=""/>
              <o:lock v:ext="edit"/>
            </v:shape>
            <v:shape id="_x0000_s1037" o:spid="_x0000_s1037" style="position:absolute;left:5063;top:283;height:1459;width:2179;" fillcolor="#000000" filled="t" stroked="f" coordorigin="5064,284" coordsize="2179,1459" path="m6995,1742l5311,1742,5234,1729,5166,1694,5112,1640,5076,1572,5064,1495,5064,531,5076,453,5112,385,5166,331,5234,296,5311,284,6995,284,7072,296,7076,298,5313,298,5312,298,5312,298,5242,309,5239,309,5237,310,5238,310,5176,342,5175,342,5173,343,5174,343,5125,392,5124,392,5123,394,5123,394,5091,456,5090,456,5089,458,5090,458,5078,531,5078,531,5078,1493,5090,1567,5089,1567,5090,1569,5091,1569,5123,1631,5123,1631,5124,1633,5125,1633,5174,1682,5173,1682,5175,1683,5176,1683,5238,1715,5237,1715,5239,1716,5241,1716,5313,1728,5312,1728,5313,1728,7074,1728,7072,1729,6995,1742xm5312,298l5312,298,5313,298,5312,298xm6994,298l5312,298,5313,298,6993,298,6994,298xm7068,310l6993,298,6994,298,7076,298,7098,309,7067,309,7068,310xm7076,298l6994,298,6993,298,7076,298,7076,298xm5237,310l5239,309,5238,310,5237,310xm5238,310l5239,309,5242,309,5238,310xm7069,310l7068,310,7067,309,7069,310xm7099,310l7069,310,7067,309,7098,309,7099,310xm5238,310l5237,310,5238,310,5238,310xm7132,343l7068,310,7069,310,7099,310,7140,331,7151,342,7131,342,7132,343xm5173,343l5175,342,5174,343,5173,343xm5174,343l5175,342,5176,342,5174,343xm7133,343l7132,343,7131,342,7133,343xm7153,343l7133,343,7131,342,7151,342,7153,343xm5174,343l5173,343,5174,343,5174,343xm7182,393l7132,343,7133,343,7153,343,7194,385,7198,392,7182,392,7182,393xm5123,394l5124,392,5124,393,5123,394xm5124,393l5124,392,5125,392,5124,393xm7183,394l7182,393,7182,392,7183,394xm7199,394l7183,394,7182,392,7198,392,7199,394xm5123,394l5123,394,5124,393,5123,394xm7216,457l7182,393,7183,394,7199,394,7230,453,7230,456,7216,456,7216,457xm5089,458l5090,456,5090,457,5089,458xm5090,457l5090,456,5091,456,5090,457xm7217,458l7216,457,7216,456,7217,458xm7231,458l7217,458,7216,456,7230,456,7231,458xm5090,458l5089,458,5090,457,5090,458xm7242,532l7228,532,7228,531,7228,531,7216,457,7217,458,7231,458,7242,531,7242,532xm5078,532l5078,531,5078,531,5078,532xm7228,532l7228,531,7228,531,7228,532xm5078,532l5078,532,5078,532,5078,532xm7242,1494l7228,1494,7228,1493,7228,532,7228,532,7242,532,7242,1494xm5078,1494l5078,1493,5078,1493,5078,1494xm7228,1494l7228,1493,7228,1493,7228,1494xm5078,1494l5078,1494,5078,1494,5078,1494xm7230,1569l7216,1569,7217,1567,7216,1567,7228,1494,7228,1494,7242,1494,7242,1495,7231,1567,7217,1567,7216,1568,7231,1568,7230,1569xm5090,1569l5089,1567,5090,1568,5090,1569xm5090,1568l5089,1567,5090,1567,5090,1568xm7216,1569l7216,1568,7217,1567,7216,1569xm5091,1569l5090,1569,5090,1568,5091,1569xm7182,1632l7216,1568,7216,1569,7230,1569,7230,1572,7199,1631,7183,1631,7182,1632xm5124,1633l5123,1631,5124,1632,5124,1633xm5124,1632l5123,1631,5123,1631,5124,1632xm7182,1633l7182,1632,7183,1631,7182,1633xm7198,1633l7182,1633,7183,1631,7199,1631,7198,1633xm5125,1633l5124,1633,5124,1632,5125,1633xm7132,1682l7182,1632,7182,1633,7198,1633,7194,1640,7153,1682,7133,1682,7132,1682xm5175,1683l5173,1682,5174,1682,5175,1683xm5174,1682l5173,1682,5174,1682,5174,1682xm7131,1683l7132,1682,7133,1682,7131,1683xm7151,1683l7131,1683,7133,1682,7153,1682,7151,1683xm5176,1683l5175,1683,5174,1682,5176,1683xm7068,1715l7132,1682,7131,1683,7151,1683,7140,1694,7099,1715,7069,1715,7068,1715xm5239,1716l5237,1715,5238,1715,5239,1716xm5238,1715l5237,1715,5238,1715,5238,1715xm7067,1716l7068,1715,7069,1715,7067,1716xm7098,1716l7067,1716,7069,1715,7099,1715,7098,1716xm5241,1716l5239,1716,5238,1715,5241,1716xm6993,1728l7068,1715,7067,1716,7098,1716,7074,1728,6994,1728,6993,1728xm5313,1728l5312,1728,5313,1728,5313,1728xm6993,1728l5313,1728,5313,1728,6993,1728,6993,1728xm7074,1728l6993,1728,6994,1728,7074,1728,7074,1728xe">
              <v:path arrowok="t"/>
              <v:fill on="t" focussize="0,0"/>
              <v:stroke on="f"/>
              <v:imagedata o:title=""/>
              <o:lock v:ext="edit"/>
            </v:shape>
            <v:shape id="_x0000_s1038" o:spid="_x0000_s1038" o:spt="75" type="#_x0000_t75" style="position:absolute;left:5145;top:370;height:1287;width:2012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9" o:spid="_x0000_s1039" style="position:absolute;left:2541;top:2460;height:1445;width:2170;" fillcolor="#BADFE2" filled="t" stroked="f" coordorigin="2542,2461" coordsize="2170,1445" path="m4469,3906l2782,3906,2705,3894,2640,3860,2587,3807,2554,3740,2542,3666,2542,2703,2554,2626,2587,2559,2640,2509,2705,2473,2782,2461,4469,2461,4546,2473,4613,2509,4663,2559,4699,2626,4711,2703,4711,3666,4699,3740,4663,3807,4613,3860,4546,3894,4469,3906xe">
              <v:path arrowok="t"/>
              <v:fill on="t" focussize="0,0"/>
              <v:stroke on="f"/>
              <v:imagedata o:title=""/>
              <o:lock v:ext="edit"/>
            </v:shape>
            <v:shape id="_x0000_s1040" o:spid="_x0000_s1040" style="position:absolute;left:2533;top:2453;height:1459;width:2183;" fillcolor="#000000" filled="t" stroked="f" coordorigin="2534,2454" coordsize="2183,1459" path="m4469,3912l2780,3912,2703,3900,2635,3865,2581,3811,2546,3743,2534,3666,2534,2702,2546,2624,2581,2556,2635,2502,2703,2466,2780,2454,4469,2454,4546,2466,4550,2468,2782,2468,2781,2468,2781,2468,2711,2479,2708,2479,2706,2480,2707,2480,2645,2513,2644,2513,2642,2514,2643,2514,2594,2563,2593,2563,2592,2565,2592,2565,2561,2627,2560,2627,2559,2629,2560,2629,2548,2702,2548,2702,2548,3664,2560,3738,2559,3738,2560,3740,2561,3740,2592,3802,2592,3802,2593,3804,2594,3804,2643,3853,2642,3853,2644,3854,2645,3854,2707,3886,2706,3886,2708,3887,2711,3887,2781,3898,2781,3898,2782,3898,4550,3898,4546,3900,4469,3912xm2781,2468l2781,2468,2782,2468,2781,2468xm4468,2468l2781,2468,2782,2468,4467,2468,4468,2468xm4542,2480l4467,2468,4468,2468,4550,2468,4572,2479,4541,2479,4542,2480xm4550,2468l4468,2468,4467,2468,4550,2468,4550,2468xm2706,2480l2708,2479,2707,2480,2706,2480xm2707,2480l2708,2479,2711,2479,2707,2480xm4543,2480l4542,2480,4541,2479,4543,2480xm4573,2480l4543,2480,4541,2479,4572,2479,4573,2480xm2707,2480l2706,2480,2707,2480,2707,2480xm4607,2514l4542,2480,4543,2480,4573,2480,4615,2502,4626,2513,4606,2513,4607,2514xm2642,2514l2644,2513,2643,2514,2642,2514xm2643,2514l2644,2513,2645,2513,2643,2514xm4608,2514l4607,2514,4606,2513,4608,2514xm4628,2514l4608,2514,4606,2513,4626,2513,4628,2514xm2643,2514l2642,2514,2643,2514,2643,2514xm4657,2564l4607,2514,4608,2514,4628,2514,4669,2556,4673,2563,4657,2563,4657,2564xm2592,2565l2593,2563,2593,2564,2592,2565xm2593,2564l2593,2563,2594,2563,2593,2564xm4658,2565l4657,2564,4657,2563,4658,2565xm4674,2565l4658,2565,4657,2563,4673,2563,4674,2565xm2592,2565l2592,2565,2593,2564,2592,2565xm4690,2628l4657,2564,4658,2565,4674,2565,4704,2624,4704,2627,4690,2627,4690,2628xm2559,2629l2560,2627,2560,2628,2559,2629xm2560,2628l2560,2627,2561,2627,2560,2628xm4691,2629l4690,2628,4690,2627,4691,2629xm4705,2629l4691,2629,4690,2627,4704,2627,4705,2629xm2560,2629l2559,2629,2560,2628,2560,2629xm4716,2703l4702,2703,4702,2702,4702,2702,4690,2628,4691,2629,4705,2629,4716,2702,4716,2703xm2548,2703l2548,2702,2548,2702,2548,2703xm4702,2703l4702,2702,4702,2702,4702,2703xm2548,2703l2548,2703,2548,2703,2548,2703xm4716,3665l4702,3665,4702,3664,4702,2703,4702,2703,4716,2703,4716,3665xm2548,3665l2548,3664,2548,3664,2548,3665xm4702,3665l4702,3664,4702,3664,4702,3665xm2548,3665l2548,3665,2548,3665,2548,3665xm4704,3740l4690,3740,4691,3738,4690,3738,4702,3665,4702,3665,4716,3665,4716,3666,4705,3738,4691,3738,4690,3739,4705,3739,4704,3740xm2560,3740l2559,3738,2560,3739,2560,3740xm2560,3739l2559,3738,2560,3738,2560,3739xm4690,3740l4690,3739,4691,3738,4690,3740xm2561,3740l2560,3740,2560,3739,2561,3740xm4657,3803l4690,3739,4690,3740,4704,3740,4704,3743,4674,3802,4658,3802,4657,3803xm2593,3804l2592,3802,2593,3803,2593,3804xm2593,3803l2592,3802,2592,3802,2593,3803xm4657,3804l4657,3803,4658,3802,4657,3804xm4673,3804l4657,3804,4658,3802,4674,3802,4673,3804xm2594,3804l2593,3804,2593,3803,2594,3804xm4607,3853l4657,3803,4657,3804,4673,3804,4669,3811,4628,3853,4608,3853,4607,3853xm4606,3854l4607,3853,4608,3853,4606,3854xm4626,3854l4606,3854,4608,3853,4628,3853,4626,3854xm2644,3854l2642,3853,2643,3853,2644,3854xm2643,3853l2642,3853,2643,3853,2643,3853xm4542,3886l4607,3853,4606,3854,4626,3854,4615,3865,4574,3886,4543,3886,4542,3886xm2645,3854l2644,3854,2643,3853,2645,3854xm2708,3887l2706,3886,2707,3886,2708,3887xm2707,3886l2706,3886,2707,3886,2707,3886xm4541,3887l4542,3886,4543,3886,4541,3887xm4573,3887l4541,3887,4543,3886,4574,3886,4573,3887xm4467,3898l4542,3886,4541,3887,4573,3887,4550,3898,4468,3898,4467,3898xm2711,3887l2708,3887,2707,3886,2711,3887xm2782,3898l2781,3898,2781,3898,2782,3898xm4467,3898l2782,3898,2781,3898,4468,3898,4467,3898xm4550,3898l4467,3898,4468,3898,4550,3898,4550,3898xe">
              <v:path arrowok="t"/>
              <v:fill on="t" focussize="0,0"/>
              <v:stroke on="f"/>
              <v:imagedata o:title=""/>
              <o:lock v:ext="edit"/>
            </v:shape>
            <v:shape id="_x0000_s1041" o:spid="_x0000_s1041" o:spt="75" type="#_x0000_t75" style="position:absolute;left:2620;top:2535;height:1287;width:2007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2" o:spid="_x0000_s1042" style="position:absolute;left:7620;top:2460;height:1445;width:2168;" fillcolor="#BADFE2" filled="t" stroked="f" coordorigin="7620,2461" coordsize="2168,1445" path="m9545,3906l7862,3906,7786,3894,7721,3860,7668,3807,7632,3740,7620,3666,7620,2703,7632,2626,7668,2559,7721,2509,7786,2473,7862,2461,9545,2461,9622,2473,9686,2509,9739,2559,9775,2626,9787,2703,9787,3666,9775,3740,9739,3807,9686,3860,9622,3894,9545,3906xe">
              <v:path arrowok="t"/>
              <v:fill on="t" focussize="0,0"/>
              <v:stroke on="f"/>
              <v:imagedata o:title=""/>
              <o:lock v:ext="edit"/>
            </v:shape>
            <v:shape id="_x0000_s1043" o:spid="_x0000_s1043" style="position:absolute;left:7598;top:2453;height:1459;width:2179;" fillcolor="#000000" filled="t" stroked="f" coordorigin="7599,2454" coordsize="2179,1459" path="m9530,3912l7846,3912,7769,3900,7701,3865,7647,3811,7611,3743,7599,3666,7599,2702,7611,2624,7647,2556,7701,2502,7769,2466,7846,2454,9530,2454,9607,2466,9611,2468,7848,2468,7847,2468,7847,2468,7777,2479,7774,2479,7772,2480,7773,2480,7711,2513,7710,2513,7708,2514,7709,2514,7660,2563,7659,2563,7658,2565,7658,2565,7626,2627,7625,2627,7624,2629,7625,2629,7613,2702,7613,2702,7613,3664,7625,3738,7624,3738,7625,3740,7626,3740,7658,3802,7658,3802,7659,3804,7660,3804,7709,3853,7708,3853,7710,3854,7711,3854,7773,3886,7772,3886,7774,3887,7777,3887,7847,3898,7847,3898,7848,3898,9611,3898,9607,3900,9530,3912xm7847,2468l7847,2468,7848,2468,7847,2468xm9529,2468l7847,2468,7848,2468,9528,2468,9529,2468xm9603,2480l9528,2468,9529,2468,9611,2468,9632,2479,9602,2479,9603,2480xm9611,2468l9529,2468,9528,2468,9611,2468,9611,2468xm7772,2480l7774,2479,7773,2480,7772,2480xm7773,2480l7774,2479,7777,2479,7773,2480xm9604,2480l9603,2480,9602,2479,9604,2480xm9634,2480l9604,2480,9602,2479,9632,2479,9634,2480xm7773,2480l7772,2480,7773,2480,7773,2480xm9667,2514l9603,2480,9604,2480,9634,2480,9675,2502,9686,2513,9666,2513,9667,2514xm7708,2514l7710,2513,7709,2514,7708,2514xm7709,2514l7710,2513,7711,2513,7709,2514xm9668,2514l9667,2514,9666,2513,9668,2514xm9688,2514l9668,2514,9666,2513,9686,2513,9688,2514xm7709,2514l7708,2514,7709,2514,7709,2514xm9717,2564l9667,2514,9668,2514,9688,2514,9729,2556,9733,2563,9717,2563,9717,2564xm7658,2565l7659,2563,7659,2564,7658,2565xm7659,2564l7659,2563,7660,2563,7659,2564xm9718,2565l9717,2564,9717,2563,9718,2565xm9734,2565l9718,2565,9717,2563,9733,2563,9734,2565xm7658,2565l7658,2565,7659,2564,7658,2565xm9751,2628l9717,2564,9718,2565,9734,2565,9765,2624,9765,2627,9751,2627,9751,2628xm7624,2629l7625,2627,7625,2628,7624,2629xm7625,2628l7625,2627,7626,2627,7625,2628xm9752,2629l9751,2628,9751,2627,9752,2629xm9766,2629l9752,2629,9751,2627,9765,2627,9766,2629xm7625,2629l7624,2629,7625,2628,7625,2629xm9777,2703l9763,2703,9763,2702,9763,2702,9751,2628,9752,2629,9766,2629,9777,2702,9777,2703xm7613,2703l7613,2702,7613,2702,7613,2703xm9763,2703l9763,2702,9763,2702,9763,2703xm7613,2703l7613,2703,7613,2703,7613,2703xm9777,3665l9763,3665,9763,3664,9763,2703,9763,2703,9777,2703,9777,3665xm7613,3665l7613,3664,7613,3664,7613,3665xm9763,3665l9763,3664,9763,3664,9763,3665xm7613,3665l7613,3665,7613,3665,7613,3665xm9765,3740l9751,3740,9752,3738,9751,3738,9763,3665,9763,3665,9777,3665,9777,3666,9766,3738,9752,3738,9751,3739,9766,3739,9765,3740xm7625,3740l7624,3738,7625,3739,7625,3740xm7625,3739l7624,3738,7625,3738,7625,3739xm9751,3740l9751,3739,9752,3738,9751,3740xm7626,3740l7625,3740,7625,3739,7626,3740xm9717,3803l9751,3739,9751,3740,9765,3740,9765,3743,9734,3802,9718,3802,9717,3803xm7659,3804l7658,3802,7659,3803,7659,3804xm7659,3803l7658,3802,7658,3802,7659,3803xm9717,3804l9717,3803,9718,3802,9717,3804xm9733,3804l9717,3804,9718,3802,9734,3802,9733,3804xm7660,3804l7659,3804,7659,3803,7660,3804xm9667,3853l9717,3803,9717,3804,9733,3804,9729,3811,9688,3853,9668,3853,9667,3853xm7710,3854l7708,3853,7709,3853,7710,3854xm7709,3853l7708,3853,7709,3853,7709,3853xm9666,3854l9667,3853,9668,3853,9666,3854xm9686,3854l9666,3854,9668,3853,9688,3853,9686,3854xm7711,3854l7710,3854,7709,3853,7711,3854xm9603,3886l9667,3853,9666,3854,9686,3854,9675,3865,9634,3886,9604,3886,9603,3886xm7774,3887l7772,3886,7773,3886,7774,3887xm7773,3886l7772,3886,7773,3886,7773,3886xm9602,3887l9603,3886,9604,3886,9602,3887xm9633,3887l9602,3887,9604,3886,9634,3886,9633,3887xm7777,3887l7774,3887,7773,3886,7777,3887xm9528,3898l9603,3886,9602,3887,9633,3887,9611,3898,9529,3898,9528,3898xm7848,3898l7847,3898,7847,3898,7848,3898xm9528,3898l7848,3898,7847,3898,9529,3898,9528,3898xm9611,3898l9528,3898,9529,3898,9611,3898,9611,3898xe">
              <v:path arrowok="t"/>
              <v:fill on="t" focussize="0,0"/>
              <v:stroke on="f"/>
              <v:imagedata o:title=""/>
              <o:lock v:ext="edit"/>
            </v:shape>
            <v:shape id="_x0000_s1044" o:spid="_x0000_s1044" o:spt="75" type="#_x0000_t75" style="position:absolute;left:6900;top:2520;height:1287;width:2012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45" o:spid="_x0000_s1045" o:spt="202" type="#_x0000_t202" style="position:absolute;left:5726;top:660;height:601;width:8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大同市</w:t>
                    </w:r>
                  </w:p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能源局</w:t>
                    </w:r>
                  </w:p>
                </w:txbxContent>
              </v:textbox>
            </v:shape>
            <v:shape id="_x0000_s1046" o:spid="_x0000_s1046" o:spt="202" type="#_x0000_t202" style="position:absolute;left:2923;top:2993;height:281;width:142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8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局本级预算</w:t>
                    </w:r>
                  </w:p>
                </w:txbxContent>
              </v:textbox>
            </v:shape>
            <v:shape id="_x0000_s1047" o:spid="_x0000_s1047" o:spt="202" type="#_x0000_t202" style="position:absolute;left:7905;top:2839;height:661;width:16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20" w:lineRule="exact"/>
                      <w:ind w:left="18" w:right="3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局属事业单位</w:t>
                    </w:r>
                  </w:p>
                  <w:p>
                    <w:pPr>
                      <w:spacing w:before="20" w:line="320" w:lineRule="exact"/>
                      <w:ind w:left="16" w:right="3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预算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bidi w:val="0"/>
        <w:rPr>
          <w:rFonts w:ascii="宋体" w:hAnsi="宋体" w:eastAsia="宋体" w:cs="宋体"/>
          <w:sz w:val="22"/>
          <w:szCs w:val="22"/>
          <w:lang w:val="zh-CN" w:eastAsia="zh-CN" w:bidi="zh-CN"/>
        </w:rPr>
      </w:pPr>
    </w:p>
    <w:p>
      <w:pPr>
        <w:bidi w:val="0"/>
        <w:rPr>
          <w:lang w:val="zh-CN" w:eastAsia="zh-CN"/>
        </w:rPr>
      </w:pPr>
    </w:p>
    <w:p>
      <w:pPr>
        <w:bidi w:val="0"/>
        <w:rPr>
          <w:lang w:val="zh-CN" w:eastAsia="zh-CN"/>
        </w:rPr>
      </w:pPr>
    </w:p>
    <w:p>
      <w:pPr>
        <w:pStyle w:val="6"/>
        <w:spacing w:before="62" w:line="328" w:lineRule="auto"/>
        <w:ind w:left="1540" w:right="5597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ab/>
      </w:r>
    </w:p>
    <w:p>
      <w:pPr>
        <w:pStyle w:val="6"/>
        <w:spacing w:before="62" w:line="328" w:lineRule="auto"/>
        <w:ind w:left="1540" w:right="5597"/>
        <w:rPr>
          <w:rFonts w:hint="eastAsia"/>
          <w:lang w:val="zh-CN" w:eastAsia="zh-CN"/>
        </w:rPr>
      </w:pPr>
    </w:p>
    <w:p>
      <w:pPr>
        <w:pStyle w:val="6"/>
        <w:spacing w:before="36" w:line="285" w:lineRule="auto"/>
        <w:ind w:left="1540" w:right="1725" w:firstLine="559"/>
        <w:rPr>
          <w:rFonts w:hint="eastAsia"/>
          <w:spacing w:val="-17"/>
          <w:w w:val="95"/>
          <w:sz w:val="32"/>
          <w:szCs w:val="32"/>
          <w:lang w:eastAsia="zh-CN"/>
        </w:rPr>
      </w:pPr>
      <w:r>
        <w:rPr>
          <w:spacing w:val="-17"/>
          <w:w w:val="95"/>
          <w:sz w:val="32"/>
          <w:szCs w:val="32"/>
        </w:rPr>
        <w:t>纳入大同市能源局</w:t>
      </w:r>
      <w:r>
        <w:rPr>
          <w:rFonts w:hint="eastAsia"/>
          <w:spacing w:val="-17"/>
          <w:w w:val="95"/>
          <w:sz w:val="32"/>
          <w:szCs w:val="32"/>
          <w:lang w:eastAsia="zh-CN"/>
        </w:rPr>
        <w:t>部门</w:t>
      </w:r>
      <w:r>
        <w:rPr>
          <w:spacing w:val="-17"/>
          <w:w w:val="95"/>
          <w:sz w:val="32"/>
          <w:szCs w:val="32"/>
        </w:rPr>
        <w:t>预算的</w:t>
      </w:r>
      <w:r>
        <w:rPr>
          <w:rFonts w:hint="eastAsia"/>
          <w:spacing w:val="-17"/>
          <w:w w:val="95"/>
          <w:sz w:val="32"/>
          <w:szCs w:val="32"/>
          <w:lang w:eastAsia="zh-CN"/>
        </w:rPr>
        <w:t>单位包括：</w:t>
      </w:r>
    </w:p>
    <w:p>
      <w:pPr>
        <w:pStyle w:val="6"/>
        <w:spacing w:before="36" w:line="285" w:lineRule="auto"/>
        <w:ind w:left="1540" w:right="1725" w:firstLine="559"/>
        <w:rPr>
          <w:spacing w:val="-17"/>
          <w:w w:val="95"/>
          <w:sz w:val="32"/>
          <w:szCs w:val="32"/>
        </w:rPr>
      </w:pPr>
      <w:r>
        <w:rPr>
          <w:spacing w:val="-17"/>
          <w:w w:val="95"/>
          <w:sz w:val="32"/>
          <w:szCs w:val="32"/>
        </w:rPr>
        <w:t>大同市能源局本级</w:t>
      </w:r>
    </w:p>
    <w:p>
      <w:pPr>
        <w:pStyle w:val="6"/>
        <w:spacing w:before="36" w:line="285" w:lineRule="auto"/>
        <w:ind w:left="1540" w:right="1725" w:firstLine="559"/>
        <w:rPr>
          <w:rFonts w:hint="eastAsia"/>
          <w:spacing w:val="-17"/>
          <w:w w:val="95"/>
          <w:sz w:val="32"/>
          <w:szCs w:val="32"/>
          <w:lang w:eastAsia="zh-CN"/>
        </w:rPr>
      </w:pPr>
      <w:r>
        <w:rPr>
          <w:rFonts w:hint="eastAsia"/>
          <w:spacing w:val="-17"/>
          <w:w w:val="95"/>
          <w:sz w:val="32"/>
          <w:szCs w:val="32"/>
          <w:lang w:eastAsia="zh-CN"/>
        </w:rPr>
        <w:t>大同市能源发展中心</w:t>
      </w:r>
    </w:p>
    <w:p>
      <w:pPr>
        <w:pStyle w:val="6"/>
        <w:spacing w:before="36" w:line="285" w:lineRule="auto"/>
        <w:ind w:left="1540" w:right="1725" w:firstLine="559"/>
        <w:rPr>
          <w:rFonts w:hint="eastAsia"/>
          <w:spacing w:val="-17"/>
          <w:w w:val="95"/>
          <w:sz w:val="32"/>
          <w:szCs w:val="32"/>
          <w:lang w:eastAsia="zh-CN"/>
        </w:rPr>
      </w:pPr>
      <w:r>
        <w:rPr>
          <w:rFonts w:hint="eastAsia"/>
          <w:spacing w:val="-17"/>
          <w:w w:val="95"/>
          <w:sz w:val="32"/>
          <w:szCs w:val="32"/>
          <w:lang w:eastAsia="zh-CN"/>
        </w:rPr>
        <w:t>大同市能源技术服务中心</w:t>
      </w:r>
    </w:p>
    <w:p>
      <w:pPr>
        <w:pStyle w:val="6"/>
        <w:spacing w:before="36" w:line="285" w:lineRule="auto"/>
        <w:ind w:left="1540" w:right="1725" w:firstLine="559"/>
        <w:rPr>
          <w:rFonts w:hint="eastAsia"/>
          <w:spacing w:val="-17"/>
          <w:w w:val="95"/>
          <w:sz w:val="32"/>
          <w:szCs w:val="32"/>
          <w:lang w:val="zh-CN" w:eastAsia="zh-CN"/>
        </w:rPr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  <w:rPr>
          <w:rFonts w:hint="eastAsia" w:ascii="Times New Roman" w:eastAsia="宋体"/>
          <w:sz w:val="17"/>
          <w:lang w:eastAsia="zh-CN"/>
        </w:rPr>
      </w:pPr>
      <w:r>
        <w:rPr>
          <w:sz w:val="17"/>
        </w:rPr>
        <w:pict>
          <v:shape id="文本框 10" o:spid="_x0000_s1066" o:spt="202" type="#_x0000_t202" style="position:absolute;left:0pt;margin-left:90.7pt;margin-top:237pt;height:231.15pt;width:311.35pt;z-index:251666432;mso-width-relative:page;mso-height-relative:page;" filled="f" stroked="f" coordsize="21600,21600" o:gfxdata="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Kck/92wAAAA0BAAAPAAAAAAAA&#10;AAEAIAAAACIAAABkcnMvZG93bnJldi54bWxQSwECFAAUAAAACACHTuJA3oOvdtYBAACMAwAADgAA&#10;AAAAAAABACAAAAAqAQAAZHJzL2Uyb0RvYy54bWxQSwUGAAAAAAYABgBZAQAAcgUAAAAA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第二部分</w:t>
                  </w:r>
                </w:p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部门预算报表</w:t>
                  </w:r>
                </w:p>
              </w:txbxContent>
            </v:textbox>
          </v:shape>
        </w:pict>
      </w:r>
      <w:r>
        <w:rPr>
          <w:rFonts w:hint="eastAsia" w:ascii="Times New Roman" w:eastAsia="宋体"/>
          <w:sz w:val="17"/>
          <w:lang w:eastAsia="zh-CN"/>
        </w:rPr>
        <w:drawing>
          <wp:inline distT="0" distB="0" distL="114300" distR="114300">
            <wp:extent cx="6539865" cy="7971155"/>
            <wp:effectExtent l="0" t="0" r="635" b="444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Times New Roman" w:eastAsia="宋体"/>
          <w:sz w:val="17"/>
          <w:lang w:eastAsia="zh-CN"/>
        </w:rPr>
      </w:pPr>
    </w:p>
    <w:p>
      <w:pPr>
        <w:spacing w:after="0"/>
        <w:rPr>
          <w:rFonts w:hint="eastAsia" w:ascii="Times New Roman" w:eastAsia="宋体"/>
          <w:sz w:val="17"/>
          <w:lang w:eastAsia="zh-CN"/>
        </w:rPr>
      </w:pPr>
    </w:p>
    <w:p>
      <w:pPr>
        <w:spacing w:after="0"/>
        <w:rPr>
          <w:rFonts w:hint="eastAsia" w:ascii="Times New Roman" w:eastAsia="宋体"/>
          <w:sz w:val="17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6"/>
          <w:szCs w:val="16"/>
          <w:lang w:val="en-US" w:eastAsia="zh-CN" w:bidi="ar"/>
        </w:rPr>
        <w:t xml:space="preserve">                           </w:t>
      </w: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1600" w:firstLineChars="50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表一：2022年预算收支总表。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表二：2022年预算收入总表。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表三：2022年预算支出总表。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表四：2022年财政拨款收支总表。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表五：2022年一般公共预算支出预算表。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     表六：</w:t>
      </w:r>
      <w:r>
        <w:rPr>
          <w:rFonts w:hint="eastAsia" w:cs="宋体"/>
          <w:sz w:val="32"/>
          <w:szCs w:val="32"/>
          <w:lang w:val="en-US" w:eastAsia="zh-CN" w:bidi="zh-CN"/>
        </w:rPr>
        <w:t>2022年</w:t>
      </w: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一般公共预算安排基本支出分经济科目表。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表七：2022年政府性基金预算收入表。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表八：2022年政府性基金预算支出表。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表九：2022年国有资本经营预算收支预算表。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表十：2022年一般公共预算“三公”经费支出情况统计表。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表十一：2022年机关运行经费预算财政拨款情况统计表。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   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cs="宋体"/>
          <w:sz w:val="32"/>
          <w:szCs w:val="32"/>
          <w:lang w:val="en-US" w:eastAsia="zh-CN" w:bidi="zh-CN"/>
        </w:rPr>
      </w:pPr>
      <w:r>
        <w:rPr>
          <w:rFonts w:hint="eastAsia" w:cs="宋体"/>
          <w:sz w:val="32"/>
          <w:szCs w:val="32"/>
          <w:lang w:val="en-US" w:eastAsia="zh-CN" w:bidi="zh-CN"/>
        </w:rPr>
        <w:t xml:space="preserve">          附件：1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560" w:firstLineChars="800"/>
        <w:jc w:val="left"/>
        <w:rPr>
          <w:rFonts w:hint="eastAsia" w:cs="宋体"/>
          <w:sz w:val="32"/>
          <w:szCs w:val="32"/>
          <w:lang w:val="en-US" w:eastAsia="zh-CN" w:bidi="zh-CN"/>
        </w:rPr>
      </w:pPr>
      <w:r>
        <w:rPr>
          <w:rFonts w:hint="eastAsia" w:cs="宋体"/>
          <w:sz w:val="32"/>
          <w:szCs w:val="32"/>
          <w:lang w:val="en-US" w:eastAsia="zh-CN" w:bidi="zh-CN"/>
        </w:rPr>
        <w:t xml:space="preserve">         </w:t>
      </w:r>
      <w:bookmarkStart w:id="21" w:name="_GoBack"/>
      <w:bookmarkEnd w:id="2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200" w:firstLineChars="1000"/>
        <w:jc w:val="left"/>
        <w:rPr>
          <w:rFonts w:hint="eastAsia" w:cs="宋体"/>
          <w:sz w:val="32"/>
          <w:szCs w:val="32"/>
          <w:lang w:val="en-US" w:eastAsia="zh-CN" w:bidi="zh-CN"/>
        </w:rPr>
      </w:pPr>
      <w:r>
        <w:rPr>
          <w:rFonts w:hint="eastAsia" w:cs="宋体"/>
          <w:sz w:val="32"/>
          <w:szCs w:val="32"/>
          <w:lang w:val="en-US" w:eastAsia="zh-CN" w:bidi="zh-CN"/>
        </w:rPr>
        <w:object>
          <v:shape id="_x0000_i1025" o:spt="75" alt="" type="#_x0000_t75" style="height:196.65pt;width:223.8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xcel.Sheet.8" ShapeID="_x0000_i1025" DrawAspect="Icon" ObjectID="_1468075725" r:id="rId23">
            <o:LockedField>false</o:LockedField>
          </o:OLEObject>
        </w:object>
      </w:r>
    </w:p>
    <w:p>
      <w:pPr>
        <w:spacing w:after="0"/>
        <w:rPr>
          <w:rFonts w:hint="eastAsia" w:ascii="Times New Roman" w:eastAsia="宋体"/>
          <w:sz w:val="17"/>
          <w:lang w:eastAsia="zh-CN"/>
        </w:rPr>
        <w:sectPr>
          <w:headerReference r:id="rId7" w:type="default"/>
          <w:footerReference r:id="rId8" w:type="default"/>
          <w:pgSz w:w="11900" w:h="16840"/>
          <w:pgMar w:top="1600" w:right="20" w:bottom="1580" w:left="260" w:header="0" w:footer="1395" w:gutter="0"/>
          <w:pgNumType w:fmt="decimal"/>
          <w:cols w:space="720" w:num="1"/>
        </w:sectPr>
      </w:pPr>
      <w:r>
        <w:rPr>
          <w:sz w:val="17"/>
        </w:rPr>
        <w:pict>
          <v:shape id="_x0000_s1067" o:spid="_x0000_s1067" o:spt="202" type="#_x0000_t202" style="position:absolute;left:0pt;margin-left:90.7pt;margin-top:255.75pt;height:231.15pt;width:311.35pt;z-index:251667456;mso-width-relative:page;mso-height-relative:page;" filled="f" stroked="f" coordsize="21600,21600" o:gfxdata="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Kck/92wAAAA0BAAAPAAAAAAAA&#10;AAEAIAAAACIAAABkcnMvZG93bnJldi54bWxQSwECFAAUAAAACACHTuJA3oOvdtYBAACMAwAADgAA&#10;AAAAAAABACAAAAAqAQAAZHJzL2Uyb0RvYy54bWxQSwUGAAAAAAYABgBZAQAAcgUAAAAA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第三部分</w:t>
                  </w:r>
                </w:p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部门预算情况说明</w:t>
                  </w:r>
                </w:p>
              </w:txbxContent>
            </v:textbox>
          </v:shape>
        </w:pict>
      </w:r>
      <w:r>
        <w:rPr>
          <w:rFonts w:hint="eastAsia" w:ascii="Times New Roman" w:eastAsia="宋体"/>
          <w:sz w:val="17"/>
          <w:lang w:eastAsia="zh-CN"/>
        </w:rPr>
        <w:drawing>
          <wp:inline distT="0" distB="0" distL="114300" distR="114300">
            <wp:extent cx="6539865" cy="7971155"/>
            <wp:effectExtent l="0" t="0" r="635" b="444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"/>
        <w:rPr>
          <w:rFonts w:ascii="Times New Roman"/>
          <w:sz w:val="17"/>
        </w:rPr>
      </w:pPr>
    </w:p>
    <w:p>
      <w:pPr>
        <w:pStyle w:val="6"/>
        <w:spacing w:before="10"/>
        <w:rPr>
          <w:rFonts w:ascii="Times New Roman"/>
          <w:sz w:val="14"/>
        </w:rPr>
      </w:pPr>
    </w:p>
    <w:p>
      <w:pPr>
        <w:spacing w:before="24"/>
        <w:ind w:left="1420" w:right="0" w:firstLine="0"/>
        <w:jc w:val="left"/>
        <w:rPr>
          <w:rFonts w:hint="eastAsia" w:ascii="Meiryo UI" w:eastAsia="Meiryo UI"/>
          <w:sz w:val="36"/>
        </w:rPr>
      </w:pPr>
      <w:bookmarkStart w:id="2" w:name="（一）预算收支情况"/>
      <w:bookmarkEnd w:id="2"/>
      <w:bookmarkStart w:id="3" w:name="⼀、2019 年度部门预算收⽀情况"/>
      <w:bookmarkEnd w:id="3"/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⼀、</w:t>
      </w:r>
      <w:r>
        <w:rPr>
          <w:rFonts w:hint="eastAsia" w:ascii="黑体" w:hAnsi="黑体" w:eastAsia="黑体" w:cs="黑体"/>
          <w:w w:val="105"/>
          <w:sz w:val="32"/>
          <w:szCs w:val="32"/>
          <w:lang w:val="en-US" w:eastAsia="zh-CN"/>
        </w:rPr>
        <w:t>2022</w:t>
      </w:r>
      <w:r>
        <w:rPr>
          <w:rFonts w:hint="eastAsia" w:ascii="黑体" w:hAnsi="黑体" w:eastAsia="黑体" w:cs="黑体"/>
          <w:w w:val="105"/>
          <w:sz w:val="32"/>
          <w:szCs w:val="32"/>
        </w:rPr>
        <w:t>年度部门预算收⽀情况</w:t>
      </w:r>
    </w:p>
    <w:p>
      <w:pPr>
        <w:pStyle w:val="5"/>
        <w:spacing w:before="38"/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（一）预算收支情况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大同市能源局2022年预算收入1379.72万元，比2021年减少92.83万元,减少的主要原因为财政压减预算导致。</w:t>
      </w:r>
    </w:p>
    <w:p>
      <w:pPr>
        <w:spacing w:after="0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</w:p>
    <w:p>
      <w:pPr>
        <w:pStyle w:val="5"/>
        <w:spacing w:before="55"/>
        <w:ind w:left="0" w:leftChars="0" w:firstLine="1920" w:firstLineChars="600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（二）一般公共预算支出情况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default" w:ascii="宋体" w:hAnsi="宋体" w:eastAsia="宋体" w:cs="宋体"/>
          <w:sz w:val="32"/>
          <w:szCs w:val="32"/>
          <w:lang w:val="en-US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大同市能源局2022年一般公共预算支出1379.72万元，比2021年减少92.83万元。减少的主要原因为财政压减预算导致。</w:t>
      </w:r>
    </w:p>
    <w:p>
      <w:pPr>
        <w:spacing w:after="0"/>
        <w:rPr>
          <w:sz w:val="10"/>
        </w:rPr>
      </w:pPr>
    </w:p>
    <w:p>
      <w:pPr>
        <w:pStyle w:val="5"/>
        <w:spacing w:before="30"/>
        <w:ind w:firstLine="640" w:firstLineChars="200"/>
        <w:rPr>
          <w:rFonts w:hint="eastAsia" w:eastAsia="宋体"/>
          <w:lang w:eastAsia="zh-CN"/>
        </w:rPr>
      </w:pPr>
      <w:r>
        <w:t>一般公共预算当年拨款情况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1．2022年基本支出915.22万元，基本支出系按现有人员工资标准和公用经费定额标准核定，增加的主要原因是人员工资及社保缴费、福利费增加。其中：人员经费 819.59万元，主要包括基本工资、津贴补贴、奖金、绩效工资、机关事业单位基本养老保险缴费、城镇职工基本医疗保险缴费、职业年金缴费、其他社会保障缴费、住房公积金、离休费、退休费、生活补助、奖励金；公用经费95.62万元，主要包括办公费、印刷费、水电费、邮电费、取暖费、物业管理费、差旅费、维修（护）费、会议费、培训费、公务接待费、劳务费、工会经费、福利费、公务用车运行维护费、其他交通费用、其他商品和服务支出、办公设备购置。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/>
          <w:sz w:val="32"/>
          <w:szCs w:val="32"/>
          <w:lang w:eastAsia="zh-CN"/>
        </w:rPr>
      </w:pPr>
      <w:r>
        <w:rPr>
          <w:sz w:val="32"/>
          <w:szCs w:val="32"/>
        </w:rPr>
        <w:t>2．</w:t>
      </w: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年项目支出</w:t>
      </w:r>
      <w:r>
        <w:rPr>
          <w:rFonts w:hint="eastAsia"/>
          <w:sz w:val="32"/>
          <w:szCs w:val="32"/>
          <w:lang w:val="en-US" w:eastAsia="zh-CN"/>
        </w:rPr>
        <w:t>464.51</w:t>
      </w:r>
      <w:r>
        <w:rPr>
          <w:sz w:val="32"/>
          <w:szCs w:val="32"/>
        </w:rPr>
        <w:t>万元，主要用于煤矿</w:t>
      </w:r>
      <w:r>
        <w:rPr>
          <w:rFonts w:hint="eastAsia"/>
          <w:sz w:val="32"/>
          <w:szCs w:val="32"/>
          <w:lang w:eastAsia="zh-CN"/>
        </w:rPr>
        <w:t>电力油气管道</w:t>
      </w:r>
      <w:r>
        <w:rPr>
          <w:sz w:val="32"/>
          <w:szCs w:val="32"/>
        </w:rPr>
        <w:t>安全监管差旅费</w:t>
      </w:r>
      <w:r>
        <w:rPr>
          <w:rFonts w:hint="eastAsia"/>
          <w:sz w:val="32"/>
          <w:szCs w:val="32"/>
          <w:lang w:eastAsia="zh-CN"/>
        </w:rPr>
        <w:t>和</w:t>
      </w:r>
      <w:r>
        <w:rPr>
          <w:sz w:val="32"/>
          <w:szCs w:val="32"/>
        </w:rPr>
        <w:t>聘请专家</w:t>
      </w:r>
      <w:r>
        <w:rPr>
          <w:rFonts w:hint="eastAsia"/>
          <w:sz w:val="32"/>
          <w:szCs w:val="32"/>
          <w:lang w:eastAsia="zh-CN"/>
        </w:rPr>
        <w:t>费</w:t>
      </w:r>
      <w:r>
        <w:rPr>
          <w:sz w:val="32"/>
          <w:szCs w:val="32"/>
        </w:rPr>
        <w:t>、</w:t>
      </w:r>
      <w:r>
        <w:rPr>
          <w:w w:val="95"/>
          <w:sz w:val="32"/>
          <w:szCs w:val="32"/>
        </w:rPr>
        <w:t>驻村帮扶工作人员经费、煤田地质勘探队人员事业经</w:t>
      </w:r>
      <w:r>
        <w:rPr>
          <w:sz w:val="32"/>
          <w:szCs w:val="32"/>
        </w:rPr>
        <w:t>费等支出。项目支出</w:t>
      </w:r>
      <w:r>
        <w:rPr>
          <w:rFonts w:hint="eastAsia"/>
          <w:sz w:val="32"/>
          <w:szCs w:val="32"/>
          <w:lang w:eastAsia="zh-CN"/>
        </w:rPr>
        <w:t>减少</w:t>
      </w:r>
      <w:r>
        <w:rPr>
          <w:sz w:val="32"/>
          <w:szCs w:val="32"/>
        </w:rPr>
        <w:t>的主要原因是</w:t>
      </w:r>
      <w:r>
        <w:rPr>
          <w:rFonts w:hint="eastAsia"/>
          <w:sz w:val="32"/>
          <w:szCs w:val="32"/>
          <w:lang w:eastAsia="zh-CN"/>
        </w:rPr>
        <w:t>财政</w:t>
      </w:r>
      <w:r>
        <w:rPr>
          <w:rFonts w:hint="eastAsia"/>
          <w:sz w:val="32"/>
          <w:szCs w:val="32"/>
          <w:lang w:val="en-US" w:eastAsia="zh-CN"/>
        </w:rPr>
        <w:t>压</w:t>
      </w:r>
      <w:r>
        <w:rPr>
          <w:rFonts w:hint="eastAsia"/>
          <w:sz w:val="32"/>
          <w:szCs w:val="32"/>
          <w:lang w:eastAsia="zh-CN"/>
        </w:rPr>
        <w:t>减预算。</w:t>
      </w:r>
    </w:p>
    <w:p>
      <w:pPr>
        <w:pStyle w:val="5"/>
        <w:spacing w:before="58"/>
        <w:ind w:firstLine="640" w:firstLineChars="200"/>
        <w:rPr>
          <w:sz w:val="32"/>
          <w:szCs w:val="32"/>
        </w:rPr>
      </w:pPr>
      <w:r>
        <w:rPr>
          <w:sz w:val="32"/>
          <w:szCs w:val="32"/>
        </w:rPr>
        <w:t>（三）政府性基金预算情况</w:t>
      </w:r>
    </w:p>
    <w:p>
      <w:pPr>
        <w:pStyle w:val="6"/>
        <w:spacing w:before="187"/>
        <w:ind w:left="2024"/>
        <w:rPr>
          <w:sz w:val="32"/>
          <w:szCs w:val="32"/>
        </w:rPr>
      </w:pPr>
      <w:r>
        <w:rPr>
          <w:sz w:val="32"/>
          <w:szCs w:val="32"/>
        </w:rPr>
        <w:t>大同市能源局</w:t>
      </w: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年没有使用政府性基金预算拨款安排的支出。</w:t>
      </w: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bookmarkStart w:id="4" w:name="⼆、“三公”经费情况"/>
      <w:bookmarkEnd w:id="4"/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⼆、“三公”经费情况</w:t>
      </w:r>
    </w:p>
    <w:p>
      <w:pPr>
        <w:pStyle w:val="6"/>
        <w:spacing w:before="119" w:line="276" w:lineRule="auto"/>
        <w:ind w:left="1420" w:right="1791" w:firstLine="604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年一般公共预算安排的“三公”经费预算</w:t>
      </w:r>
      <w:r>
        <w:rPr>
          <w:rFonts w:hint="eastAsia"/>
          <w:sz w:val="32"/>
          <w:szCs w:val="32"/>
          <w:lang w:val="en-US" w:eastAsia="zh-CN"/>
        </w:rPr>
        <w:t>5.1</w:t>
      </w:r>
      <w:r>
        <w:rPr>
          <w:sz w:val="32"/>
          <w:szCs w:val="32"/>
        </w:rPr>
        <w:t>万元，</w:t>
      </w:r>
      <w:r>
        <w:rPr>
          <w:rFonts w:hint="eastAsia"/>
          <w:sz w:val="32"/>
          <w:szCs w:val="32"/>
          <w:lang w:eastAsia="zh-CN"/>
        </w:rPr>
        <w:t>比</w:t>
      </w:r>
      <w:r>
        <w:rPr>
          <w:sz w:val="32"/>
          <w:szCs w:val="32"/>
        </w:rPr>
        <w:t>上年预算</w:t>
      </w:r>
      <w:r>
        <w:rPr>
          <w:rFonts w:hint="eastAsia"/>
          <w:sz w:val="32"/>
          <w:szCs w:val="32"/>
          <w:lang w:eastAsia="zh-CN"/>
        </w:rPr>
        <w:t>减少</w:t>
      </w:r>
      <w:r>
        <w:rPr>
          <w:rFonts w:hint="eastAsia"/>
          <w:sz w:val="32"/>
          <w:szCs w:val="32"/>
          <w:lang w:val="en-US" w:eastAsia="zh-CN"/>
        </w:rPr>
        <w:t>1.6万元</w:t>
      </w:r>
      <w:r>
        <w:rPr>
          <w:rFonts w:hint="eastAsia"/>
          <w:sz w:val="32"/>
          <w:szCs w:val="32"/>
          <w:lang w:eastAsia="zh-CN"/>
        </w:rPr>
        <w:t>。</w:t>
      </w:r>
      <w:r>
        <w:rPr>
          <w:sz w:val="32"/>
          <w:szCs w:val="32"/>
        </w:rPr>
        <w:t>其中：因公出国（境）费用</w:t>
      </w:r>
      <w:r>
        <w:rPr>
          <w:rFonts w:hint="eastAsia"/>
          <w:sz w:val="32"/>
          <w:szCs w:val="32"/>
          <w:lang w:val="en-US" w:eastAsia="zh-CN"/>
        </w:rPr>
        <w:t>0</w:t>
      </w:r>
      <w:r>
        <w:rPr>
          <w:sz w:val="32"/>
          <w:szCs w:val="32"/>
        </w:rPr>
        <w:t>万元，和上年预算相同；公务接待费0万元，和上年预算相同；公务用车运行维护费</w:t>
      </w:r>
      <w:r>
        <w:rPr>
          <w:rFonts w:hint="eastAsia"/>
          <w:sz w:val="32"/>
          <w:szCs w:val="32"/>
          <w:lang w:val="en-US" w:eastAsia="zh-CN"/>
        </w:rPr>
        <w:t>5.1</w:t>
      </w:r>
      <w:r>
        <w:rPr>
          <w:sz w:val="32"/>
          <w:szCs w:val="32"/>
        </w:rPr>
        <w:t>万元。公务用车购置费0</w:t>
      </w:r>
      <w:r>
        <w:rPr>
          <w:rFonts w:hint="eastAsia"/>
          <w:sz w:val="32"/>
          <w:szCs w:val="32"/>
          <w:lang w:eastAsia="zh-CN"/>
        </w:rPr>
        <w:t>万</w:t>
      </w:r>
      <w:r>
        <w:rPr>
          <w:sz w:val="32"/>
          <w:szCs w:val="32"/>
        </w:rPr>
        <w:t>元，和上年相同。</w:t>
      </w: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三、</w:t>
      </w:r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机关运⾏经费情况</w:t>
      </w:r>
    </w:p>
    <w:p>
      <w:pPr>
        <w:pStyle w:val="6"/>
        <w:spacing w:before="64" w:line="285" w:lineRule="auto"/>
        <w:ind w:left="1420" w:right="1797" w:firstLine="604"/>
        <w:jc w:val="both"/>
        <w:rPr>
          <w:rFonts w:hint="eastAsia" w:eastAsia="宋体"/>
          <w:sz w:val="32"/>
          <w:szCs w:val="32"/>
          <w:lang w:eastAsia="zh-CN"/>
        </w:rPr>
      </w:pPr>
      <w:r>
        <w:rPr>
          <w:sz w:val="32"/>
          <w:szCs w:val="32"/>
        </w:rPr>
        <w:t>大同市能源局</w:t>
      </w: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年局本级机关运行经费财政拨款预算</w:t>
      </w:r>
      <w:r>
        <w:rPr>
          <w:rFonts w:hint="eastAsia"/>
          <w:sz w:val="32"/>
          <w:szCs w:val="32"/>
          <w:lang w:val="en-US" w:eastAsia="zh-CN"/>
        </w:rPr>
        <w:t>79.09</w:t>
      </w:r>
      <w:r>
        <w:rPr>
          <w:sz w:val="32"/>
          <w:szCs w:val="32"/>
        </w:rPr>
        <w:t>万</w:t>
      </w:r>
      <w:r>
        <w:rPr>
          <w:rFonts w:hint="eastAsia"/>
          <w:sz w:val="32"/>
          <w:szCs w:val="32"/>
          <w:lang w:eastAsia="zh-CN"/>
        </w:rPr>
        <w:t>元。</w:t>
      </w: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</w:pPr>
      <w:bookmarkStart w:id="5" w:name="_TOC_250003"/>
      <w:bookmarkEnd w:id="5"/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四、政府采购情况</w:t>
      </w:r>
    </w:p>
    <w:p>
      <w:pPr>
        <w:pStyle w:val="6"/>
        <w:spacing w:before="123" w:line="244" w:lineRule="auto"/>
        <w:ind w:left="1420" w:right="1428" w:firstLine="604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年大同市能源局</w:t>
      </w:r>
      <w:r>
        <w:rPr>
          <w:rFonts w:hint="eastAsia"/>
          <w:sz w:val="32"/>
          <w:szCs w:val="32"/>
          <w:lang w:eastAsia="zh-CN"/>
        </w:rPr>
        <w:t>部门</w:t>
      </w:r>
      <w:r>
        <w:rPr>
          <w:sz w:val="32"/>
          <w:szCs w:val="32"/>
        </w:rPr>
        <w:t>政府采购预算总额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sz w:val="32"/>
          <w:szCs w:val="32"/>
        </w:rPr>
        <w:t>万元，其中：政府采购货物预算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sz w:val="32"/>
          <w:szCs w:val="32"/>
        </w:rPr>
        <w:t>万元，政府采购服务预算</w:t>
      </w:r>
      <w:r>
        <w:rPr>
          <w:rFonts w:hint="eastAsia"/>
          <w:sz w:val="32"/>
          <w:szCs w:val="32"/>
          <w:lang w:val="en-US" w:eastAsia="zh-CN"/>
        </w:rPr>
        <w:t>0</w:t>
      </w:r>
      <w:r>
        <w:rPr>
          <w:sz w:val="32"/>
          <w:szCs w:val="32"/>
        </w:rPr>
        <w:t>万元。</w:t>
      </w: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bookmarkStart w:id="6" w:name="_TOC_250002"/>
      <w:bookmarkEnd w:id="6"/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五、绩效管理情况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left="1419" w:leftChars="0" w:right="0" w:rightChars="0" w:firstLine="708" w:firstLineChars="200"/>
        <w:jc w:val="left"/>
        <w:rPr>
          <w:sz w:val="32"/>
          <w:szCs w:val="32"/>
        </w:rPr>
      </w:pPr>
      <w:bookmarkStart w:id="7" w:name="1.绩效管理情况"/>
      <w:bookmarkEnd w:id="7"/>
      <w:bookmarkStart w:id="8" w:name="1.绩效管理情况"/>
      <w:bookmarkEnd w:id="8"/>
      <w:r>
        <w:rPr>
          <w:rFonts w:hint="eastAsia"/>
          <w:spacing w:val="17"/>
          <w:sz w:val="32"/>
          <w:szCs w:val="32"/>
          <w:lang w:val="en-US" w:eastAsia="zh-CN"/>
        </w:rPr>
        <w:t>1.</w:t>
      </w:r>
      <w:r>
        <w:rPr>
          <w:spacing w:val="17"/>
          <w:sz w:val="32"/>
          <w:szCs w:val="32"/>
        </w:rPr>
        <w:t>绩效管理情况</w:t>
      </w:r>
    </w:p>
    <w:p>
      <w:pPr>
        <w:pStyle w:val="6"/>
        <w:tabs>
          <w:tab w:val="left" w:pos="9051"/>
        </w:tabs>
        <w:spacing w:before="112" w:line="288" w:lineRule="auto"/>
        <w:ind w:left="1420" w:right="1797" w:firstLine="604"/>
        <w:rPr>
          <w:sz w:val="32"/>
          <w:szCs w:val="32"/>
        </w:rPr>
      </w:pPr>
      <w:r>
        <w:rPr>
          <w:rFonts w:hint="eastAsia"/>
          <w:spacing w:val="6"/>
          <w:sz w:val="32"/>
          <w:szCs w:val="32"/>
          <w:lang w:val="en-US" w:eastAsia="zh-CN"/>
        </w:rPr>
        <w:t>2022</w:t>
      </w:r>
      <w:r>
        <w:rPr>
          <w:spacing w:val="38"/>
          <w:sz w:val="32"/>
          <w:szCs w:val="32"/>
        </w:rPr>
        <w:t>年省大同市能源局实施绩效目标管理的项</w:t>
      </w:r>
      <w:r>
        <w:rPr>
          <w:sz w:val="32"/>
          <w:szCs w:val="32"/>
        </w:rPr>
        <w:t>目</w:t>
      </w:r>
      <w:r>
        <w:rPr>
          <w:rFonts w:hint="eastAsia"/>
          <w:sz w:val="32"/>
          <w:szCs w:val="32"/>
          <w:lang w:val="en-US" w:eastAsia="zh-CN"/>
        </w:rPr>
        <w:t>18</w:t>
      </w:r>
      <w:r>
        <w:rPr>
          <w:spacing w:val="-111"/>
          <w:sz w:val="32"/>
          <w:szCs w:val="32"/>
        </w:rPr>
        <w:t xml:space="preserve"> </w:t>
      </w:r>
      <w:r>
        <w:rPr>
          <w:spacing w:val="38"/>
          <w:sz w:val="32"/>
          <w:szCs w:val="32"/>
        </w:rPr>
        <w:t>个</w:t>
      </w:r>
      <w:r>
        <w:rPr>
          <w:rFonts w:hint="eastAsia"/>
          <w:spacing w:val="38"/>
          <w:sz w:val="32"/>
          <w:szCs w:val="32"/>
          <w:lang w:val="en-US" w:eastAsia="zh-CN"/>
        </w:rPr>
        <w:t>,只</w:t>
      </w:r>
      <w:r>
        <w:rPr>
          <w:spacing w:val="21"/>
          <w:sz w:val="32"/>
          <w:szCs w:val="32"/>
        </w:rPr>
        <w:t>涉</w:t>
      </w:r>
      <w:r>
        <w:rPr>
          <w:spacing w:val="23"/>
          <w:sz w:val="32"/>
          <w:szCs w:val="32"/>
        </w:rPr>
        <w:t>及</w:t>
      </w:r>
      <w:r>
        <w:rPr>
          <w:spacing w:val="21"/>
          <w:sz w:val="32"/>
          <w:szCs w:val="32"/>
        </w:rPr>
        <w:t>一</w:t>
      </w:r>
      <w:r>
        <w:rPr>
          <w:spacing w:val="23"/>
          <w:sz w:val="32"/>
          <w:szCs w:val="32"/>
        </w:rPr>
        <w:t>般</w:t>
      </w:r>
      <w:r>
        <w:rPr>
          <w:spacing w:val="21"/>
          <w:sz w:val="32"/>
          <w:szCs w:val="32"/>
        </w:rPr>
        <w:t>公</w:t>
      </w:r>
      <w:r>
        <w:rPr>
          <w:spacing w:val="23"/>
          <w:sz w:val="32"/>
          <w:szCs w:val="32"/>
        </w:rPr>
        <w:t>共</w:t>
      </w:r>
      <w:r>
        <w:rPr>
          <w:spacing w:val="21"/>
          <w:sz w:val="32"/>
          <w:szCs w:val="32"/>
        </w:rPr>
        <w:t>预</w:t>
      </w:r>
      <w:r>
        <w:rPr>
          <w:spacing w:val="23"/>
          <w:sz w:val="32"/>
          <w:szCs w:val="32"/>
        </w:rPr>
        <w:t>算，</w:t>
      </w:r>
      <w:r>
        <w:rPr>
          <w:spacing w:val="21"/>
          <w:sz w:val="32"/>
          <w:szCs w:val="32"/>
        </w:rPr>
        <w:t>当</w:t>
      </w:r>
      <w:r>
        <w:rPr>
          <w:spacing w:val="23"/>
          <w:sz w:val="32"/>
          <w:szCs w:val="32"/>
        </w:rPr>
        <w:t>年</w:t>
      </w:r>
      <w:r>
        <w:rPr>
          <w:spacing w:val="21"/>
          <w:sz w:val="32"/>
          <w:szCs w:val="32"/>
        </w:rPr>
        <w:t>拨</w:t>
      </w:r>
      <w:r>
        <w:rPr>
          <w:sz w:val="32"/>
          <w:szCs w:val="32"/>
        </w:rPr>
        <w:t>款</w:t>
      </w:r>
      <w:r>
        <w:rPr>
          <w:rFonts w:hint="eastAsia"/>
          <w:spacing w:val="19"/>
          <w:sz w:val="32"/>
          <w:szCs w:val="32"/>
          <w:lang w:val="en-US" w:eastAsia="zh-CN"/>
        </w:rPr>
        <w:t>464.51</w:t>
      </w:r>
      <w:r>
        <w:rPr>
          <w:spacing w:val="21"/>
          <w:sz w:val="32"/>
          <w:szCs w:val="32"/>
        </w:rPr>
        <w:t>万</w:t>
      </w:r>
      <w:r>
        <w:rPr>
          <w:spacing w:val="23"/>
          <w:sz w:val="32"/>
          <w:szCs w:val="32"/>
        </w:rPr>
        <w:t>元</w:t>
      </w:r>
      <w:r>
        <w:rPr>
          <w:sz w:val="32"/>
          <w:szCs w:val="32"/>
        </w:rPr>
        <w:t>。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02" w:after="0" w:line="240" w:lineRule="auto"/>
        <w:ind w:left="1419" w:leftChars="0" w:right="0" w:rightChars="0" w:firstLine="708" w:firstLineChars="200"/>
        <w:jc w:val="left"/>
      </w:pPr>
      <w:bookmarkStart w:id="9" w:name="2.绩效目标情况"/>
      <w:bookmarkEnd w:id="9"/>
      <w:bookmarkStart w:id="10" w:name="2.绩效目标情况"/>
      <w:bookmarkEnd w:id="10"/>
      <w:r>
        <w:rPr>
          <w:rFonts w:hint="eastAsia"/>
          <w:spacing w:val="17"/>
          <w:lang w:val="en-US" w:eastAsia="zh-CN"/>
        </w:rPr>
        <w:t>2.</w:t>
      </w:r>
      <w:r>
        <w:rPr>
          <w:spacing w:val="17"/>
        </w:rPr>
        <w:t>绩效目标情况</w:t>
      </w:r>
    </w:p>
    <w:p>
      <w:pPr>
        <w:pStyle w:val="6"/>
        <w:spacing w:before="151"/>
        <w:ind w:left="2024"/>
        <w:jc w:val="both"/>
        <w:rPr>
          <w:sz w:val="32"/>
          <w:szCs w:val="32"/>
        </w:rPr>
      </w:pPr>
      <w:r>
        <w:rPr>
          <w:sz w:val="32"/>
          <w:szCs w:val="32"/>
        </w:rPr>
        <w:t>在实施绩效目标管理的项目中，资金较大的项目有项目</w:t>
      </w:r>
    </w:p>
    <w:p>
      <w:pPr>
        <w:pStyle w:val="6"/>
        <w:spacing w:before="151"/>
        <w:ind w:firstLine="1280" w:firstLineChars="400"/>
        <w:jc w:val="both"/>
        <w:rPr>
          <w:sz w:val="32"/>
          <w:szCs w:val="32"/>
        </w:rPr>
      </w:pPr>
      <w:r>
        <w:rPr>
          <w:sz w:val="32"/>
          <w:szCs w:val="32"/>
        </w:rPr>
        <w:t>名称为煤田地质勘探队人员事业经费，用途为保障大同市煤田</w:t>
      </w:r>
    </w:p>
    <w:p>
      <w:pPr>
        <w:pStyle w:val="6"/>
        <w:spacing w:before="151"/>
        <w:ind w:firstLine="1280" w:firstLineChars="400"/>
        <w:jc w:val="both"/>
        <w:rPr>
          <w:sz w:val="32"/>
          <w:szCs w:val="32"/>
        </w:rPr>
      </w:pPr>
      <w:r>
        <w:rPr>
          <w:sz w:val="32"/>
          <w:szCs w:val="32"/>
        </w:rPr>
        <w:t>地质勘探队人员70%工资、养老保险、失业保险、年金，经费。</w:t>
      </w:r>
    </w:p>
    <w:p>
      <w:pPr>
        <w:pStyle w:val="6"/>
        <w:spacing w:before="151"/>
        <w:ind w:firstLine="1280" w:firstLineChars="400"/>
        <w:jc w:val="both"/>
        <w:rPr>
          <w:sz w:val="32"/>
          <w:szCs w:val="32"/>
        </w:rPr>
      </w:pPr>
      <w:r>
        <w:rPr>
          <w:sz w:val="32"/>
          <w:szCs w:val="32"/>
        </w:rPr>
        <w:t>年度预算安排：一般公共预算财政拨款</w:t>
      </w:r>
      <w:r>
        <w:rPr>
          <w:rFonts w:hint="eastAsia"/>
          <w:sz w:val="32"/>
          <w:szCs w:val="32"/>
          <w:lang w:val="en-US" w:eastAsia="zh-CN"/>
        </w:rPr>
        <w:t>382.62</w:t>
      </w:r>
      <w:r>
        <w:rPr>
          <w:sz w:val="32"/>
          <w:szCs w:val="32"/>
        </w:rPr>
        <w:t>万元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spacing w:after="0" w:line="285" w:lineRule="auto"/>
        <w:ind w:right="0" w:rightChars="0" w:firstLine="2240" w:firstLineChars="700"/>
        <w:jc w:val="left"/>
        <w:rPr>
          <w:rFonts w:hint="eastAsia" w:cs="宋体"/>
          <w:sz w:val="32"/>
          <w:szCs w:val="32"/>
          <w:lang w:val="en-US" w:eastAsia="zh-CN" w:bidi="zh-CN"/>
        </w:rPr>
      </w:pPr>
    </w:p>
    <w:p>
      <w:pPr>
        <w:numPr>
          <w:ilvl w:val="0"/>
          <w:numId w:val="0"/>
        </w:numPr>
        <w:spacing w:after="0" w:line="285" w:lineRule="auto"/>
        <w:ind w:right="0" w:rightChars="0" w:firstLine="2240" w:firstLineChars="700"/>
        <w:jc w:val="left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  <w:r>
        <w:rPr>
          <w:rFonts w:hint="eastAsia" w:cs="宋体"/>
          <w:sz w:val="32"/>
          <w:szCs w:val="32"/>
          <w:lang w:val="en-US" w:eastAsia="zh-CN" w:bidi="zh-CN"/>
        </w:rPr>
        <w:t>3.</w:t>
      </w: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项目绩效附件：</w:t>
      </w:r>
    </w:p>
    <w:p>
      <w:pPr>
        <w:numPr>
          <w:ilvl w:val="0"/>
          <w:numId w:val="0"/>
        </w:numPr>
        <w:spacing w:after="0" w:line="285" w:lineRule="auto"/>
        <w:ind w:left="2016" w:leftChars="0" w:right="0" w:rightChars="0"/>
        <w:jc w:val="left"/>
        <w:rPr>
          <w:rFonts w:hint="default" w:ascii="黑体" w:hAnsi="黑体" w:eastAsia="黑体" w:cs="黑体"/>
          <w:w w:val="105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                  </w:t>
      </w:r>
      <w:r>
        <w:rPr>
          <w:rFonts w:hint="eastAsia" w:ascii="黑体" w:hAnsi="黑体" w:eastAsia="黑体" w:cs="黑体"/>
          <w:w w:val="105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w w:val="105"/>
          <w:sz w:val="32"/>
          <w:szCs w:val="32"/>
          <w:lang w:val="en-US" w:eastAsia="zh-CN"/>
        </w:rPr>
        <w:object>
          <v:shape id="_x0000_i1026" o:spt="75" type="#_x0000_t75" style="height:128.85pt;width:206.75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xcel.Sheet.12" ShapeID="_x0000_i1026" DrawAspect="Icon" ObjectID="_1468075726" r:id="rId25">
            <o:LockedField>false</o:LockedField>
          </o:OLEObject>
        </w:object>
      </w:r>
    </w:p>
    <w:p>
      <w:pPr>
        <w:rPr>
          <w:rFonts w:hint="eastAsia" w:ascii="黑体" w:hAnsi="黑体" w:eastAsia="黑体" w:cs="黑体"/>
          <w:w w:val="105"/>
          <w:sz w:val="32"/>
          <w:szCs w:val="32"/>
        </w:rPr>
      </w:pPr>
    </w:p>
    <w:p>
      <w:pPr>
        <w:rPr>
          <w:rFonts w:hint="default" w:ascii="黑体" w:hAnsi="黑体" w:eastAsia="黑体" w:cs="黑体"/>
          <w:w w:val="105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w w:val="105"/>
          <w:sz w:val="32"/>
          <w:szCs w:val="32"/>
          <w:lang w:val="en-US" w:eastAsia="zh-CN"/>
        </w:rPr>
        <w:t xml:space="preserve">                                   </w:t>
      </w:r>
    </w:p>
    <w:p>
      <w:pPr>
        <w:rPr>
          <w:rFonts w:hint="eastAsia" w:ascii="黑体" w:hAnsi="黑体" w:eastAsia="黑体" w:cs="黑体"/>
          <w:w w:val="105"/>
          <w:sz w:val="32"/>
          <w:szCs w:val="32"/>
        </w:rPr>
      </w:pPr>
    </w:p>
    <w:p>
      <w:pPr>
        <w:rPr>
          <w:rFonts w:hint="eastAsia" w:ascii="黑体" w:hAnsi="黑体" w:eastAsia="黑体" w:cs="黑体"/>
          <w:w w:val="105"/>
          <w:sz w:val="32"/>
          <w:szCs w:val="32"/>
        </w:rPr>
      </w:pPr>
    </w:p>
    <w:p>
      <w:pPr>
        <w:rPr>
          <w:rFonts w:hint="eastAsia" w:ascii="黑体" w:hAnsi="黑体" w:eastAsia="黑体" w:cs="黑体"/>
          <w:w w:val="105"/>
          <w:sz w:val="32"/>
          <w:szCs w:val="32"/>
        </w:rPr>
      </w:pPr>
    </w:p>
    <w:p>
      <w:pPr>
        <w:rPr>
          <w:rFonts w:hint="eastAsia" w:ascii="黑体" w:hAnsi="黑体" w:eastAsia="黑体" w:cs="黑体"/>
          <w:w w:val="105"/>
          <w:sz w:val="32"/>
          <w:szCs w:val="32"/>
        </w:rPr>
      </w:pP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六、国有资产占有使用情况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left="1419" w:leftChars="0" w:right="0" w:rightChars="0" w:firstLine="708" w:firstLineChars="200"/>
        <w:jc w:val="left"/>
        <w:rPr>
          <w:spacing w:val="17"/>
          <w:sz w:val="32"/>
          <w:szCs w:val="32"/>
        </w:rPr>
      </w:pPr>
      <w:bookmarkStart w:id="11" w:name="1.车辆情况"/>
      <w:bookmarkEnd w:id="11"/>
      <w:bookmarkStart w:id="12" w:name="1.车辆情况"/>
      <w:bookmarkEnd w:id="12"/>
      <w:r>
        <w:rPr>
          <w:rFonts w:hint="eastAsia"/>
          <w:spacing w:val="17"/>
          <w:sz w:val="32"/>
          <w:szCs w:val="32"/>
          <w:lang w:val="en-US" w:eastAsia="zh-CN"/>
        </w:rPr>
        <w:t>1.</w:t>
      </w:r>
      <w:r>
        <w:rPr>
          <w:spacing w:val="17"/>
          <w:sz w:val="32"/>
          <w:szCs w:val="32"/>
        </w:rPr>
        <w:t>车</w:t>
      </w:r>
      <w:r>
        <w:rPr>
          <w:rFonts w:hint="eastAsia"/>
          <w:spacing w:val="17"/>
          <w:sz w:val="32"/>
          <w:szCs w:val="32"/>
          <w:lang w:val="zh-CN" w:eastAsia="zh-CN"/>
        </w:rPr>
        <w:t>辆情况</w:t>
      </w:r>
    </w:p>
    <w:p>
      <w:pPr>
        <w:pStyle w:val="6"/>
        <w:spacing w:before="112" w:line="285" w:lineRule="auto"/>
        <w:ind w:left="1420" w:right="1735" w:firstLine="604"/>
        <w:jc w:val="both"/>
        <w:rPr>
          <w:sz w:val="32"/>
          <w:szCs w:val="32"/>
        </w:rPr>
      </w:pPr>
      <w:r>
        <w:rPr>
          <w:rFonts w:hint="eastAsia"/>
          <w:w w:val="95"/>
          <w:sz w:val="32"/>
          <w:szCs w:val="32"/>
          <w:lang w:val="en-US" w:eastAsia="zh-CN"/>
        </w:rPr>
        <w:t>我部门</w:t>
      </w:r>
      <w:r>
        <w:rPr>
          <w:w w:val="95"/>
          <w:sz w:val="32"/>
          <w:szCs w:val="32"/>
        </w:rPr>
        <w:t>局机关核定保留机要通信车</w:t>
      </w:r>
      <w:r>
        <w:rPr>
          <w:rFonts w:hint="eastAsia"/>
          <w:w w:val="95"/>
          <w:sz w:val="32"/>
          <w:szCs w:val="32"/>
          <w:lang w:val="en-US" w:eastAsia="zh-CN"/>
        </w:rPr>
        <w:t>1</w:t>
      </w:r>
      <w:r>
        <w:rPr>
          <w:w w:val="95"/>
          <w:sz w:val="32"/>
          <w:szCs w:val="32"/>
        </w:rPr>
        <w:t>辆</w:t>
      </w:r>
      <w:r>
        <w:rPr>
          <w:rFonts w:hint="eastAsia"/>
          <w:w w:val="95"/>
          <w:sz w:val="32"/>
          <w:szCs w:val="32"/>
          <w:lang w:eastAsia="zh-CN"/>
        </w:rPr>
        <w:t>，</w:t>
      </w:r>
      <w:r>
        <w:rPr>
          <w:rFonts w:hint="eastAsia"/>
          <w:w w:val="95"/>
          <w:sz w:val="32"/>
          <w:szCs w:val="32"/>
          <w:lang w:val="en-US" w:eastAsia="zh-CN"/>
        </w:rPr>
        <w:t>已交至机关事务管理局，</w:t>
      </w:r>
      <w:r>
        <w:rPr>
          <w:rFonts w:hint="eastAsia"/>
          <w:w w:val="95"/>
          <w:sz w:val="32"/>
          <w:szCs w:val="32"/>
          <w:lang w:eastAsia="zh-CN"/>
        </w:rPr>
        <w:t>其他用车</w:t>
      </w:r>
      <w:r>
        <w:rPr>
          <w:rFonts w:hint="eastAsia"/>
          <w:w w:val="95"/>
          <w:sz w:val="32"/>
          <w:szCs w:val="32"/>
          <w:lang w:val="en-US" w:eastAsia="zh-CN"/>
        </w:rPr>
        <w:t>2辆（待处置）。</w:t>
      </w:r>
      <w:r>
        <w:rPr>
          <w:w w:val="95"/>
          <w:sz w:val="32"/>
          <w:szCs w:val="32"/>
        </w:rPr>
        <w:t>局属事业单位</w:t>
      </w:r>
      <w:r>
        <w:rPr>
          <w:rFonts w:hint="eastAsia"/>
          <w:sz w:val="32"/>
          <w:szCs w:val="32"/>
          <w:lang w:val="en-US" w:eastAsia="zh-CN"/>
        </w:rPr>
        <w:t>用车3</w:t>
      </w:r>
      <w:r>
        <w:rPr>
          <w:sz w:val="32"/>
          <w:szCs w:val="32"/>
        </w:rPr>
        <w:t>辆。</w:t>
      </w:r>
      <w:bookmarkStart w:id="13" w:name="2.房屋情况"/>
      <w:bookmarkEnd w:id="13"/>
      <w:bookmarkStart w:id="14" w:name="2.房屋情况"/>
      <w:bookmarkEnd w:id="14"/>
    </w:p>
    <w:p>
      <w:pPr>
        <w:pStyle w:val="6"/>
        <w:spacing w:before="112" w:line="285" w:lineRule="auto"/>
        <w:ind w:left="1420" w:right="1735" w:firstLine="604"/>
        <w:jc w:val="both"/>
        <w:rPr>
          <w:rFonts w:hint="eastAsia"/>
          <w:spacing w:val="17"/>
          <w:sz w:val="32"/>
          <w:szCs w:val="32"/>
          <w:lang w:val="zh-CN" w:eastAsia="zh-CN"/>
        </w:rPr>
      </w:pPr>
      <w:r>
        <w:rPr>
          <w:rFonts w:hint="eastAsia"/>
          <w:spacing w:val="17"/>
          <w:sz w:val="32"/>
          <w:szCs w:val="32"/>
          <w:lang w:val="en-US" w:eastAsia="zh-CN"/>
        </w:rPr>
        <w:t>2.</w:t>
      </w:r>
      <w:r>
        <w:rPr>
          <w:rFonts w:hint="eastAsia"/>
          <w:spacing w:val="17"/>
          <w:sz w:val="32"/>
          <w:szCs w:val="32"/>
          <w:lang w:val="zh-CN" w:eastAsia="zh-CN"/>
        </w:rPr>
        <w:t>房屋情况</w:t>
      </w:r>
    </w:p>
    <w:p>
      <w:pPr>
        <w:rPr>
          <w:rFonts w:hint="eastAsia"/>
          <w:spacing w:val="15"/>
          <w:sz w:val="32"/>
          <w:szCs w:val="32"/>
          <w:lang w:val="en-US" w:eastAsia="zh-CN"/>
        </w:rPr>
      </w:pPr>
      <w:r>
        <w:rPr>
          <w:rFonts w:hint="eastAsia"/>
          <w:spacing w:val="15"/>
          <w:sz w:val="32"/>
          <w:szCs w:val="32"/>
          <w:lang w:val="en-US" w:eastAsia="zh-CN"/>
        </w:rPr>
        <w:t xml:space="preserve">            我部门现有房屋情况为建筑面积20059.35平米，原值</w:t>
      </w:r>
    </w:p>
    <w:p>
      <w:pPr>
        <w:ind w:firstLine="1400" w:firstLineChars="400"/>
        <w:rPr>
          <w:rFonts w:hint="eastAsia"/>
          <w:spacing w:val="15"/>
          <w:sz w:val="32"/>
          <w:szCs w:val="32"/>
          <w:lang w:val="en-US" w:eastAsia="zh-CN"/>
        </w:rPr>
      </w:pPr>
      <w:r>
        <w:rPr>
          <w:rFonts w:hint="eastAsia"/>
          <w:spacing w:val="15"/>
          <w:sz w:val="32"/>
          <w:szCs w:val="32"/>
          <w:lang w:val="en-US" w:eastAsia="zh-CN"/>
        </w:rPr>
        <w:t>767.54万元。局机关现使用机关事务管理局提供文瀛湖办</w:t>
      </w:r>
    </w:p>
    <w:p>
      <w:pPr>
        <w:ind w:firstLine="1400" w:firstLineChars="400"/>
        <w:rPr>
          <w:rFonts w:hint="default"/>
          <w:spacing w:val="15"/>
          <w:sz w:val="32"/>
          <w:szCs w:val="32"/>
          <w:lang w:val="en-US"/>
        </w:rPr>
      </w:pPr>
      <w:r>
        <w:rPr>
          <w:rFonts w:hint="eastAsia"/>
          <w:spacing w:val="15"/>
          <w:sz w:val="32"/>
          <w:szCs w:val="32"/>
          <w:lang w:val="en-US" w:eastAsia="zh-CN"/>
        </w:rPr>
        <w:t>公区面积452.6平米。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right="0" w:rightChars="0" w:firstLine="2124" w:firstLineChars="600"/>
        <w:jc w:val="left"/>
        <w:rPr>
          <w:rFonts w:hint="eastAsia"/>
          <w:spacing w:val="17"/>
          <w:sz w:val="32"/>
          <w:szCs w:val="32"/>
          <w:lang w:val="zh-CN" w:eastAsia="zh-CN"/>
        </w:rPr>
      </w:pPr>
      <w:bookmarkStart w:id="15" w:name="3.其他国有资产占有使用情况"/>
      <w:bookmarkEnd w:id="15"/>
      <w:bookmarkStart w:id="16" w:name="3.其他国有资产占有使用情况"/>
      <w:bookmarkEnd w:id="16"/>
      <w:r>
        <w:rPr>
          <w:rFonts w:hint="eastAsia"/>
          <w:spacing w:val="17"/>
          <w:sz w:val="32"/>
          <w:szCs w:val="32"/>
          <w:lang w:val="en-US" w:eastAsia="zh-CN"/>
        </w:rPr>
        <w:t>3.</w:t>
      </w:r>
      <w:r>
        <w:rPr>
          <w:rFonts w:hint="eastAsia"/>
          <w:spacing w:val="17"/>
          <w:sz w:val="32"/>
          <w:szCs w:val="32"/>
          <w:lang w:val="zh-CN" w:eastAsia="zh-CN"/>
        </w:rPr>
        <w:t>其他国有资产占有使用情况</w:t>
      </w:r>
    </w:p>
    <w:p>
      <w:pPr>
        <w:pStyle w:val="6"/>
        <w:spacing w:before="110" w:line="288" w:lineRule="auto"/>
        <w:ind w:left="1420" w:right="2005" w:firstLine="576"/>
        <w:rPr>
          <w:sz w:val="32"/>
          <w:szCs w:val="32"/>
        </w:rPr>
      </w:pPr>
      <w:r>
        <w:rPr>
          <w:spacing w:val="22"/>
          <w:w w:val="95"/>
          <w:sz w:val="32"/>
          <w:szCs w:val="32"/>
        </w:rPr>
        <w:t>单价</w:t>
      </w:r>
      <w:r>
        <w:rPr>
          <w:spacing w:val="11"/>
          <w:w w:val="95"/>
          <w:sz w:val="32"/>
          <w:szCs w:val="32"/>
        </w:rPr>
        <w:t>50</w:t>
      </w:r>
      <w:r>
        <w:rPr>
          <w:spacing w:val="21"/>
          <w:w w:val="95"/>
          <w:sz w:val="32"/>
          <w:szCs w:val="32"/>
        </w:rPr>
        <w:t>万通用设备设备</w:t>
      </w:r>
      <w:r>
        <w:rPr>
          <w:rFonts w:hint="eastAsia"/>
          <w:spacing w:val="21"/>
          <w:w w:val="95"/>
          <w:sz w:val="32"/>
          <w:szCs w:val="32"/>
          <w:lang w:val="en-US" w:eastAsia="zh-CN"/>
        </w:rPr>
        <w:t>0</w:t>
      </w:r>
      <w:r>
        <w:rPr>
          <w:spacing w:val="21"/>
          <w:w w:val="95"/>
          <w:sz w:val="32"/>
          <w:szCs w:val="32"/>
        </w:rPr>
        <w:t>台</w:t>
      </w:r>
      <w:r>
        <w:rPr>
          <w:spacing w:val="23"/>
          <w:w w:val="95"/>
          <w:sz w:val="32"/>
          <w:szCs w:val="32"/>
        </w:rPr>
        <w:t>（套），</w:t>
      </w:r>
      <w:r>
        <w:rPr>
          <w:spacing w:val="21"/>
          <w:w w:val="95"/>
          <w:sz w:val="32"/>
          <w:szCs w:val="32"/>
        </w:rPr>
        <w:t>价值</w:t>
      </w:r>
      <w:r>
        <w:rPr>
          <w:rFonts w:hint="eastAsia"/>
          <w:spacing w:val="11"/>
          <w:w w:val="95"/>
          <w:sz w:val="32"/>
          <w:szCs w:val="32"/>
          <w:lang w:val="en-US" w:eastAsia="zh-CN"/>
        </w:rPr>
        <w:t>0</w:t>
      </w:r>
      <w:r>
        <w:rPr>
          <w:spacing w:val="18"/>
          <w:w w:val="95"/>
          <w:sz w:val="32"/>
          <w:szCs w:val="32"/>
        </w:rPr>
        <w:t>万元；单位价值</w:t>
      </w:r>
      <w:r>
        <w:rPr>
          <w:spacing w:val="11"/>
          <w:sz w:val="32"/>
          <w:szCs w:val="32"/>
        </w:rPr>
        <w:t>100</w:t>
      </w:r>
      <w:r>
        <w:rPr>
          <w:spacing w:val="22"/>
          <w:sz w:val="32"/>
          <w:szCs w:val="32"/>
        </w:rPr>
        <w:t>万元以上专用设备</w:t>
      </w:r>
      <w:r>
        <w:rPr>
          <w:rFonts w:hint="eastAsia"/>
          <w:spacing w:val="11"/>
          <w:sz w:val="32"/>
          <w:szCs w:val="32"/>
          <w:lang w:val="en-US" w:eastAsia="zh-CN"/>
        </w:rPr>
        <w:t>0</w:t>
      </w:r>
      <w:r>
        <w:rPr>
          <w:spacing w:val="22"/>
          <w:sz w:val="32"/>
          <w:szCs w:val="32"/>
        </w:rPr>
        <w:t>台</w:t>
      </w:r>
      <w:r>
        <w:rPr>
          <w:sz w:val="32"/>
          <w:szCs w:val="32"/>
        </w:rPr>
        <w:t>（</w:t>
      </w:r>
      <w:r>
        <w:rPr>
          <w:spacing w:val="-49"/>
          <w:sz w:val="32"/>
          <w:szCs w:val="32"/>
        </w:rPr>
        <w:t>套</w:t>
      </w:r>
      <w:r>
        <w:rPr>
          <w:rFonts w:hint="eastAsia"/>
          <w:spacing w:val="-49"/>
          <w:sz w:val="32"/>
          <w:szCs w:val="32"/>
          <w:lang w:val="en-US" w:eastAsia="zh-CN"/>
        </w:rPr>
        <w:t xml:space="preserve"> </w:t>
      </w:r>
      <w:r>
        <w:rPr>
          <w:spacing w:val="11"/>
          <w:sz w:val="32"/>
          <w:szCs w:val="32"/>
        </w:rPr>
        <w:t>）</w:t>
      </w:r>
      <w:r>
        <w:rPr>
          <w:spacing w:val="-17"/>
          <w:sz w:val="32"/>
          <w:szCs w:val="32"/>
        </w:rPr>
        <w:t>，价值</w:t>
      </w:r>
      <w:r>
        <w:rPr>
          <w:rFonts w:hint="eastAsia"/>
          <w:spacing w:val="11"/>
          <w:sz w:val="32"/>
          <w:szCs w:val="32"/>
          <w:lang w:val="en-US" w:eastAsia="zh-CN"/>
        </w:rPr>
        <w:t>0</w:t>
      </w:r>
      <w:r>
        <w:rPr>
          <w:spacing w:val="14"/>
          <w:sz w:val="32"/>
          <w:szCs w:val="32"/>
        </w:rPr>
        <w:t>万元。</w:t>
      </w: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</w:pPr>
      <w:bookmarkStart w:id="17" w:name="_TOC_250000"/>
      <w:bookmarkEnd w:id="17"/>
      <w:r>
        <w:rPr>
          <w:rFonts w:hint="eastAsia" w:ascii="黑体" w:hAnsi="黑体" w:eastAsia="黑体" w:cs="黑体"/>
          <w:w w:val="105"/>
          <w:sz w:val="32"/>
          <w:szCs w:val="32"/>
        </w:rPr>
        <w:t>七、</w:t>
      </w:r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其他说明</w:t>
      </w:r>
    </w:p>
    <w:p>
      <w:pPr>
        <w:pStyle w:val="6"/>
        <w:spacing w:before="123" w:line="244" w:lineRule="auto"/>
        <w:ind w:right="1461" w:firstLine="2240" w:firstLineChars="700"/>
        <w:rPr>
          <w:sz w:val="32"/>
          <w:szCs w:val="32"/>
        </w:rPr>
        <w:sectPr>
          <w:headerReference r:id="rId9" w:type="default"/>
          <w:footerReference r:id="rId10" w:type="default"/>
          <w:pgSz w:w="11900" w:h="16840"/>
          <w:pgMar w:top="1100" w:right="20" w:bottom="580" w:left="260" w:header="0" w:footer="388" w:gutter="0"/>
          <w:pgNumType w:fmt="decimal" w:start="26"/>
          <w:cols w:space="720" w:num="1"/>
        </w:sectPr>
      </w:pPr>
      <w:r>
        <w:rPr>
          <w:rFonts w:hint="eastAsia"/>
          <w:sz w:val="32"/>
          <w:szCs w:val="32"/>
          <w:lang w:eastAsia="zh-CN"/>
        </w:rPr>
        <w:t>无</w:t>
      </w:r>
    </w:p>
    <w:p>
      <w:pPr>
        <w:spacing w:after="0" w:line="285" w:lineRule="auto"/>
        <w:rPr>
          <w:sz w:val="32"/>
          <w:szCs w:val="32"/>
        </w:rPr>
        <w:sectPr>
          <w:headerReference r:id="rId11" w:type="default"/>
          <w:footerReference r:id="rId12" w:type="default"/>
          <w:pgSz w:w="11900" w:h="16840"/>
          <w:pgMar w:top="1600" w:right="20" w:bottom="580" w:left="260" w:header="0" w:footer="388" w:gutter="0"/>
          <w:pgNumType w:fmt="decimal" w:start="25"/>
          <w:cols w:space="720" w:num="1"/>
        </w:sectPr>
      </w:pPr>
      <w:r>
        <w:pict>
          <v:group id="_x0000_s1071" o:spid="_x0000_s1071" o:spt="203" style="position:absolute;left:0pt;margin-left:1.55pt;margin-top:87.55pt;height:754.4pt;width:593.4pt;mso-position-horizontal-relative:page;mso-position-vertical-relative:page;z-index:-251653120;mso-width-relative:page;mso-height-relative:page;" coordorigin="31,1752" coordsize="11868,15088">
            <o:lock v:ext="edit"/>
            <v:shape id="_x0000_s1072" o:spid="_x0000_s1072" o:spt="75" type="#_x0000_t75" style="position:absolute;left:1848;top:2844;height:265;width:8237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73" o:spid="_x0000_s1073" o:spt="75" type="#_x0000_t75" style="position:absolute;left:31;top:1752;height:15088;width:11868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</v:group>
        </w:pict>
      </w:r>
    </w:p>
    <w:p>
      <w:pPr>
        <w:pStyle w:val="6"/>
        <w:spacing w:before="119" w:line="276" w:lineRule="auto"/>
        <w:ind w:right="1791"/>
        <w:jc w:val="both"/>
        <w:rPr>
          <w:rFonts w:hint="eastAsia"/>
          <w:sz w:val="32"/>
          <w:szCs w:val="32"/>
          <w:lang w:eastAsia="zh-CN"/>
        </w:rPr>
      </w:pPr>
      <w:bookmarkStart w:id="18" w:name="_TOC_250001"/>
      <w:bookmarkEnd w:id="18"/>
    </w:p>
    <w:p>
      <w:pPr>
        <w:pStyle w:val="6"/>
        <w:ind w:left="1614"/>
        <w:rPr>
          <w:sz w:val="20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12" w:lineRule="auto"/>
        <w:ind w:right="1330" w:firstLine="672" w:firstLineChars="200"/>
        <w:textAlignment w:val="auto"/>
      </w:pPr>
      <w:r>
        <w:rPr>
          <w:rFonts w:hint="eastAsia" w:ascii="黑体" w:hAnsi="黑体" w:eastAsia="黑体" w:cs="黑体"/>
          <w:w w:val="105"/>
          <w:sz w:val="32"/>
          <w:szCs w:val="32"/>
          <w:lang w:val="zh-CN" w:eastAsia="zh-CN" w:bidi="zh-CN"/>
        </w:rPr>
        <w:t>一、基本支出：</w:t>
      </w:r>
      <w:r>
        <w:rPr>
          <w:spacing w:val="20"/>
          <w:w w:val="95"/>
        </w:rPr>
        <w:t xml:space="preserve">指为保障机构正常运转、完成日常工作任务 </w:t>
      </w:r>
      <w:r>
        <w:rPr>
          <w:spacing w:val="19"/>
        </w:rPr>
        <w:t>而发生的人员支出和公用支出。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line="312" w:lineRule="auto"/>
        <w:ind w:left="1417" w:right="1330" w:firstLine="672" w:firstLineChars="200"/>
        <w:jc w:val="left"/>
        <w:textAlignment w:val="auto"/>
        <w:rPr>
          <w:sz w:val="32"/>
        </w:rPr>
      </w:pPr>
      <w:r>
        <w:rPr>
          <w:rFonts w:hint="eastAsia" w:ascii="黑体" w:hAnsi="黑体" w:eastAsia="黑体" w:cs="黑体"/>
          <w:w w:val="105"/>
          <w:sz w:val="32"/>
          <w:szCs w:val="32"/>
          <w:lang w:val="zh-CN" w:eastAsia="zh-CN" w:bidi="zh-CN"/>
        </w:rPr>
        <w:t>二、项目支出：</w:t>
      </w:r>
      <w:r>
        <w:rPr>
          <w:spacing w:val="20"/>
          <w:w w:val="95"/>
          <w:sz w:val="32"/>
        </w:rPr>
        <w:t xml:space="preserve">指在基本支出之外为完成特定行政任务和事 </w:t>
      </w:r>
      <w:r>
        <w:rPr>
          <w:spacing w:val="19"/>
          <w:sz w:val="32"/>
        </w:rPr>
        <w:t>业发 展目标所发生的支出。</w:t>
      </w:r>
    </w:p>
    <w:p>
      <w:pPr>
        <w:keepNext w:val="0"/>
        <w:keepLines w:val="0"/>
        <w:pageBreakBefore w:val="0"/>
        <w:widowControl w:val="0"/>
        <w:tabs>
          <w:tab w:val="left" w:pos="2468"/>
          <w:tab w:val="left" w:pos="4177"/>
          <w:tab w:val="left" w:pos="4861"/>
          <w:tab w:val="left" w:pos="69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line="312" w:lineRule="auto"/>
        <w:ind w:left="1417" w:right="1306" w:firstLine="672" w:firstLineChars="200"/>
        <w:jc w:val="both"/>
        <w:textAlignment w:val="auto"/>
        <w:rPr>
          <w:sz w:val="32"/>
        </w:rPr>
      </w:pPr>
      <w:r>
        <w:rPr>
          <w:rFonts w:hint="eastAsia" w:ascii="黑体" w:hAnsi="黑体" w:eastAsia="黑体" w:cs="黑体"/>
          <w:w w:val="105"/>
          <w:sz w:val="32"/>
          <w:szCs w:val="32"/>
          <w:lang w:val="zh-CN" w:eastAsia="zh-CN" w:bidi="zh-CN"/>
        </w:rPr>
        <w:t>三、“三公”经费：</w:t>
      </w:r>
      <w:r>
        <w:rPr>
          <w:spacing w:val="24"/>
          <w:sz w:val="32"/>
        </w:rPr>
        <w:t>指</w:t>
      </w:r>
      <w:r>
        <w:rPr>
          <w:spacing w:val="21"/>
          <w:sz w:val="32"/>
        </w:rPr>
        <w:t>市直</w:t>
      </w:r>
      <w:r>
        <w:rPr>
          <w:spacing w:val="24"/>
          <w:sz w:val="32"/>
        </w:rPr>
        <w:t>部</w:t>
      </w:r>
      <w:r>
        <w:rPr>
          <w:spacing w:val="21"/>
          <w:sz w:val="32"/>
        </w:rPr>
        <w:t>门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一</w:t>
      </w:r>
      <w:r>
        <w:rPr>
          <w:spacing w:val="24"/>
          <w:sz w:val="32"/>
        </w:rPr>
        <w:t>般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共</w:t>
      </w:r>
      <w:r>
        <w:rPr>
          <w:spacing w:val="21"/>
          <w:sz w:val="32"/>
        </w:rPr>
        <w:t>预</w:t>
      </w:r>
      <w:r>
        <w:rPr>
          <w:spacing w:val="24"/>
          <w:sz w:val="32"/>
        </w:rPr>
        <w:t>算</w:t>
      </w:r>
      <w:r>
        <w:rPr>
          <w:spacing w:val="21"/>
          <w:sz w:val="32"/>
        </w:rPr>
        <w:t>安</w:t>
      </w:r>
      <w:r>
        <w:rPr>
          <w:spacing w:val="24"/>
          <w:sz w:val="32"/>
        </w:rPr>
        <w:t>排</w:t>
      </w:r>
      <w:r>
        <w:rPr>
          <w:spacing w:val="21"/>
          <w:sz w:val="32"/>
        </w:rPr>
        <w:t>的</w:t>
      </w:r>
      <w:r>
        <w:rPr>
          <w:spacing w:val="24"/>
          <w:sz w:val="32"/>
        </w:rPr>
        <w:t>因</w:t>
      </w:r>
      <w:r>
        <w:rPr>
          <w:sz w:val="32"/>
        </w:rPr>
        <w:t>公</w:t>
      </w:r>
      <w:r>
        <w:rPr>
          <w:spacing w:val="21"/>
          <w:sz w:val="32"/>
        </w:rPr>
        <w:t>出</w:t>
      </w:r>
      <w:r>
        <w:rPr>
          <w:spacing w:val="24"/>
          <w:sz w:val="32"/>
        </w:rPr>
        <w:t>国</w:t>
      </w:r>
      <w:r>
        <w:rPr>
          <w:spacing w:val="21"/>
          <w:sz w:val="32"/>
        </w:rPr>
        <w:t>（</w:t>
      </w:r>
      <w:r>
        <w:rPr>
          <w:spacing w:val="24"/>
          <w:sz w:val="32"/>
        </w:rPr>
        <w:t>境</w:t>
      </w:r>
      <w:r>
        <w:rPr>
          <w:spacing w:val="21"/>
          <w:sz w:val="32"/>
        </w:rPr>
        <w:t>）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、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务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购</w:t>
      </w:r>
      <w:r>
        <w:rPr>
          <w:spacing w:val="21"/>
          <w:sz w:val="32"/>
        </w:rPr>
        <w:t>置</w:t>
      </w:r>
      <w:r>
        <w:rPr>
          <w:spacing w:val="24"/>
          <w:sz w:val="32"/>
        </w:rPr>
        <w:t>及</w:t>
      </w:r>
      <w:r>
        <w:rPr>
          <w:spacing w:val="21"/>
          <w:sz w:val="32"/>
        </w:rPr>
        <w:t>运</w:t>
      </w:r>
      <w:r>
        <w:rPr>
          <w:spacing w:val="24"/>
          <w:sz w:val="32"/>
        </w:rPr>
        <w:t>行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和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务</w:t>
      </w:r>
      <w:r>
        <w:rPr>
          <w:spacing w:val="21"/>
          <w:sz w:val="32"/>
        </w:rPr>
        <w:t>接</w:t>
      </w:r>
      <w:r>
        <w:rPr>
          <w:spacing w:val="24"/>
          <w:sz w:val="32"/>
        </w:rPr>
        <w:t>待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。</w:t>
      </w:r>
      <w:r>
        <w:rPr>
          <w:sz w:val="32"/>
        </w:rPr>
        <w:t xml:space="preserve">其 </w:t>
      </w:r>
      <w:r>
        <w:rPr>
          <w:spacing w:val="21"/>
          <w:sz w:val="32"/>
        </w:rPr>
        <w:t>中</w:t>
      </w:r>
      <w:r>
        <w:rPr>
          <w:spacing w:val="24"/>
          <w:sz w:val="32"/>
        </w:rPr>
        <w:t>，</w:t>
      </w:r>
      <w:r>
        <w:rPr>
          <w:spacing w:val="21"/>
          <w:sz w:val="32"/>
        </w:rPr>
        <w:t>因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出</w:t>
      </w:r>
      <w:r>
        <w:rPr>
          <w:spacing w:val="24"/>
          <w:sz w:val="32"/>
        </w:rPr>
        <w:t>国</w:t>
      </w:r>
      <w:r>
        <w:rPr>
          <w:spacing w:val="21"/>
          <w:sz w:val="32"/>
        </w:rPr>
        <w:t>（</w:t>
      </w:r>
      <w:r>
        <w:rPr>
          <w:spacing w:val="24"/>
          <w:sz w:val="32"/>
        </w:rPr>
        <w:t>境</w:t>
      </w:r>
      <w:r>
        <w:rPr>
          <w:sz w:val="32"/>
        </w:rPr>
        <w:t>）</w:t>
      </w:r>
      <w:r>
        <w:rPr>
          <w:spacing w:val="21"/>
          <w:w w:val="95"/>
          <w:sz w:val="32"/>
        </w:rPr>
        <w:t>费</w:t>
      </w:r>
      <w:r>
        <w:rPr>
          <w:spacing w:val="24"/>
          <w:w w:val="95"/>
          <w:sz w:val="32"/>
        </w:rPr>
        <w:t>反</w:t>
      </w:r>
      <w:r>
        <w:rPr>
          <w:spacing w:val="21"/>
          <w:w w:val="95"/>
          <w:sz w:val="32"/>
        </w:rPr>
        <w:t>映</w:t>
      </w:r>
      <w:r>
        <w:rPr>
          <w:spacing w:val="24"/>
          <w:w w:val="95"/>
          <w:sz w:val="32"/>
        </w:rPr>
        <w:t>单</w:t>
      </w:r>
      <w:r>
        <w:rPr>
          <w:spacing w:val="21"/>
          <w:w w:val="95"/>
          <w:sz w:val="32"/>
        </w:rPr>
        <w:t>位</w:t>
      </w:r>
      <w:r>
        <w:rPr>
          <w:spacing w:val="24"/>
          <w:w w:val="95"/>
          <w:sz w:val="32"/>
        </w:rPr>
        <w:t>公</w:t>
      </w:r>
      <w:r>
        <w:rPr>
          <w:spacing w:val="21"/>
          <w:w w:val="95"/>
          <w:sz w:val="32"/>
        </w:rPr>
        <w:t>务</w:t>
      </w:r>
      <w:r>
        <w:rPr>
          <w:spacing w:val="24"/>
          <w:w w:val="95"/>
          <w:sz w:val="32"/>
        </w:rPr>
        <w:t>出</w:t>
      </w:r>
      <w:r>
        <w:rPr>
          <w:spacing w:val="21"/>
          <w:w w:val="95"/>
          <w:sz w:val="32"/>
        </w:rPr>
        <w:t>国</w:t>
      </w:r>
      <w:r>
        <w:rPr>
          <w:spacing w:val="24"/>
          <w:w w:val="95"/>
          <w:sz w:val="32"/>
        </w:rPr>
        <w:t>（</w:t>
      </w:r>
      <w:r>
        <w:rPr>
          <w:spacing w:val="21"/>
          <w:w w:val="95"/>
          <w:sz w:val="32"/>
        </w:rPr>
        <w:t>境</w:t>
      </w:r>
      <w:r>
        <w:rPr>
          <w:spacing w:val="24"/>
          <w:w w:val="95"/>
          <w:sz w:val="32"/>
        </w:rPr>
        <w:t>）</w:t>
      </w:r>
      <w:r>
        <w:rPr>
          <w:spacing w:val="21"/>
          <w:w w:val="95"/>
          <w:sz w:val="32"/>
        </w:rPr>
        <w:t>的</w:t>
      </w:r>
      <w:r>
        <w:rPr>
          <w:spacing w:val="24"/>
          <w:w w:val="95"/>
          <w:sz w:val="32"/>
        </w:rPr>
        <w:t>国</w:t>
      </w:r>
      <w:r>
        <w:rPr>
          <w:spacing w:val="21"/>
          <w:w w:val="95"/>
          <w:sz w:val="32"/>
        </w:rPr>
        <w:t>际</w:t>
      </w:r>
      <w:r>
        <w:rPr>
          <w:w w:val="95"/>
          <w:sz w:val="32"/>
        </w:rPr>
        <w:t>旅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国</w:t>
      </w:r>
      <w:r>
        <w:rPr>
          <w:spacing w:val="24"/>
          <w:sz w:val="32"/>
        </w:rPr>
        <w:t>外</w:t>
      </w:r>
      <w:r>
        <w:rPr>
          <w:spacing w:val="21"/>
          <w:sz w:val="32"/>
        </w:rPr>
        <w:t>城</w:t>
      </w:r>
      <w:r>
        <w:rPr>
          <w:spacing w:val="24"/>
          <w:sz w:val="32"/>
        </w:rPr>
        <w:t>市</w:t>
      </w:r>
      <w:r>
        <w:rPr>
          <w:spacing w:val="21"/>
          <w:sz w:val="32"/>
        </w:rPr>
        <w:t>间</w:t>
      </w:r>
      <w:r>
        <w:rPr>
          <w:spacing w:val="24"/>
          <w:sz w:val="32"/>
        </w:rPr>
        <w:t>交</w:t>
      </w:r>
      <w:r>
        <w:rPr>
          <w:spacing w:val="21"/>
          <w:sz w:val="32"/>
        </w:rPr>
        <w:t>通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、</w:t>
      </w:r>
      <w:r>
        <w:rPr>
          <w:spacing w:val="24"/>
          <w:sz w:val="32"/>
        </w:rPr>
        <w:t>住</w:t>
      </w:r>
      <w:r>
        <w:rPr>
          <w:spacing w:val="21"/>
          <w:sz w:val="32"/>
        </w:rPr>
        <w:t>宿</w:t>
      </w:r>
      <w:r>
        <w:rPr>
          <w:spacing w:val="24"/>
          <w:sz w:val="32"/>
        </w:rPr>
        <w:t>费</w:t>
      </w:r>
      <w:r>
        <w:rPr>
          <w:sz w:val="32"/>
        </w:rPr>
        <w:t>、</w:t>
      </w:r>
      <w:r>
        <w:rPr>
          <w:spacing w:val="21"/>
          <w:sz w:val="32"/>
        </w:rPr>
        <w:t>伙</w:t>
      </w:r>
      <w:r>
        <w:rPr>
          <w:spacing w:val="24"/>
          <w:sz w:val="32"/>
        </w:rPr>
        <w:t>食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培</w:t>
      </w:r>
      <w:r>
        <w:rPr>
          <w:spacing w:val="24"/>
          <w:sz w:val="32"/>
        </w:rPr>
        <w:t>训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公</w:t>
      </w:r>
      <w:r>
        <w:rPr>
          <w:spacing w:val="-11"/>
          <w:sz w:val="32"/>
        </w:rPr>
        <w:t>杂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等</w:t>
      </w:r>
      <w:r>
        <w:rPr>
          <w:spacing w:val="21"/>
          <w:sz w:val="32"/>
        </w:rPr>
        <w:t>支</w:t>
      </w:r>
      <w:r>
        <w:rPr>
          <w:spacing w:val="24"/>
          <w:sz w:val="32"/>
        </w:rPr>
        <w:t>出</w:t>
      </w:r>
      <w:r>
        <w:rPr>
          <w:spacing w:val="21"/>
          <w:sz w:val="32"/>
        </w:rPr>
        <w:t>；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务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购</w:t>
      </w:r>
      <w:r>
        <w:rPr>
          <w:spacing w:val="21"/>
          <w:sz w:val="32"/>
        </w:rPr>
        <w:t>置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反</w:t>
      </w:r>
      <w:r>
        <w:rPr>
          <w:spacing w:val="24"/>
          <w:sz w:val="32"/>
        </w:rPr>
        <w:t>映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务</w:t>
      </w:r>
      <w:r>
        <w:rPr>
          <w:spacing w:val="21"/>
          <w:sz w:val="32"/>
        </w:rPr>
        <w:t>用</w:t>
      </w:r>
      <w:r>
        <w:rPr>
          <w:spacing w:val="24"/>
          <w:sz w:val="32"/>
        </w:rPr>
        <w:t>车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辆</w:t>
      </w:r>
      <w:r>
        <w:rPr>
          <w:spacing w:val="21"/>
          <w:sz w:val="32"/>
        </w:rPr>
        <w:t>购</w:t>
      </w:r>
      <w:r>
        <w:rPr>
          <w:spacing w:val="24"/>
          <w:sz w:val="32"/>
        </w:rPr>
        <w:t>置</w:t>
      </w:r>
      <w:r>
        <w:rPr>
          <w:spacing w:val="21"/>
          <w:sz w:val="32"/>
        </w:rPr>
        <w:t>支</w:t>
      </w:r>
      <w:r>
        <w:rPr>
          <w:spacing w:val="24"/>
          <w:sz w:val="32"/>
        </w:rPr>
        <w:t>出</w:t>
      </w:r>
      <w:r>
        <w:rPr>
          <w:spacing w:val="21"/>
          <w:sz w:val="32"/>
        </w:rPr>
        <w:t>（</w:t>
      </w:r>
      <w:r>
        <w:rPr>
          <w:sz w:val="32"/>
        </w:rPr>
        <w:t>含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辆</w:t>
      </w:r>
      <w:r>
        <w:rPr>
          <w:spacing w:val="21"/>
          <w:sz w:val="32"/>
        </w:rPr>
        <w:t>购</w:t>
      </w:r>
      <w:r>
        <w:rPr>
          <w:spacing w:val="24"/>
          <w:sz w:val="32"/>
        </w:rPr>
        <w:t>置</w:t>
      </w:r>
      <w:r>
        <w:rPr>
          <w:spacing w:val="21"/>
          <w:sz w:val="32"/>
        </w:rPr>
        <w:t>税</w:t>
      </w:r>
      <w:r>
        <w:rPr>
          <w:spacing w:val="22"/>
          <w:sz w:val="32"/>
        </w:rPr>
        <w:t>）；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务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运</w:t>
      </w:r>
      <w:r>
        <w:rPr>
          <w:spacing w:val="21"/>
          <w:sz w:val="32"/>
        </w:rPr>
        <w:t>行</w:t>
      </w:r>
      <w:r>
        <w:rPr>
          <w:spacing w:val="24"/>
          <w:sz w:val="32"/>
        </w:rPr>
        <w:t>维</w:t>
      </w:r>
      <w:r>
        <w:rPr>
          <w:spacing w:val="21"/>
          <w:sz w:val="32"/>
        </w:rPr>
        <w:t>护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反</w:t>
      </w:r>
      <w:r>
        <w:rPr>
          <w:spacing w:val="24"/>
          <w:sz w:val="32"/>
        </w:rPr>
        <w:t>映</w:t>
      </w:r>
      <w:r>
        <w:rPr>
          <w:spacing w:val="21"/>
          <w:sz w:val="32"/>
        </w:rPr>
        <w:t>单</w:t>
      </w:r>
      <w:r>
        <w:rPr>
          <w:spacing w:val="24"/>
          <w:sz w:val="32"/>
        </w:rPr>
        <w:t>位</w:t>
      </w:r>
      <w:r>
        <w:rPr>
          <w:spacing w:val="21"/>
          <w:sz w:val="32"/>
        </w:rPr>
        <w:t>按</w:t>
      </w:r>
      <w:r>
        <w:rPr>
          <w:spacing w:val="24"/>
          <w:sz w:val="32"/>
        </w:rPr>
        <w:t>规</w:t>
      </w:r>
      <w:r>
        <w:rPr>
          <w:spacing w:val="21"/>
          <w:sz w:val="32"/>
        </w:rPr>
        <w:t>定</w:t>
      </w:r>
      <w:r>
        <w:rPr>
          <w:spacing w:val="24"/>
          <w:sz w:val="32"/>
        </w:rPr>
        <w:t>保</w:t>
      </w:r>
      <w:r>
        <w:rPr>
          <w:spacing w:val="21"/>
          <w:sz w:val="32"/>
        </w:rPr>
        <w:t>留</w:t>
      </w:r>
      <w:r>
        <w:rPr>
          <w:sz w:val="32"/>
        </w:rPr>
        <w:t>的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务</w:t>
      </w:r>
      <w:r>
        <w:rPr>
          <w:spacing w:val="21"/>
          <w:sz w:val="32"/>
        </w:rPr>
        <w:t>用</w:t>
      </w:r>
      <w:r>
        <w:rPr>
          <w:spacing w:val="24"/>
          <w:sz w:val="32"/>
        </w:rPr>
        <w:t>车</w:t>
      </w:r>
      <w:r>
        <w:rPr>
          <w:spacing w:val="21"/>
          <w:sz w:val="32"/>
        </w:rPr>
        <w:t>燃</w:t>
      </w:r>
      <w:r>
        <w:rPr>
          <w:spacing w:val="24"/>
          <w:sz w:val="32"/>
        </w:rPr>
        <w:t>料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维</w:t>
      </w:r>
      <w:r>
        <w:rPr>
          <w:spacing w:val="24"/>
          <w:sz w:val="32"/>
        </w:rPr>
        <w:t>修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过</w:t>
      </w:r>
      <w:r>
        <w:rPr>
          <w:spacing w:val="24"/>
          <w:sz w:val="32"/>
        </w:rPr>
        <w:t>路</w:t>
      </w:r>
      <w:r>
        <w:rPr>
          <w:spacing w:val="21"/>
          <w:sz w:val="32"/>
        </w:rPr>
        <w:t>过</w:t>
      </w:r>
      <w:r>
        <w:rPr>
          <w:spacing w:val="24"/>
          <w:sz w:val="32"/>
        </w:rPr>
        <w:t>桥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保</w:t>
      </w:r>
      <w:r>
        <w:rPr>
          <w:spacing w:val="24"/>
          <w:sz w:val="32"/>
        </w:rPr>
        <w:t>险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安</w:t>
      </w:r>
      <w:r>
        <w:rPr>
          <w:spacing w:val="24"/>
          <w:sz w:val="32"/>
        </w:rPr>
        <w:t>全</w:t>
      </w:r>
      <w:r>
        <w:rPr>
          <w:spacing w:val="21"/>
          <w:sz w:val="32"/>
        </w:rPr>
        <w:t>奖</w:t>
      </w:r>
      <w:r>
        <w:rPr>
          <w:sz w:val="32"/>
        </w:rPr>
        <w:t>励</w:t>
      </w:r>
      <w:r>
        <w:rPr>
          <w:spacing w:val="21"/>
          <w:sz w:val="32"/>
        </w:rPr>
        <w:t>费</w:t>
      </w:r>
      <w:r>
        <w:rPr>
          <w:sz w:val="32"/>
        </w:rPr>
        <w:t>用</w:t>
      </w:r>
      <w:r>
        <w:rPr>
          <w:spacing w:val="21"/>
          <w:w w:val="95"/>
          <w:sz w:val="32"/>
        </w:rPr>
        <w:t>等</w:t>
      </w:r>
      <w:r>
        <w:rPr>
          <w:spacing w:val="24"/>
          <w:w w:val="95"/>
          <w:sz w:val="32"/>
        </w:rPr>
        <w:t>支</w:t>
      </w:r>
      <w:r>
        <w:rPr>
          <w:spacing w:val="21"/>
          <w:w w:val="95"/>
          <w:sz w:val="32"/>
        </w:rPr>
        <w:t>出</w:t>
      </w:r>
      <w:r>
        <w:rPr>
          <w:spacing w:val="24"/>
          <w:w w:val="95"/>
          <w:sz w:val="32"/>
        </w:rPr>
        <w:t>；</w:t>
      </w:r>
      <w:r>
        <w:rPr>
          <w:spacing w:val="21"/>
          <w:w w:val="95"/>
          <w:sz w:val="32"/>
        </w:rPr>
        <w:t>公</w:t>
      </w:r>
      <w:r>
        <w:rPr>
          <w:spacing w:val="24"/>
          <w:w w:val="95"/>
          <w:sz w:val="32"/>
        </w:rPr>
        <w:t>务</w:t>
      </w:r>
      <w:r>
        <w:rPr>
          <w:spacing w:val="21"/>
          <w:w w:val="95"/>
          <w:sz w:val="32"/>
        </w:rPr>
        <w:t>接</w:t>
      </w:r>
      <w:r>
        <w:rPr>
          <w:spacing w:val="24"/>
          <w:w w:val="95"/>
          <w:sz w:val="32"/>
        </w:rPr>
        <w:t>待</w:t>
      </w:r>
      <w:r>
        <w:rPr>
          <w:spacing w:val="21"/>
          <w:w w:val="95"/>
          <w:sz w:val="32"/>
        </w:rPr>
        <w:t>费</w:t>
      </w:r>
      <w:r>
        <w:rPr>
          <w:spacing w:val="24"/>
          <w:w w:val="95"/>
          <w:sz w:val="32"/>
        </w:rPr>
        <w:t>反</w:t>
      </w:r>
      <w:r>
        <w:rPr>
          <w:spacing w:val="21"/>
          <w:w w:val="95"/>
          <w:sz w:val="32"/>
        </w:rPr>
        <w:t>映</w:t>
      </w:r>
      <w:r>
        <w:rPr>
          <w:spacing w:val="24"/>
          <w:w w:val="95"/>
          <w:sz w:val="32"/>
        </w:rPr>
        <w:t>单</w:t>
      </w:r>
      <w:r>
        <w:rPr>
          <w:spacing w:val="21"/>
          <w:w w:val="95"/>
          <w:sz w:val="32"/>
        </w:rPr>
        <w:t>位</w:t>
      </w:r>
      <w:r>
        <w:rPr>
          <w:spacing w:val="24"/>
          <w:w w:val="95"/>
          <w:sz w:val="32"/>
        </w:rPr>
        <w:t>按</w:t>
      </w:r>
      <w:r>
        <w:rPr>
          <w:spacing w:val="21"/>
          <w:w w:val="95"/>
          <w:sz w:val="32"/>
        </w:rPr>
        <w:t>规</w:t>
      </w:r>
      <w:r>
        <w:rPr>
          <w:spacing w:val="24"/>
          <w:w w:val="95"/>
          <w:sz w:val="32"/>
        </w:rPr>
        <w:t>定</w:t>
      </w:r>
      <w:r>
        <w:rPr>
          <w:spacing w:val="21"/>
          <w:w w:val="95"/>
          <w:sz w:val="32"/>
        </w:rPr>
        <w:t>开</w:t>
      </w:r>
      <w:r>
        <w:rPr>
          <w:spacing w:val="24"/>
          <w:w w:val="95"/>
          <w:sz w:val="32"/>
        </w:rPr>
        <w:t>支</w:t>
      </w:r>
      <w:r>
        <w:rPr>
          <w:spacing w:val="21"/>
          <w:w w:val="95"/>
          <w:sz w:val="32"/>
        </w:rPr>
        <w:t>的</w:t>
      </w:r>
      <w:r>
        <w:rPr>
          <w:spacing w:val="24"/>
          <w:w w:val="95"/>
          <w:sz w:val="32"/>
        </w:rPr>
        <w:t>各</w:t>
      </w:r>
      <w:r>
        <w:rPr>
          <w:spacing w:val="21"/>
          <w:w w:val="95"/>
          <w:sz w:val="32"/>
        </w:rPr>
        <w:t>类</w:t>
      </w:r>
      <w:r>
        <w:rPr>
          <w:spacing w:val="24"/>
          <w:w w:val="95"/>
          <w:sz w:val="32"/>
        </w:rPr>
        <w:t>公</w:t>
      </w:r>
      <w:r>
        <w:rPr>
          <w:w w:val="95"/>
          <w:sz w:val="32"/>
        </w:rPr>
        <w:t xml:space="preserve">务 </w:t>
      </w:r>
      <w:r>
        <w:rPr>
          <w:spacing w:val="21"/>
          <w:sz w:val="32"/>
        </w:rPr>
        <w:t>接</w:t>
      </w:r>
      <w:r>
        <w:rPr>
          <w:spacing w:val="24"/>
          <w:sz w:val="32"/>
        </w:rPr>
        <w:t>待</w:t>
      </w:r>
      <w:r>
        <w:rPr>
          <w:spacing w:val="21"/>
          <w:sz w:val="32"/>
        </w:rPr>
        <w:t>（</w:t>
      </w:r>
      <w:r>
        <w:rPr>
          <w:spacing w:val="24"/>
          <w:sz w:val="32"/>
        </w:rPr>
        <w:t>含</w:t>
      </w:r>
      <w:r>
        <w:rPr>
          <w:spacing w:val="21"/>
          <w:sz w:val="32"/>
        </w:rPr>
        <w:t>外</w:t>
      </w:r>
      <w:r>
        <w:rPr>
          <w:spacing w:val="24"/>
          <w:sz w:val="32"/>
        </w:rPr>
        <w:t>宾</w:t>
      </w:r>
      <w:r>
        <w:rPr>
          <w:sz w:val="32"/>
        </w:rPr>
        <w:t>接</w:t>
      </w:r>
      <w:r>
        <w:rPr>
          <w:spacing w:val="21"/>
          <w:sz w:val="32"/>
        </w:rPr>
        <w:t>待</w:t>
      </w:r>
      <w:r>
        <w:rPr>
          <w:spacing w:val="24"/>
          <w:sz w:val="32"/>
        </w:rPr>
        <w:t>）</w:t>
      </w:r>
      <w:r>
        <w:rPr>
          <w:spacing w:val="21"/>
          <w:sz w:val="32"/>
        </w:rPr>
        <w:t>支</w:t>
      </w:r>
      <w:r>
        <w:rPr>
          <w:spacing w:val="24"/>
          <w:sz w:val="32"/>
        </w:rPr>
        <w:t>出</w:t>
      </w:r>
      <w:r>
        <w:rPr>
          <w:sz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5" w:line="312" w:lineRule="auto"/>
        <w:ind w:left="1417" w:right="1330" w:firstLine="672" w:firstLineChars="200"/>
        <w:jc w:val="left"/>
        <w:textAlignment w:val="auto"/>
        <w:rPr>
          <w:sz w:val="32"/>
        </w:rPr>
      </w:pPr>
      <w:r>
        <w:rPr>
          <w:rFonts w:hint="eastAsia" w:ascii="黑体" w:hAnsi="黑体" w:eastAsia="黑体" w:cs="黑体"/>
          <w:w w:val="105"/>
          <w:sz w:val="32"/>
          <w:szCs w:val="32"/>
          <w:lang w:val="zh-CN" w:eastAsia="zh-CN" w:bidi="zh-CN"/>
        </w:rPr>
        <w:t>四、机关运行经费：</w:t>
      </w:r>
      <w:r>
        <w:rPr>
          <w:spacing w:val="20"/>
          <w:w w:val="95"/>
          <w:sz w:val="32"/>
        </w:rPr>
        <w:t xml:space="preserve">指行政单位和参照公务员法管理的事业 单位使用一般公共预算安排的基本支出中的日常公用经费支 </w:t>
      </w:r>
      <w:r>
        <w:rPr>
          <w:spacing w:val="10"/>
          <w:sz w:val="32"/>
        </w:rPr>
        <w:t>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1" w:line="312" w:lineRule="auto"/>
        <w:ind w:left="1417" w:right="1330" w:firstLine="672" w:firstLineChars="200"/>
        <w:jc w:val="both"/>
        <w:textAlignment w:val="auto"/>
        <w:rPr>
          <w:rFonts w:hint="eastAsia"/>
          <w:spacing w:val="20"/>
          <w:sz w:val="32"/>
          <w:lang w:eastAsia="zh-CN"/>
        </w:rPr>
      </w:pPr>
      <w:r>
        <w:rPr>
          <w:rFonts w:hint="eastAsia" w:ascii="黑体" w:hAnsi="黑体" w:eastAsia="黑体" w:cs="黑体"/>
          <w:w w:val="105"/>
          <w:sz w:val="32"/>
          <w:szCs w:val="32"/>
          <w:lang w:val="zh-CN" w:eastAsia="zh-CN" w:bidi="zh-CN"/>
        </w:rPr>
        <w:t>五、政府购买服务：</w:t>
      </w:r>
      <w:r>
        <w:rPr>
          <w:spacing w:val="20"/>
          <w:sz w:val="32"/>
        </w:rPr>
        <w:t xml:space="preserve">根据我国现行政策规定，政府购买服 </w:t>
      </w:r>
      <w:r>
        <w:rPr>
          <w:spacing w:val="20"/>
          <w:w w:val="95"/>
          <w:sz w:val="32"/>
        </w:rPr>
        <w:t>务，是指政府按照一定的方式和程序，把属于政府职责范围且适合通过市场化方式提供的服务事项，交由符合条件的社</w:t>
      </w:r>
      <w:r>
        <w:rPr>
          <w:spacing w:val="18"/>
          <w:sz w:val="32"/>
        </w:rPr>
        <w:t>会力量和事业单位承担， 并根据服务数量和质量等向其支</w:t>
      </w:r>
      <w:r>
        <w:rPr>
          <w:spacing w:val="20"/>
          <w:w w:val="95"/>
          <w:sz w:val="32"/>
        </w:rPr>
        <w:t>付费用的行为。政府购买服务是一种契约化的公共服务提供</w:t>
      </w:r>
      <w:r>
        <w:rPr>
          <w:spacing w:val="20"/>
          <w:sz w:val="32"/>
        </w:rPr>
        <w:t>方式，具有权责清晰、结果导向、灵活高效等特点</w:t>
      </w:r>
      <w:r>
        <w:rPr>
          <w:rFonts w:hint="eastAsia"/>
          <w:spacing w:val="20"/>
          <w:sz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1" w:line="312" w:lineRule="auto"/>
        <w:ind w:left="1417" w:right="1330" w:firstLine="0"/>
        <w:jc w:val="both"/>
        <w:textAlignment w:val="auto"/>
        <w:rPr>
          <w:rFonts w:hint="eastAsia"/>
          <w:spacing w:val="20"/>
          <w:sz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71" w:line="20" w:lineRule="exact"/>
        <w:ind w:right="629"/>
        <w:jc w:val="both"/>
        <w:textAlignment w:val="auto"/>
        <w:rPr>
          <w:rFonts w:ascii="Segoe Print"/>
          <w:sz w:val="21"/>
        </w:rPr>
      </w:pPr>
      <w:bookmarkStart w:id="19" w:name="（三）政府性基金预算情况"/>
      <w:bookmarkEnd w:id="19"/>
      <w:bookmarkStart w:id="20" w:name="（二）一般公共预算支出情况"/>
      <w:bookmarkEnd w:id="20"/>
    </w:p>
    <w:sectPr>
      <w:headerReference r:id="rId13" w:type="default"/>
      <w:footerReference r:id="rId14" w:type="default"/>
      <w:pgSz w:w="11900" w:h="16840"/>
      <w:pgMar w:top="1080" w:right="20" w:bottom="0" w:left="260" w:header="0" w:footer="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eiryo UI">
    <w:altName w:val="Yu Gothic UI"/>
    <w:panose1 w:val="020B0604030504040204"/>
    <w:charset w:val="80"/>
    <w:family w:val="swiss"/>
    <w:pitch w:val="default"/>
    <w:sig w:usb0="00000000" w:usb1="00000000" w:usb2="00010012" w:usb3="00000000" w:csb0="6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9813925</wp:posOffset>
          </wp:positionV>
          <wp:extent cx="5252085" cy="12065"/>
          <wp:effectExtent l="0" t="0" r="0" b="0"/>
          <wp:wrapNone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2039" cy="11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9813925</wp:posOffset>
          </wp:positionV>
          <wp:extent cx="5252085" cy="1206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2039" cy="11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91" o:spid="_x0000_s2091" o:spt="202" type="#_x0000_t202" style="position:absolute;left:0pt;margin-left:92.1pt;margin-top:57.65pt;height:11.95pt;width:66.9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  <w:r>
      <w:pict>
        <v:shape id="_x0000_s2092" o:spid="_x0000_s2092" o:spt="202" type="#_x0000_t202" style="position:absolute;left:0pt;margin-left:467.1pt;margin-top:57.65pt;height:11.95pt;width:62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87" o:spid="_x0000_s2087" o:spt="202" type="#_x0000_t202" style="position:absolute;left:0pt;margin-left:92.1pt;margin-top:57.65pt;height:11.95pt;width:66.9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  <w:r>
      <w:pict>
        <v:shape id="_x0000_s2088" o:spid="_x0000_s2088" o:spt="202" type="#_x0000_t202" style="position:absolute;left:0pt;margin-left:467.1pt;margin-top:57.65pt;height:11.95pt;width:62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303672E"/>
    <w:rsid w:val="07F922B1"/>
    <w:rsid w:val="0CB05F7D"/>
    <w:rsid w:val="0DCB704F"/>
    <w:rsid w:val="103C46CB"/>
    <w:rsid w:val="11B4329A"/>
    <w:rsid w:val="17B77D96"/>
    <w:rsid w:val="19EF298D"/>
    <w:rsid w:val="292069BB"/>
    <w:rsid w:val="2C537BEF"/>
    <w:rsid w:val="33071AF6"/>
    <w:rsid w:val="34373FDE"/>
    <w:rsid w:val="3C1E3FC6"/>
    <w:rsid w:val="3CC82D9D"/>
    <w:rsid w:val="3CD27B3B"/>
    <w:rsid w:val="3E091570"/>
    <w:rsid w:val="40D458AB"/>
    <w:rsid w:val="414332FD"/>
    <w:rsid w:val="42B37595"/>
    <w:rsid w:val="43C920CB"/>
    <w:rsid w:val="45067381"/>
    <w:rsid w:val="461B1594"/>
    <w:rsid w:val="467B2489"/>
    <w:rsid w:val="46A12D72"/>
    <w:rsid w:val="49E15766"/>
    <w:rsid w:val="4B6D0809"/>
    <w:rsid w:val="5100091D"/>
    <w:rsid w:val="510F172E"/>
    <w:rsid w:val="557237ED"/>
    <w:rsid w:val="57DA5825"/>
    <w:rsid w:val="61D703F7"/>
    <w:rsid w:val="62F33537"/>
    <w:rsid w:val="68C90F35"/>
    <w:rsid w:val="68F67CA8"/>
    <w:rsid w:val="6FA87E8A"/>
    <w:rsid w:val="6FC4CDEE"/>
    <w:rsid w:val="714E7E00"/>
    <w:rsid w:val="732E2ECC"/>
    <w:rsid w:val="74AB6612"/>
    <w:rsid w:val="767F8D90"/>
    <w:rsid w:val="7D730C9B"/>
    <w:rsid w:val="DE7DB057"/>
    <w:rsid w:val="E57F7462"/>
    <w:rsid w:val="FF761E72"/>
    <w:rsid w:val="FFD689EF"/>
    <w:rsid w:val="FFFF54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0"/>
      <w:outlineLvl w:val="1"/>
    </w:pPr>
    <w:rPr>
      <w:rFonts w:ascii="宋体" w:hAnsi="宋体" w:eastAsia="宋体" w:cs="宋体"/>
      <w:b/>
      <w:bCs/>
      <w:sz w:val="36"/>
      <w:szCs w:val="36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5"/>
      <w:ind w:left="1420"/>
      <w:outlineLvl w:val="2"/>
    </w:pPr>
    <w:rPr>
      <w:rFonts w:ascii="宋体" w:hAnsi="宋体" w:eastAsia="宋体" w:cs="宋体"/>
      <w:sz w:val="36"/>
      <w:szCs w:val="36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54"/>
      <w:ind w:left="883"/>
      <w:outlineLvl w:val="3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5">
    <w:name w:val="heading 4"/>
    <w:basedOn w:val="1"/>
    <w:next w:val="1"/>
    <w:qFormat/>
    <w:uiPriority w:val="1"/>
    <w:pPr>
      <w:ind w:left="1420"/>
      <w:outlineLvl w:val="4"/>
    </w:pPr>
    <w:rPr>
      <w:rFonts w:ascii="宋体" w:hAnsi="宋体" w:eastAsia="宋体" w:cs="宋体"/>
      <w:sz w:val="32"/>
      <w:szCs w:val="32"/>
      <w:lang w:val="zh-CN" w:eastAsia="zh-CN" w:bidi="zh-CN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7">
    <w:name w:val="toc 3"/>
    <w:basedOn w:val="1"/>
    <w:next w:val="1"/>
    <w:qFormat/>
    <w:uiPriority w:val="1"/>
    <w:pPr>
      <w:spacing w:before="160"/>
      <w:ind w:left="1540"/>
    </w:pPr>
    <w:rPr>
      <w:rFonts w:ascii="宋体" w:hAnsi="宋体" w:eastAsia="宋体" w:cs="宋体"/>
      <w:sz w:val="27"/>
      <w:szCs w:val="27"/>
      <w:lang w:val="zh-CN" w:eastAsia="zh-CN" w:bidi="zh-CN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1"/>
    <w:pPr>
      <w:spacing w:before="35"/>
      <w:ind w:right="9"/>
      <w:jc w:val="center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11">
    <w:name w:val="toc 4"/>
    <w:basedOn w:val="1"/>
    <w:next w:val="1"/>
    <w:qFormat/>
    <w:uiPriority w:val="1"/>
    <w:pPr>
      <w:spacing w:before="30"/>
      <w:ind w:left="1780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12">
    <w:name w:val="toc 2"/>
    <w:basedOn w:val="1"/>
    <w:next w:val="1"/>
    <w:qFormat/>
    <w:uiPriority w:val="1"/>
    <w:pPr>
      <w:spacing w:before="124"/>
      <w:ind w:right="248"/>
      <w:jc w:val="center"/>
    </w:pPr>
    <w:rPr>
      <w:rFonts w:ascii="宋体" w:hAnsi="宋体" w:eastAsia="宋体" w:cs="宋体"/>
      <w:sz w:val="27"/>
      <w:szCs w:val="27"/>
      <w:lang w:val="zh-CN" w:eastAsia="zh-CN" w:bidi="zh-CN"/>
    </w:rPr>
  </w:style>
  <w:style w:type="character" w:styleId="15">
    <w:name w:val="FollowedHyperlink"/>
    <w:basedOn w:val="14"/>
    <w:qFormat/>
    <w:uiPriority w:val="0"/>
    <w:rPr>
      <w:color w:val="800080"/>
      <w:u w:val="none"/>
    </w:rPr>
  </w:style>
  <w:style w:type="character" w:styleId="16">
    <w:name w:val="Hyperlink"/>
    <w:basedOn w:val="14"/>
    <w:qFormat/>
    <w:uiPriority w:val="0"/>
    <w:rPr>
      <w:color w:val="0000FF"/>
      <w:u w:val="none"/>
    </w:rPr>
  </w:style>
  <w:style w:type="table" w:customStyle="1" w:styleId="1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1"/>
    <w:pPr>
      <w:ind w:left="1760" w:hanging="341"/>
    </w:pPr>
    <w:rPr>
      <w:rFonts w:ascii="宋体" w:hAnsi="宋体" w:eastAsia="宋体" w:cs="宋体"/>
      <w:lang w:val="zh-CN" w:eastAsia="zh-CN" w:bidi="zh-CN"/>
    </w:rPr>
  </w:style>
  <w:style w:type="paragraph" w:customStyle="1" w:styleId="19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0.jpeg"/><Relationship Id="rId26" Type="http://schemas.openxmlformats.org/officeDocument/2006/relationships/image" Target="media/image9.emf"/><Relationship Id="rId25" Type="http://schemas.openxmlformats.org/officeDocument/2006/relationships/oleObject" Target="embeddings/oleObject2.bin"/><Relationship Id="rId24" Type="http://schemas.openxmlformats.org/officeDocument/2006/relationships/image" Target="media/image8.emf"/><Relationship Id="rId23" Type="http://schemas.openxmlformats.org/officeDocument/2006/relationships/oleObject" Target="embeddings/oleObject1.bin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png"/><Relationship Id="rId17" Type="http://schemas.openxmlformats.org/officeDocument/2006/relationships/image" Target="media/image1.png"/><Relationship Id="rId16" Type="http://schemas.openxmlformats.org/officeDocument/2006/relationships/image" Target="media/image2.jpe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91"/>
    <customShpInfo spid="_x0000_s2092"/>
    <customShpInfo spid="_x0000_s2087"/>
    <customShpInfo spid="_x0000_s2088"/>
    <customShpInfo spid="_x0000_s1026" textRotate="1"/>
    <customShpInfo spid="_x0000_s1063"/>
    <customShpInfo spid="_x0000_s1064"/>
    <customShpInfo spid="_x0000_s1065"/>
    <customShpInfo spid="_x0000_s106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32"/>
    <customShpInfo spid="_x0000_s1066"/>
    <customShpInfo spid="_x0000_s1067"/>
    <customShpInfo spid="_x0000_s1072"/>
    <customShpInfo spid="_x0000_s1073"/>
    <customShpInfo spid="_x0000_s107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ScaleCrop>false</ScaleCrop>
  <LinksUpToDate>false</LinksUpToDate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2020-05-19T09:23:00Z</dcterms:created>
  <dc:creator>a</dc:creator>
  <cp:lastModifiedBy>ch</cp:lastModifiedBy>
  <cp:lastPrinted>2022-03-25T02:48:00Z</cp:lastPrinted>
  <dcterms:modified xsi:type="dcterms:W3CDTF">2022-03-25T07:24:16Z</dcterms:modified>
  <dc:title>Microsoft Word - 山西省财政厅2019年度部门预算.docx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2020-05-19T00:00:00Z</vt:filetime>
  </property>
  <property fmtid="{D5CDD505-2E9C-101B-9397-08002B2CF9AE}" pid="5" name="KSOProductBuildVer">
    <vt:lpwstr>2052-11.1.0.10938</vt:lpwstr>
  </property>
  <property fmtid="{D5CDD505-2E9C-101B-9397-08002B2CF9AE}" pid="6" name="ICV">
    <vt:lpwstr>AD6FDB26B7A04DC4A1651A399963BDB3</vt:lpwstr>
  </property>
</Properties>
</file>