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eastAsia="zh-CN"/>
        </w:rPr>
      </w:pP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eastAsia="zh-CN"/>
        </w:rPr>
        <w:t>大同市紧急医疗救援中心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alibri" w:hAnsi="Calibri" w:eastAsia="方正小标宋简体" w:cs="Calibri"/>
          <w:i w:val="0"/>
          <w:iCs w:val="0"/>
          <w:caps w:val="0"/>
          <w:color w:val="000000"/>
          <w:spacing w:val="0"/>
          <w:sz w:val="32"/>
          <w:szCs w:val="32"/>
          <w:lang w:eastAsia="zh-CN"/>
        </w:rPr>
      </w:pP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rPr>
        <w:t>202</w:t>
      </w: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rPr>
        <w:t>年预算</w:t>
      </w:r>
      <w:r>
        <w:rPr>
          <w:rFonts w:hint="eastAsia" w:ascii="方正小标宋简体" w:hAnsi="方正小标宋简体" w:eastAsia="方正小标宋简体" w:cs="方正小标宋简体"/>
          <w:b w:val="0"/>
          <w:bCs w:val="0"/>
          <w:i w:val="0"/>
          <w:iCs w:val="0"/>
          <w:caps w:val="0"/>
          <w:color w:val="000000"/>
          <w:spacing w:val="0"/>
          <w:sz w:val="32"/>
          <w:szCs w:val="32"/>
          <w:shd w:val="clear" w:fill="FFFFFF"/>
          <w:lang w:eastAsia="zh-CN"/>
        </w:rPr>
        <w:t>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仿宋_GB2312" w:hAnsi="Calibri" w:eastAsia="仿宋_GB2312" w:cs="仿宋_GB2312"/>
          <w:b w:val="0"/>
          <w:bCs w:val="0"/>
          <w:i w:val="0"/>
          <w:iCs w:val="0"/>
          <w:caps w:val="0"/>
          <w:color w:val="000000"/>
          <w:spacing w:val="0"/>
          <w:sz w:val="44"/>
          <w:szCs w:val="44"/>
          <w:shd w:val="clear" w:fill="FFFFFF"/>
        </w:rPr>
      </w:pPr>
    </w:p>
    <w:sdt>
      <w:sdtPr>
        <w:rPr>
          <w:rFonts w:ascii="宋体" w:hAnsi="宋体" w:eastAsia="宋体" w:cstheme="minorBidi"/>
          <w:kern w:val="2"/>
          <w:sz w:val="32"/>
          <w:szCs w:val="40"/>
          <w:lang w:val="en-US" w:eastAsia="zh-CN" w:bidi="ar-SA"/>
        </w:rPr>
        <w:id w:val="147483188"/>
        <w15:color w:val="DBDBDB"/>
        <w:docPartObj>
          <w:docPartGallery w:val="Table of Contents"/>
          <w:docPartUnique/>
        </w:docPartObj>
      </w:sdtPr>
      <w:sdtEndPr>
        <w:rPr>
          <w:rFonts w:hint="eastAsia" w:ascii="宋体" w:hAnsi="宋体" w:eastAsia="宋体" w:cstheme="minorBidi"/>
          <w:kern w:val="2"/>
          <w:sz w:val="32"/>
          <w:szCs w:val="40"/>
          <w:lang w:val="en-US" w:eastAsia="zh-CN" w:bidi="ar-SA"/>
        </w:rPr>
      </w:sdtEndPr>
      <w:sdtContent>
        <w:p>
          <w:pPr>
            <w:spacing w:before="0" w:beforeLines="0" w:after="0" w:afterLines="0" w:line="240" w:lineRule="auto"/>
            <w:ind w:left="0" w:leftChars="0" w:right="0" w:rightChars="0" w:firstLine="0" w:firstLineChars="0"/>
            <w:jc w:val="center"/>
            <w:rPr>
              <w:sz w:val="32"/>
              <w:szCs w:val="40"/>
            </w:rPr>
          </w:pPr>
          <w:r>
            <w:rPr>
              <w:rFonts w:ascii="宋体" w:hAnsi="宋体" w:eastAsia="宋体"/>
              <w:sz w:val="32"/>
              <w:szCs w:val="40"/>
            </w:rPr>
            <w:t>目录</w:t>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48"/>
              <w:szCs w:val="48"/>
              <w:shd w:val="clear" w:fill="FFFFFF"/>
            </w:rPr>
            <w:fldChar w:fldCharType="begin"/>
          </w:r>
          <w:r>
            <w:rPr>
              <w:rFonts w:hint="eastAsia" w:ascii="黑体" w:hAnsi="黑体" w:eastAsia="黑体" w:cs="黑体"/>
              <w:b/>
              <w:bCs/>
              <w:i w:val="0"/>
              <w:iCs w:val="0"/>
              <w:caps w:val="0"/>
              <w:color w:val="000000"/>
              <w:spacing w:val="0"/>
              <w:sz w:val="48"/>
              <w:szCs w:val="48"/>
              <w:shd w:val="clear" w:fill="FFFFFF"/>
            </w:rPr>
            <w:instrText xml:space="preserve">TOC \o "1-2" \h \u </w:instrText>
          </w:r>
          <w:r>
            <w:rPr>
              <w:rFonts w:hint="eastAsia" w:ascii="黑体" w:hAnsi="黑体" w:eastAsia="黑体" w:cs="黑体"/>
              <w:b/>
              <w:bCs/>
              <w:i w:val="0"/>
              <w:iCs w:val="0"/>
              <w:caps w:val="0"/>
              <w:color w:val="000000"/>
              <w:spacing w:val="0"/>
              <w:sz w:val="48"/>
              <w:szCs w:val="48"/>
              <w:shd w:val="clear" w:fill="FFFFFF"/>
            </w:rPr>
            <w:fldChar w:fldCharType="separate"/>
          </w: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_Toc5006 </w:instrText>
          </w:r>
          <w:r>
            <w:rPr>
              <w:rFonts w:hint="eastAsia" w:ascii="黑体" w:hAnsi="黑体" w:eastAsia="黑体" w:cs="黑体"/>
              <w:b/>
              <w:bCs/>
              <w:i w:val="0"/>
              <w:iCs w:val="0"/>
              <w:caps w:val="0"/>
              <w:spacing w:val="0"/>
              <w:sz w:val="28"/>
              <w:szCs w:val="48"/>
              <w:shd w:val="clear" w:fill="FFFFFF"/>
            </w:rPr>
            <w:fldChar w:fldCharType="separate"/>
          </w:r>
          <w:r>
            <w:rPr>
              <w:rFonts w:hint="eastAsia" w:ascii="黑体" w:hAnsi="黑体" w:eastAsia="黑体" w:cs="黑体"/>
              <w:b/>
              <w:bCs/>
              <w:i w:val="0"/>
              <w:iCs w:val="0"/>
              <w:caps w:val="0"/>
              <w:spacing w:val="0"/>
              <w:sz w:val="28"/>
              <w:szCs w:val="48"/>
              <w:shd w:val="clear" w:fill="FFFFFF"/>
            </w:rPr>
            <w:t xml:space="preserve">第一部分 </w:t>
          </w:r>
          <w:r>
            <w:rPr>
              <w:rFonts w:hint="eastAsia" w:ascii="黑体" w:hAnsi="黑体" w:eastAsia="黑体" w:cs="黑体"/>
              <w:b/>
              <w:bCs/>
              <w:i w:val="0"/>
              <w:iCs w:val="0"/>
              <w:caps w:val="0"/>
              <w:spacing w:val="0"/>
              <w:sz w:val="28"/>
              <w:szCs w:val="48"/>
              <w:shd w:val="clear" w:fill="FFFFFF"/>
              <w:lang w:val="en-US" w:eastAsia="zh-CN"/>
            </w:rPr>
            <w:t>单位</w:t>
          </w:r>
          <w:r>
            <w:rPr>
              <w:rFonts w:hint="eastAsia" w:ascii="黑体" w:hAnsi="黑体" w:eastAsia="黑体" w:cs="黑体"/>
              <w:b/>
              <w:bCs/>
              <w:i w:val="0"/>
              <w:iCs w:val="0"/>
              <w:caps w:val="0"/>
              <w:spacing w:val="0"/>
              <w:sz w:val="28"/>
              <w:szCs w:val="48"/>
              <w:shd w:val="clear" w:fill="FFFFFF"/>
            </w:rPr>
            <w:t>概况</w:t>
          </w:r>
          <w:r>
            <w:rPr>
              <w:b/>
              <w:sz w:val="28"/>
              <w:szCs w:val="28"/>
            </w:rPr>
            <w:tab/>
          </w:r>
          <w:r>
            <w:rPr>
              <w:b/>
              <w:sz w:val="28"/>
              <w:szCs w:val="28"/>
            </w:rPr>
            <w:fldChar w:fldCharType="begin"/>
          </w:r>
          <w:r>
            <w:rPr>
              <w:b/>
              <w:sz w:val="28"/>
              <w:szCs w:val="28"/>
            </w:rPr>
            <w:instrText xml:space="preserve"> PAGEREF _Toc5006 </w:instrText>
          </w:r>
          <w:r>
            <w:rPr>
              <w:b/>
              <w:sz w:val="28"/>
              <w:szCs w:val="28"/>
            </w:rPr>
            <w:fldChar w:fldCharType="separate"/>
          </w:r>
          <w:r>
            <w:rPr>
              <w:b/>
              <w:sz w:val="28"/>
              <w:szCs w:val="28"/>
            </w:rPr>
            <w:t>1</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_Toc11165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 </w:t>
          </w:r>
          <w:r>
            <w:rPr>
              <w:rFonts w:hint="eastAsia" w:asciiTheme="minorEastAsia" w:hAnsiTheme="minorEastAsia" w:eastAsiaTheme="minorEastAsia" w:cstheme="minorEastAsia"/>
              <w:bCs/>
              <w:i w:val="0"/>
              <w:iCs w:val="0"/>
              <w:caps w:val="0"/>
              <w:spacing w:val="0"/>
              <w:sz w:val="28"/>
              <w:szCs w:val="44"/>
              <w:shd w:val="clear" w:fill="FFFFFF"/>
            </w:rPr>
            <w:t>一、主要职责</w:t>
          </w:r>
          <w:r>
            <w:rPr>
              <w:sz w:val="28"/>
              <w:szCs w:val="28"/>
            </w:rPr>
            <w:tab/>
          </w:r>
          <w:r>
            <w:rPr>
              <w:sz w:val="28"/>
              <w:szCs w:val="28"/>
            </w:rPr>
            <w:fldChar w:fldCharType="begin"/>
          </w:r>
          <w:r>
            <w:rPr>
              <w:sz w:val="28"/>
              <w:szCs w:val="28"/>
            </w:rPr>
            <w:instrText xml:space="preserve"> PAGEREF _Toc11165 </w:instrText>
          </w:r>
          <w:r>
            <w:rPr>
              <w:sz w:val="28"/>
              <w:szCs w:val="28"/>
            </w:rPr>
            <w:fldChar w:fldCharType="separate"/>
          </w:r>
          <w:r>
            <w:rPr>
              <w:sz w:val="28"/>
              <w:szCs w:val="28"/>
            </w:rPr>
            <w:t>1</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_Toc938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rPr>
            <w:t> 二、</w:t>
          </w:r>
          <w:r>
            <w:rPr>
              <w:rFonts w:hint="eastAsia" w:asciiTheme="minorEastAsia" w:hAnsiTheme="minorEastAsia" w:eastAsiaTheme="minorEastAsia" w:cstheme="minorEastAsia"/>
              <w:bCs/>
              <w:i w:val="0"/>
              <w:iCs w:val="0"/>
              <w:caps w:val="0"/>
              <w:spacing w:val="0"/>
              <w:sz w:val="28"/>
              <w:szCs w:val="44"/>
              <w:shd w:val="clear" w:fill="FFFFFF"/>
              <w:lang w:val="en-US" w:eastAsia="zh-CN"/>
            </w:rPr>
            <w:t>单位</w:t>
          </w:r>
          <w:r>
            <w:rPr>
              <w:rFonts w:hint="eastAsia" w:asciiTheme="minorEastAsia" w:hAnsiTheme="minorEastAsia" w:eastAsiaTheme="minorEastAsia" w:cstheme="minorEastAsia"/>
              <w:bCs/>
              <w:i w:val="0"/>
              <w:iCs w:val="0"/>
              <w:caps w:val="0"/>
              <w:spacing w:val="0"/>
              <w:sz w:val="28"/>
              <w:szCs w:val="44"/>
              <w:shd w:val="clear" w:fill="FFFFFF"/>
            </w:rPr>
            <w:t>构成</w:t>
          </w:r>
          <w:r>
            <w:rPr>
              <w:sz w:val="28"/>
              <w:szCs w:val="28"/>
            </w:rPr>
            <w:tab/>
          </w:r>
          <w:r>
            <w:rPr>
              <w:sz w:val="28"/>
              <w:szCs w:val="28"/>
            </w:rPr>
            <w:fldChar w:fldCharType="begin"/>
          </w:r>
          <w:r>
            <w:rPr>
              <w:sz w:val="28"/>
              <w:szCs w:val="28"/>
            </w:rPr>
            <w:instrText xml:space="preserve"> PAGEREF _Toc938 </w:instrText>
          </w:r>
          <w:r>
            <w:rPr>
              <w:sz w:val="28"/>
              <w:szCs w:val="28"/>
            </w:rPr>
            <w:fldChar w:fldCharType="separate"/>
          </w:r>
          <w:r>
            <w:rPr>
              <w:sz w:val="28"/>
              <w:szCs w:val="28"/>
            </w:rPr>
            <w:t>1</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_Toc23489 </w:instrText>
          </w:r>
          <w:r>
            <w:rPr>
              <w:rFonts w:hint="eastAsia" w:ascii="黑体" w:hAnsi="黑体" w:eastAsia="黑体" w:cs="黑体"/>
              <w:b/>
              <w:bCs/>
              <w:i w:val="0"/>
              <w:iCs w:val="0"/>
              <w:caps w:val="0"/>
              <w:spacing w:val="0"/>
              <w:sz w:val="28"/>
              <w:szCs w:val="48"/>
              <w:shd w:val="clear" w:fill="FFFFFF"/>
            </w:rPr>
            <w:fldChar w:fldCharType="separate"/>
          </w:r>
          <w:r>
            <w:rPr>
              <w:rFonts w:hint="eastAsia" w:asciiTheme="minorEastAsia" w:hAnsiTheme="minorEastAsia" w:eastAsiaTheme="minorEastAsia" w:cstheme="minorEastAsia"/>
              <w:b/>
              <w:bCs/>
              <w:i w:val="0"/>
              <w:iCs w:val="0"/>
              <w:caps w:val="0"/>
              <w:spacing w:val="0"/>
              <w:sz w:val="28"/>
              <w:szCs w:val="48"/>
              <w:shd w:val="clear" w:fill="FFFFFF"/>
            </w:rPr>
            <w:t>第二部分2022年度部门预算报表</w:t>
          </w:r>
          <w:r>
            <w:rPr>
              <w:b/>
              <w:sz w:val="28"/>
              <w:szCs w:val="28"/>
            </w:rPr>
            <w:tab/>
          </w:r>
          <w:r>
            <w:rPr>
              <w:b/>
              <w:sz w:val="28"/>
              <w:szCs w:val="28"/>
            </w:rPr>
            <w:fldChar w:fldCharType="begin"/>
          </w:r>
          <w:r>
            <w:rPr>
              <w:b/>
              <w:sz w:val="28"/>
              <w:szCs w:val="28"/>
            </w:rPr>
            <w:instrText xml:space="preserve"> PAGEREF _Toc23489 </w:instrText>
          </w:r>
          <w:r>
            <w:rPr>
              <w:b/>
              <w:sz w:val="28"/>
              <w:szCs w:val="28"/>
            </w:rPr>
            <w:fldChar w:fldCharType="separate"/>
          </w:r>
          <w:r>
            <w:rPr>
              <w:b/>
              <w:sz w:val="28"/>
              <w:szCs w:val="28"/>
            </w:rPr>
            <w:t>2</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_Toc12276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一、2022年</w:t>
          </w:r>
          <w:r>
            <w:rPr>
              <w:rFonts w:hint="eastAsia" w:asciiTheme="minorEastAsia" w:hAnsiTheme="minorEastAsia" w:eastAsiaTheme="minorEastAsia" w:cstheme="minorEastAsia"/>
              <w:bCs w:val="0"/>
              <w:i w:val="0"/>
              <w:iCs w:val="0"/>
              <w:caps w:val="0"/>
              <w:spacing w:val="0"/>
              <w:sz w:val="28"/>
              <w:szCs w:val="44"/>
              <w:shd w:val="clear" w:fill="FFFFFF"/>
              <w:lang w:eastAsia="zh-CN"/>
            </w:rPr>
            <w:t>部门</w:t>
          </w:r>
          <w:r>
            <w:rPr>
              <w:rFonts w:hint="eastAsia" w:asciiTheme="minorEastAsia" w:hAnsiTheme="minorEastAsia" w:eastAsiaTheme="minorEastAsia" w:cstheme="minorEastAsia"/>
              <w:bCs w:val="0"/>
              <w:i w:val="0"/>
              <w:iCs w:val="0"/>
              <w:caps w:val="0"/>
              <w:spacing w:val="0"/>
              <w:sz w:val="28"/>
              <w:szCs w:val="44"/>
              <w:shd w:val="clear" w:fill="FFFFFF"/>
            </w:rPr>
            <w:t>预算收支总表</w:t>
          </w:r>
          <w:r>
            <w:rPr>
              <w:sz w:val="28"/>
              <w:szCs w:val="28"/>
            </w:rPr>
            <w:tab/>
          </w:r>
          <w:r>
            <w:rPr>
              <w:sz w:val="28"/>
              <w:szCs w:val="28"/>
            </w:rPr>
            <w:fldChar w:fldCharType="begin"/>
          </w:r>
          <w:r>
            <w:rPr>
              <w:sz w:val="28"/>
              <w:szCs w:val="28"/>
            </w:rPr>
            <w:instrText xml:space="preserve"> PAGEREF _Toc12276 </w:instrText>
          </w:r>
          <w:r>
            <w:rPr>
              <w:sz w:val="28"/>
              <w:szCs w:val="28"/>
            </w:rPr>
            <w:fldChar w:fldCharType="separate"/>
          </w:r>
          <w:r>
            <w:rPr>
              <w:sz w:val="28"/>
              <w:szCs w:val="28"/>
            </w:rPr>
            <w:t>2</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_Toc26212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二、2022年</w:t>
          </w:r>
          <w:r>
            <w:rPr>
              <w:rFonts w:hint="eastAsia" w:asciiTheme="minorEastAsia" w:hAnsiTheme="minorEastAsia" w:eastAsiaTheme="minorEastAsia" w:cstheme="minorEastAsia"/>
              <w:bCs w:val="0"/>
              <w:i w:val="0"/>
              <w:iCs w:val="0"/>
              <w:caps w:val="0"/>
              <w:spacing w:val="0"/>
              <w:sz w:val="28"/>
              <w:szCs w:val="44"/>
              <w:shd w:val="clear" w:fill="FFFFFF"/>
              <w:lang w:eastAsia="zh-CN"/>
            </w:rPr>
            <w:t>部门</w:t>
          </w:r>
          <w:r>
            <w:rPr>
              <w:rFonts w:hint="eastAsia" w:asciiTheme="minorEastAsia" w:hAnsiTheme="minorEastAsia" w:eastAsiaTheme="minorEastAsia" w:cstheme="minorEastAsia"/>
              <w:bCs w:val="0"/>
              <w:i w:val="0"/>
              <w:iCs w:val="0"/>
              <w:caps w:val="0"/>
              <w:spacing w:val="0"/>
              <w:sz w:val="28"/>
              <w:szCs w:val="44"/>
              <w:shd w:val="clear" w:fill="FFFFFF"/>
            </w:rPr>
            <w:t>预算收入总表</w:t>
          </w:r>
          <w:r>
            <w:rPr>
              <w:sz w:val="28"/>
              <w:szCs w:val="28"/>
            </w:rPr>
            <w:tab/>
          </w:r>
          <w:r>
            <w:rPr>
              <w:sz w:val="28"/>
              <w:szCs w:val="28"/>
            </w:rPr>
            <w:fldChar w:fldCharType="begin"/>
          </w:r>
          <w:r>
            <w:rPr>
              <w:sz w:val="28"/>
              <w:szCs w:val="28"/>
            </w:rPr>
            <w:instrText xml:space="preserve"> PAGEREF _Toc26212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_Toc4264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三、2022年</w:t>
          </w:r>
          <w:r>
            <w:rPr>
              <w:rFonts w:hint="eastAsia" w:asciiTheme="minorEastAsia" w:hAnsiTheme="minorEastAsia" w:eastAsiaTheme="minorEastAsia" w:cstheme="minorEastAsia"/>
              <w:bCs w:val="0"/>
              <w:i w:val="0"/>
              <w:iCs w:val="0"/>
              <w:caps w:val="0"/>
              <w:spacing w:val="0"/>
              <w:sz w:val="28"/>
              <w:szCs w:val="44"/>
              <w:shd w:val="clear" w:fill="FFFFFF"/>
              <w:lang w:eastAsia="zh-CN"/>
            </w:rPr>
            <w:t>部门</w:t>
          </w:r>
          <w:r>
            <w:rPr>
              <w:rFonts w:hint="eastAsia" w:asciiTheme="minorEastAsia" w:hAnsiTheme="minorEastAsia" w:eastAsiaTheme="minorEastAsia" w:cstheme="minorEastAsia"/>
              <w:bCs w:val="0"/>
              <w:i w:val="0"/>
              <w:iCs w:val="0"/>
              <w:caps w:val="0"/>
              <w:spacing w:val="0"/>
              <w:sz w:val="28"/>
              <w:szCs w:val="44"/>
              <w:shd w:val="clear" w:fill="FFFFFF"/>
            </w:rPr>
            <w:t>预算支出总表</w:t>
          </w:r>
          <w:r>
            <w:rPr>
              <w:sz w:val="28"/>
              <w:szCs w:val="28"/>
            </w:rPr>
            <w:tab/>
          </w:r>
          <w:r>
            <w:rPr>
              <w:sz w:val="28"/>
              <w:szCs w:val="28"/>
            </w:rPr>
            <w:fldChar w:fldCharType="begin"/>
          </w:r>
          <w:r>
            <w:rPr>
              <w:sz w:val="28"/>
              <w:szCs w:val="28"/>
            </w:rPr>
            <w:instrText xml:space="preserve"> PAGEREF _Toc4264 </w:instrText>
          </w:r>
          <w:r>
            <w:rPr>
              <w:sz w:val="28"/>
              <w:szCs w:val="28"/>
            </w:rPr>
            <w:fldChar w:fldCharType="separate"/>
          </w:r>
          <w:r>
            <w:rPr>
              <w:sz w:val="28"/>
              <w:szCs w:val="28"/>
            </w:rPr>
            <w:t>4</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_Toc13589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四、2022年财政拨款收支总表</w:t>
          </w:r>
          <w:r>
            <w:rPr>
              <w:sz w:val="28"/>
              <w:szCs w:val="28"/>
            </w:rPr>
            <w:tab/>
          </w:r>
          <w:r>
            <w:rPr>
              <w:sz w:val="28"/>
              <w:szCs w:val="28"/>
            </w:rPr>
            <w:fldChar w:fldCharType="begin"/>
          </w:r>
          <w:r>
            <w:rPr>
              <w:sz w:val="28"/>
              <w:szCs w:val="28"/>
            </w:rPr>
            <w:instrText xml:space="preserve"> PAGEREF _Toc13589 </w:instrText>
          </w:r>
          <w:r>
            <w:rPr>
              <w:sz w:val="28"/>
              <w:szCs w:val="28"/>
            </w:rPr>
            <w:fldChar w:fldCharType="separate"/>
          </w:r>
          <w:r>
            <w:rPr>
              <w:sz w:val="28"/>
              <w:szCs w:val="28"/>
            </w:rPr>
            <w:t>5</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_Toc31314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五、2022年一般公共预算支出预算表</w:t>
          </w:r>
          <w:r>
            <w:rPr>
              <w:sz w:val="28"/>
              <w:szCs w:val="28"/>
            </w:rPr>
            <w:tab/>
          </w:r>
          <w:r>
            <w:rPr>
              <w:sz w:val="28"/>
              <w:szCs w:val="28"/>
            </w:rPr>
            <w:fldChar w:fldCharType="begin"/>
          </w:r>
          <w:r>
            <w:rPr>
              <w:sz w:val="28"/>
              <w:szCs w:val="28"/>
            </w:rPr>
            <w:instrText xml:space="preserve"> PAGEREF _Toc31314 </w:instrText>
          </w:r>
          <w:r>
            <w:rPr>
              <w:sz w:val="28"/>
              <w:szCs w:val="28"/>
            </w:rPr>
            <w:fldChar w:fldCharType="separate"/>
          </w:r>
          <w:r>
            <w:rPr>
              <w:sz w:val="28"/>
              <w:szCs w:val="28"/>
            </w:rPr>
            <w:t>6</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_Toc32384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六、2022年一般公共预算安排基本支出分经济科目表</w:t>
          </w:r>
          <w:r>
            <w:rPr>
              <w:sz w:val="28"/>
              <w:szCs w:val="28"/>
            </w:rPr>
            <w:tab/>
          </w:r>
          <w:r>
            <w:rPr>
              <w:sz w:val="28"/>
              <w:szCs w:val="28"/>
            </w:rPr>
            <w:fldChar w:fldCharType="begin"/>
          </w:r>
          <w:r>
            <w:rPr>
              <w:sz w:val="28"/>
              <w:szCs w:val="28"/>
            </w:rPr>
            <w:instrText xml:space="preserve"> PAGEREF _Toc32384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_Toc29690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七、2022年政府性基金预算收入表</w:t>
          </w:r>
          <w:r>
            <w:rPr>
              <w:sz w:val="28"/>
              <w:szCs w:val="28"/>
            </w:rPr>
            <w:tab/>
          </w:r>
          <w:r>
            <w:rPr>
              <w:sz w:val="28"/>
              <w:szCs w:val="28"/>
            </w:rPr>
            <w:fldChar w:fldCharType="begin"/>
          </w:r>
          <w:r>
            <w:rPr>
              <w:sz w:val="28"/>
              <w:szCs w:val="28"/>
            </w:rPr>
            <w:instrText xml:space="preserve"> PAGEREF _Toc29690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_Toc21613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八、2022年政府性基金预算支出表</w:t>
          </w:r>
          <w:r>
            <w:rPr>
              <w:sz w:val="28"/>
              <w:szCs w:val="28"/>
            </w:rPr>
            <w:tab/>
          </w:r>
          <w:r>
            <w:rPr>
              <w:sz w:val="28"/>
              <w:szCs w:val="28"/>
            </w:rPr>
            <w:fldChar w:fldCharType="begin"/>
          </w:r>
          <w:r>
            <w:rPr>
              <w:sz w:val="28"/>
              <w:szCs w:val="28"/>
            </w:rPr>
            <w:instrText xml:space="preserve"> PAGEREF _Toc21613 </w:instrText>
          </w:r>
          <w:r>
            <w:rPr>
              <w:sz w:val="28"/>
              <w:szCs w:val="28"/>
            </w:rPr>
            <w:fldChar w:fldCharType="separate"/>
          </w:r>
          <w:r>
            <w:rPr>
              <w:sz w:val="28"/>
              <w:szCs w:val="28"/>
            </w:rPr>
            <w:t>8</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_Toc23455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九、2022年国有资本经营预算收支预算表</w:t>
          </w:r>
          <w:r>
            <w:rPr>
              <w:sz w:val="28"/>
              <w:szCs w:val="28"/>
            </w:rPr>
            <w:tab/>
          </w:r>
          <w:r>
            <w:rPr>
              <w:sz w:val="28"/>
              <w:szCs w:val="28"/>
            </w:rPr>
            <w:fldChar w:fldCharType="begin"/>
          </w:r>
          <w:r>
            <w:rPr>
              <w:sz w:val="28"/>
              <w:szCs w:val="28"/>
            </w:rPr>
            <w:instrText xml:space="preserve"> PAGEREF _Toc23455 </w:instrText>
          </w:r>
          <w:r>
            <w:rPr>
              <w:sz w:val="28"/>
              <w:szCs w:val="28"/>
            </w:rPr>
            <w:fldChar w:fldCharType="separate"/>
          </w:r>
          <w:r>
            <w:rPr>
              <w:sz w:val="28"/>
              <w:szCs w:val="28"/>
            </w:rPr>
            <w:t>8</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_Toc19155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十、2022年“三公”经费支出表</w:t>
          </w:r>
          <w:r>
            <w:rPr>
              <w:sz w:val="28"/>
              <w:szCs w:val="28"/>
            </w:rPr>
            <w:tab/>
          </w:r>
          <w:r>
            <w:rPr>
              <w:sz w:val="28"/>
              <w:szCs w:val="28"/>
            </w:rPr>
            <w:fldChar w:fldCharType="begin"/>
          </w:r>
          <w:r>
            <w:rPr>
              <w:sz w:val="28"/>
              <w:szCs w:val="28"/>
            </w:rPr>
            <w:instrText xml:space="preserve"> PAGEREF _Toc19155 </w:instrText>
          </w:r>
          <w:r>
            <w:rPr>
              <w:sz w:val="28"/>
              <w:szCs w:val="28"/>
            </w:rPr>
            <w:fldChar w:fldCharType="separate"/>
          </w:r>
          <w:r>
            <w:rPr>
              <w:sz w:val="28"/>
              <w:szCs w:val="28"/>
            </w:rPr>
            <w:t>8</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ind w:firstLine="280" w:firstLineChars="100"/>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_Toc13196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val="0"/>
              <w:i w:val="0"/>
              <w:iCs w:val="0"/>
              <w:caps w:val="0"/>
              <w:spacing w:val="0"/>
              <w:sz w:val="28"/>
              <w:szCs w:val="44"/>
              <w:shd w:val="clear" w:fill="FFFFFF"/>
            </w:rPr>
            <w:t>十一、2022年机关运行经费预算财政拨款情况表</w:t>
          </w:r>
          <w:r>
            <w:rPr>
              <w:sz w:val="28"/>
              <w:szCs w:val="28"/>
            </w:rPr>
            <w:tab/>
          </w:r>
          <w:r>
            <w:rPr>
              <w:sz w:val="28"/>
              <w:szCs w:val="28"/>
            </w:rPr>
            <w:fldChar w:fldCharType="begin"/>
          </w:r>
          <w:r>
            <w:rPr>
              <w:sz w:val="28"/>
              <w:szCs w:val="28"/>
            </w:rPr>
            <w:instrText xml:space="preserve"> PAGEREF _Toc13196 </w:instrText>
          </w:r>
          <w:r>
            <w:rPr>
              <w:sz w:val="28"/>
              <w:szCs w:val="28"/>
            </w:rPr>
            <w:fldChar w:fldCharType="separate"/>
          </w:r>
          <w:r>
            <w:rPr>
              <w:sz w:val="28"/>
              <w:szCs w:val="28"/>
            </w:rPr>
            <w:t>9</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_Toc18518 </w:instrText>
          </w:r>
          <w:r>
            <w:rPr>
              <w:rFonts w:hint="eastAsia" w:ascii="黑体" w:hAnsi="黑体" w:eastAsia="黑体" w:cs="黑体"/>
              <w:b/>
              <w:bCs/>
              <w:i w:val="0"/>
              <w:iCs w:val="0"/>
              <w:caps w:val="0"/>
              <w:spacing w:val="0"/>
              <w:sz w:val="28"/>
              <w:szCs w:val="48"/>
              <w:shd w:val="clear" w:fill="FFFFFF"/>
            </w:rPr>
            <w:fldChar w:fldCharType="separate"/>
          </w:r>
          <w:r>
            <w:rPr>
              <w:rFonts w:hint="eastAsia" w:asciiTheme="minorEastAsia" w:hAnsiTheme="minorEastAsia" w:eastAsiaTheme="minorEastAsia" w:cstheme="minorEastAsia"/>
              <w:b/>
              <w:bCs/>
              <w:i w:val="0"/>
              <w:iCs w:val="0"/>
              <w:caps w:val="0"/>
              <w:spacing w:val="0"/>
              <w:sz w:val="28"/>
              <w:szCs w:val="48"/>
              <w:shd w:val="clear" w:fill="FFFFFF"/>
            </w:rPr>
            <w:t>第三部分2022年度部门预算情况说明</w:t>
          </w:r>
          <w:r>
            <w:rPr>
              <w:b/>
              <w:sz w:val="28"/>
              <w:szCs w:val="28"/>
            </w:rPr>
            <w:tab/>
          </w:r>
          <w:r>
            <w:rPr>
              <w:b/>
              <w:sz w:val="28"/>
              <w:szCs w:val="28"/>
            </w:rPr>
            <w:fldChar w:fldCharType="begin"/>
          </w:r>
          <w:r>
            <w:rPr>
              <w:b/>
              <w:sz w:val="28"/>
              <w:szCs w:val="28"/>
            </w:rPr>
            <w:instrText xml:space="preserve"> PAGEREF _Toc18518 </w:instrText>
          </w:r>
          <w:r>
            <w:rPr>
              <w:b/>
              <w:sz w:val="28"/>
              <w:szCs w:val="28"/>
            </w:rPr>
            <w:fldChar w:fldCharType="separate"/>
          </w:r>
          <w:r>
            <w:rPr>
              <w:b/>
              <w:sz w:val="28"/>
              <w:szCs w:val="28"/>
            </w:rPr>
            <w:t>9</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_Toc1864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rPr>
            <w:t>一、202</w:t>
          </w:r>
          <w:r>
            <w:rPr>
              <w:rFonts w:hint="eastAsia" w:asciiTheme="minorEastAsia" w:hAnsiTheme="minorEastAsia" w:eastAsiaTheme="minorEastAsia" w:cstheme="minorEastAsia"/>
              <w:bCs/>
              <w:i w:val="0"/>
              <w:iCs w:val="0"/>
              <w:caps w:val="0"/>
              <w:spacing w:val="0"/>
              <w:sz w:val="28"/>
              <w:szCs w:val="44"/>
              <w:shd w:val="clear" w:fill="FFFFFF"/>
              <w:lang w:val="en-US" w:eastAsia="zh-CN"/>
            </w:rPr>
            <w:t>2</w:t>
          </w:r>
          <w:r>
            <w:rPr>
              <w:rFonts w:hint="eastAsia" w:asciiTheme="minorEastAsia" w:hAnsiTheme="minorEastAsia" w:eastAsiaTheme="minorEastAsia" w:cstheme="minorEastAsia"/>
              <w:bCs/>
              <w:i w:val="0"/>
              <w:iCs w:val="0"/>
              <w:caps w:val="0"/>
              <w:spacing w:val="0"/>
              <w:sz w:val="28"/>
              <w:szCs w:val="44"/>
              <w:shd w:val="clear" w:fill="FFFFFF"/>
            </w:rPr>
            <w:t>年度部门预算收支情况</w:t>
          </w:r>
          <w:r>
            <w:rPr>
              <w:sz w:val="28"/>
              <w:szCs w:val="28"/>
            </w:rPr>
            <w:tab/>
          </w:r>
          <w:r>
            <w:rPr>
              <w:sz w:val="28"/>
              <w:szCs w:val="28"/>
            </w:rPr>
            <w:fldChar w:fldCharType="begin"/>
          </w:r>
          <w:r>
            <w:rPr>
              <w:sz w:val="28"/>
              <w:szCs w:val="28"/>
            </w:rPr>
            <w:instrText xml:space="preserve"> PAGEREF _Toc1864 </w:instrText>
          </w:r>
          <w:r>
            <w:rPr>
              <w:sz w:val="28"/>
              <w:szCs w:val="28"/>
            </w:rPr>
            <w:fldChar w:fldCharType="separate"/>
          </w:r>
          <w:r>
            <w:rPr>
              <w:sz w:val="28"/>
              <w:szCs w:val="28"/>
            </w:rPr>
            <w:t>9</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_Toc21486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rPr>
            <w:t>二、“三公”经费情况</w:t>
          </w:r>
          <w:r>
            <w:rPr>
              <w:sz w:val="28"/>
              <w:szCs w:val="28"/>
            </w:rPr>
            <w:tab/>
          </w:r>
          <w:r>
            <w:rPr>
              <w:sz w:val="28"/>
              <w:szCs w:val="28"/>
            </w:rPr>
            <w:fldChar w:fldCharType="begin"/>
          </w:r>
          <w:r>
            <w:rPr>
              <w:sz w:val="28"/>
              <w:szCs w:val="28"/>
            </w:rPr>
            <w:instrText xml:space="preserve"> PAGEREF _Toc21486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_Toc3388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三</w:t>
          </w:r>
          <w:r>
            <w:rPr>
              <w:rFonts w:hint="eastAsia" w:asciiTheme="minorEastAsia" w:hAnsiTheme="minorEastAsia" w:eastAsiaTheme="minorEastAsia" w:cstheme="minorEastAsia"/>
              <w:bCs/>
              <w:i w:val="0"/>
              <w:iCs w:val="0"/>
              <w:caps w:val="0"/>
              <w:spacing w:val="0"/>
              <w:sz w:val="28"/>
              <w:szCs w:val="44"/>
              <w:shd w:val="clear" w:fill="FFFFFF"/>
            </w:rPr>
            <w:t>、机关运行经费</w:t>
          </w:r>
          <w:r>
            <w:rPr>
              <w:sz w:val="28"/>
              <w:szCs w:val="28"/>
            </w:rPr>
            <w:tab/>
          </w:r>
          <w:r>
            <w:rPr>
              <w:sz w:val="28"/>
              <w:szCs w:val="28"/>
            </w:rPr>
            <w:fldChar w:fldCharType="begin"/>
          </w:r>
          <w:r>
            <w:rPr>
              <w:sz w:val="28"/>
              <w:szCs w:val="28"/>
            </w:rPr>
            <w:instrText xml:space="preserve"> PAGEREF _Toc3388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_Toc4230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四、政府采购预算情况</w:t>
          </w:r>
          <w:r>
            <w:rPr>
              <w:sz w:val="28"/>
              <w:szCs w:val="28"/>
            </w:rPr>
            <w:tab/>
          </w:r>
          <w:r>
            <w:rPr>
              <w:sz w:val="28"/>
              <w:szCs w:val="28"/>
            </w:rPr>
            <w:fldChar w:fldCharType="begin"/>
          </w:r>
          <w:r>
            <w:rPr>
              <w:sz w:val="28"/>
              <w:szCs w:val="28"/>
            </w:rPr>
            <w:instrText xml:space="preserve"> PAGEREF _Toc4230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_Toc4667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五、绩效评价工作情况及评价结果</w:t>
          </w:r>
          <w:r>
            <w:rPr>
              <w:sz w:val="28"/>
              <w:szCs w:val="28"/>
            </w:rPr>
            <w:tab/>
          </w:r>
          <w:r>
            <w:rPr>
              <w:sz w:val="28"/>
              <w:szCs w:val="28"/>
            </w:rPr>
            <w:fldChar w:fldCharType="begin"/>
          </w:r>
          <w:r>
            <w:rPr>
              <w:sz w:val="28"/>
              <w:szCs w:val="28"/>
            </w:rPr>
            <w:instrText xml:space="preserve"> PAGEREF _Toc4667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2"/>
            <w:tabs>
              <w:tab w:val="right" w:leader="dot" w:pos="8845"/>
            </w:tabs>
            <w:rPr>
              <w:sz w:val="28"/>
              <w:szCs w:val="28"/>
            </w:rPr>
          </w:pPr>
          <w:r>
            <w:rPr>
              <w:rFonts w:hint="eastAsia" w:ascii="黑体" w:hAnsi="黑体" w:eastAsia="黑体" w:cs="黑体"/>
              <w:bCs/>
              <w:i w:val="0"/>
              <w:iCs w:val="0"/>
              <w:caps w:val="0"/>
              <w:color w:val="000000"/>
              <w:spacing w:val="0"/>
              <w:sz w:val="28"/>
              <w:szCs w:val="48"/>
              <w:shd w:val="clear" w:fill="FFFFFF"/>
            </w:rPr>
            <w:fldChar w:fldCharType="begin"/>
          </w:r>
          <w:r>
            <w:rPr>
              <w:rFonts w:hint="eastAsia" w:ascii="黑体" w:hAnsi="黑体" w:eastAsia="黑体" w:cs="黑体"/>
              <w:bCs/>
              <w:i w:val="0"/>
              <w:iCs w:val="0"/>
              <w:caps w:val="0"/>
              <w:spacing w:val="0"/>
              <w:sz w:val="28"/>
              <w:szCs w:val="48"/>
              <w:shd w:val="clear" w:fill="FFFFFF"/>
            </w:rPr>
            <w:instrText xml:space="preserve"> HYPERLINK \l _Toc24276 </w:instrText>
          </w:r>
          <w:r>
            <w:rPr>
              <w:rFonts w:hint="eastAsia" w:ascii="黑体" w:hAnsi="黑体" w:eastAsia="黑体" w:cs="黑体"/>
              <w:bCs/>
              <w:i w:val="0"/>
              <w:iCs w:val="0"/>
              <w:caps w:val="0"/>
              <w:spacing w:val="0"/>
              <w:sz w:val="28"/>
              <w:szCs w:val="48"/>
              <w:shd w:val="clear" w:fill="FFFFFF"/>
            </w:rPr>
            <w:fldChar w:fldCharType="separate"/>
          </w:r>
          <w:r>
            <w:rPr>
              <w:rFonts w:hint="eastAsia" w:asciiTheme="minorEastAsia" w:hAnsiTheme="minorEastAsia" w:eastAsiaTheme="minorEastAsia" w:cstheme="minorEastAsia"/>
              <w:bCs/>
              <w:i w:val="0"/>
              <w:iCs w:val="0"/>
              <w:caps w:val="0"/>
              <w:spacing w:val="0"/>
              <w:sz w:val="28"/>
              <w:szCs w:val="44"/>
              <w:shd w:val="clear" w:fill="FFFFFF"/>
              <w:lang w:val="en-US" w:eastAsia="zh-CN"/>
            </w:rPr>
            <w:t>六、国有资产占有使用情况</w:t>
          </w:r>
          <w:r>
            <w:rPr>
              <w:sz w:val="28"/>
              <w:szCs w:val="28"/>
            </w:rPr>
            <w:tab/>
          </w:r>
          <w:r>
            <w:rPr>
              <w:sz w:val="28"/>
              <w:szCs w:val="28"/>
            </w:rPr>
            <w:fldChar w:fldCharType="begin"/>
          </w:r>
          <w:r>
            <w:rPr>
              <w:sz w:val="28"/>
              <w:szCs w:val="28"/>
            </w:rPr>
            <w:instrText xml:space="preserve"> PAGEREF _Toc24276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bCs/>
              <w:i w:val="0"/>
              <w:iCs w:val="0"/>
              <w:caps w:val="0"/>
              <w:color w:val="000000"/>
              <w:spacing w:val="0"/>
              <w:sz w:val="28"/>
              <w:szCs w:val="48"/>
              <w:shd w:val="clear" w:fill="FFFFFF"/>
            </w:rPr>
            <w:fldChar w:fldCharType="end"/>
          </w:r>
        </w:p>
        <w:p>
          <w:pPr>
            <w:pStyle w:val="11"/>
            <w:tabs>
              <w:tab w:val="right" w:leader="dot" w:pos="8845"/>
            </w:tabs>
            <w:rPr>
              <w:b/>
              <w:sz w:val="28"/>
              <w:szCs w:val="28"/>
            </w:rPr>
          </w:pPr>
          <w:r>
            <w:rPr>
              <w:rFonts w:hint="eastAsia" w:ascii="黑体" w:hAnsi="黑体" w:eastAsia="黑体" w:cs="黑体"/>
              <w:b/>
              <w:bCs/>
              <w:i w:val="0"/>
              <w:iCs w:val="0"/>
              <w:caps w:val="0"/>
              <w:color w:val="000000"/>
              <w:spacing w:val="0"/>
              <w:sz w:val="28"/>
              <w:szCs w:val="48"/>
              <w:shd w:val="clear" w:fill="FFFFFF"/>
            </w:rPr>
            <w:fldChar w:fldCharType="begin"/>
          </w:r>
          <w:r>
            <w:rPr>
              <w:rFonts w:hint="eastAsia" w:ascii="黑体" w:hAnsi="黑体" w:eastAsia="黑体" w:cs="黑体"/>
              <w:b/>
              <w:bCs/>
              <w:i w:val="0"/>
              <w:iCs w:val="0"/>
              <w:caps w:val="0"/>
              <w:spacing w:val="0"/>
              <w:sz w:val="28"/>
              <w:szCs w:val="48"/>
              <w:shd w:val="clear" w:fill="FFFFFF"/>
            </w:rPr>
            <w:instrText xml:space="preserve"> HYPERLINK \l _Toc26255 </w:instrText>
          </w:r>
          <w:r>
            <w:rPr>
              <w:rFonts w:hint="eastAsia" w:ascii="黑体" w:hAnsi="黑体" w:eastAsia="黑体" w:cs="黑体"/>
              <w:b/>
              <w:bCs/>
              <w:i w:val="0"/>
              <w:iCs w:val="0"/>
              <w:caps w:val="0"/>
              <w:spacing w:val="0"/>
              <w:sz w:val="28"/>
              <w:szCs w:val="48"/>
              <w:shd w:val="clear" w:fill="FFFFFF"/>
            </w:rPr>
            <w:fldChar w:fldCharType="separate"/>
          </w:r>
          <w:r>
            <w:rPr>
              <w:rFonts w:hint="eastAsia" w:asciiTheme="minorEastAsia" w:hAnsiTheme="minorEastAsia" w:eastAsiaTheme="minorEastAsia" w:cstheme="minorEastAsia"/>
              <w:b/>
              <w:bCs/>
              <w:i w:val="0"/>
              <w:iCs w:val="0"/>
              <w:caps w:val="0"/>
              <w:spacing w:val="0"/>
              <w:sz w:val="28"/>
              <w:szCs w:val="48"/>
              <w:shd w:val="clear" w:fill="FFFFFF"/>
            </w:rPr>
            <w:t>第四部分 名词解释</w:t>
          </w:r>
          <w:r>
            <w:rPr>
              <w:b/>
              <w:sz w:val="28"/>
              <w:szCs w:val="28"/>
            </w:rPr>
            <w:tab/>
          </w:r>
          <w:r>
            <w:rPr>
              <w:b/>
              <w:sz w:val="28"/>
              <w:szCs w:val="28"/>
            </w:rPr>
            <w:fldChar w:fldCharType="begin"/>
          </w:r>
          <w:r>
            <w:rPr>
              <w:b/>
              <w:sz w:val="28"/>
              <w:szCs w:val="28"/>
            </w:rPr>
            <w:instrText xml:space="preserve"> PAGEREF _Toc26255 </w:instrText>
          </w:r>
          <w:r>
            <w:rPr>
              <w:b/>
              <w:sz w:val="28"/>
              <w:szCs w:val="28"/>
            </w:rPr>
            <w:fldChar w:fldCharType="separate"/>
          </w:r>
          <w:r>
            <w:rPr>
              <w:b/>
              <w:sz w:val="28"/>
              <w:szCs w:val="28"/>
            </w:rPr>
            <w:t>19</w:t>
          </w:r>
          <w:r>
            <w:rPr>
              <w:b/>
              <w:sz w:val="28"/>
              <w:szCs w:val="28"/>
            </w:rPr>
            <w:fldChar w:fldCharType="end"/>
          </w:r>
          <w:r>
            <w:rPr>
              <w:rFonts w:hint="eastAsia" w:ascii="黑体" w:hAnsi="黑体" w:eastAsia="黑体" w:cs="黑体"/>
              <w:b/>
              <w:bCs/>
              <w:i w:val="0"/>
              <w:iCs w:val="0"/>
              <w:caps w:val="0"/>
              <w:color w:val="000000"/>
              <w:spacing w:val="0"/>
              <w:sz w:val="28"/>
              <w:szCs w:val="48"/>
              <w:shd w:val="clear" w:fill="FFFFFF"/>
            </w:rPr>
            <w:fldChar w:fldCharType="end"/>
          </w:r>
        </w:p>
        <w:p>
          <w:pPr>
            <w:pStyle w:val="5"/>
            <w:bidi w:val="0"/>
            <w:rPr>
              <w:rFonts w:hint="eastAsia"/>
            </w:rPr>
          </w:pPr>
          <w:r>
            <w:rPr>
              <w:rFonts w:hint="eastAsia" w:ascii="黑体" w:hAnsi="黑体" w:eastAsia="黑体" w:cs="黑体"/>
              <w:b/>
              <w:bCs/>
              <w:i w:val="0"/>
              <w:iCs w:val="0"/>
              <w:caps w:val="0"/>
              <w:color w:val="000000"/>
              <w:spacing w:val="0"/>
              <w:sz w:val="40"/>
              <w:szCs w:val="48"/>
              <w:shd w:val="clear" w:fill="FFFFFF"/>
            </w:rPr>
            <w:fldChar w:fldCharType="end"/>
          </w:r>
        </w:p>
      </w:sdtContent>
    </w:sdt>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bookmarkStart w:id="0" w:name="_Toc5006"/>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5"/>
        <w:bidi w:val="0"/>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黑体" w:hAnsi="黑体" w:eastAsia="黑体" w:cs="黑体"/>
          <w:b/>
          <w:bCs/>
          <w:i w:val="0"/>
          <w:iCs w:val="0"/>
          <w:caps w:val="0"/>
          <w:color w:val="000000"/>
          <w:spacing w:val="0"/>
          <w:sz w:val="32"/>
          <w:szCs w:val="32"/>
          <w:shd w:val="clear" w:fill="FFFFFF"/>
        </w:rPr>
        <w:sectPr>
          <w:pgSz w:w="11906" w:h="16838"/>
          <w:pgMar w:top="2098" w:right="1474" w:bottom="1984" w:left="1587" w:header="851" w:footer="992" w:gutter="0"/>
          <w:cols w:space="0" w:num="1"/>
          <w:rtlGutter w:val="0"/>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黑体" w:hAnsi="黑体" w:eastAsia="黑体" w:cs="黑体"/>
          <w:b/>
          <w:bCs/>
          <w:i w:val="0"/>
          <w:iCs w:val="0"/>
          <w:caps w:val="0"/>
          <w:color w:val="000000"/>
          <w:spacing w:val="0"/>
          <w:sz w:val="32"/>
          <w:szCs w:val="32"/>
        </w:rPr>
      </w:pPr>
      <w:r>
        <w:rPr>
          <w:rFonts w:hint="eastAsia" w:ascii="黑体" w:hAnsi="黑体" w:eastAsia="黑体" w:cs="黑体"/>
          <w:b/>
          <w:bCs/>
          <w:i w:val="0"/>
          <w:iCs w:val="0"/>
          <w:caps w:val="0"/>
          <w:color w:val="000000"/>
          <w:spacing w:val="0"/>
          <w:sz w:val="32"/>
          <w:szCs w:val="32"/>
          <w:shd w:val="clear" w:fill="FFFFFF"/>
        </w:rPr>
        <w:t xml:space="preserve">第一部分 </w:t>
      </w:r>
      <w:r>
        <w:rPr>
          <w:rFonts w:hint="eastAsia" w:ascii="黑体" w:hAnsi="黑体" w:eastAsia="黑体" w:cs="黑体"/>
          <w:b/>
          <w:bCs/>
          <w:i w:val="0"/>
          <w:iCs w:val="0"/>
          <w:caps w:val="0"/>
          <w:color w:val="000000"/>
          <w:spacing w:val="0"/>
          <w:sz w:val="32"/>
          <w:szCs w:val="32"/>
          <w:shd w:val="clear" w:fill="FFFFFF"/>
          <w:lang w:val="en-US" w:eastAsia="zh-CN"/>
        </w:rPr>
        <w:t>单位</w:t>
      </w:r>
      <w:r>
        <w:rPr>
          <w:rFonts w:hint="eastAsia" w:ascii="黑体" w:hAnsi="黑体" w:eastAsia="黑体" w:cs="黑体"/>
          <w:b/>
          <w:bCs/>
          <w:i w:val="0"/>
          <w:iCs w:val="0"/>
          <w:caps w:val="0"/>
          <w:color w:val="000000"/>
          <w:spacing w:val="0"/>
          <w:sz w:val="32"/>
          <w:szCs w:val="32"/>
          <w:shd w:val="clear" w:fill="FFFFFF"/>
        </w:rPr>
        <w:t>概况</w:t>
      </w:r>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1"/>
        <w:rPr>
          <w:rFonts w:hint="eastAsia" w:asciiTheme="minorEastAsia" w:hAnsiTheme="minorEastAsia" w:eastAsiaTheme="minorEastAsia" w:cstheme="minorEastAsia"/>
          <w:b/>
          <w:bCs/>
          <w:i w:val="0"/>
          <w:iCs w:val="0"/>
          <w:caps w:val="0"/>
          <w:color w:val="000000"/>
          <w:spacing w:val="0"/>
          <w:sz w:val="24"/>
          <w:szCs w:val="24"/>
        </w:rPr>
      </w:pPr>
      <w:bookmarkStart w:id="1" w:name="_Toc11165"/>
      <w:r>
        <w:rPr>
          <w:rFonts w:hint="eastAsia" w:asciiTheme="minorEastAsia" w:hAnsiTheme="minorEastAsia" w:eastAsiaTheme="minorEastAsia" w:cstheme="minorEastAsia"/>
          <w:b w:val="0"/>
          <w:bCs w:val="0"/>
          <w:i w:val="0"/>
          <w:iCs w:val="0"/>
          <w:caps w:val="0"/>
          <w:color w:val="000000"/>
          <w:spacing w:val="0"/>
          <w:sz w:val="28"/>
          <w:szCs w:val="28"/>
          <w:shd w:val="clear" w:fill="FFFFFF"/>
        </w:rPr>
        <w:t> </w:t>
      </w:r>
      <w:r>
        <w:rPr>
          <w:rFonts w:hint="eastAsia" w:asciiTheme="minorEastAsia" w:hAnsiTheme="minorEastAsia" w:eastAsiaTheme="minorEastAsia" w:cstheme="minorEastAsia"/>
          <w:b/>
          <w:bCs/>
          <w:i w:val="0"/>
          <w:iCs w:val="0"/>
          <w:caps w:val="0"/>
          <w:color w:val="000000"/>
          <w:spacing w:val="0"/>
          <w:sz w:val="28"/>
          <w:szCs w:val="28"/>
          <w:shd w:val="clear" w:fill="FFFFFF"/>
        </w:rPr>
        <w:t> 一、主要职责</w:t>
      </w:r>
      <w:bookmarkEnd w:id="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 </w:t>
      </w:r>
      <w:r>
        <w:rPr>
          <w:rFonts w:hint="eastAsia" w:asciiTheme="minorEastAsia" w:hAnsi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(一)负责落实全市院前急救工作。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统筹全市医疗急救资源，实施院前急救调度，照章调度车辆，强化出车单位责任。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rPr>
        <w:t>(二)开展院前急救知识宣传，分重点分行业开展院前急救知识培训。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shd w:val="clear" w:fill="FFFFFF"/>
        </w:rPr>
        <w:t xml:space="preserve">(三)为重大活动提供医疗救助保障，提供活动安全医疗任务落实。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2" w:name="_Toc938"/>
      <w:r>
        <w:rPr>
          <w:rFonts w:hint="eastAsia" w:asciiTheme="minorEastAsia" w:hAnsiTheme="minorEastAsia" w:eastAsiaTheme="minorEastAsia" w:cstheme="minorEastAsia"/>
          <w:b/>
          <w:bCs/>
          <w:i w:val="0"/>
          <w:iCs w:val="0"/>
          <w:caps w:val="0"/>
          <w:color w:val="000000"/>
          <w:spacing w:val="0"/>
          <w:sz w:val="28"/>
          <w:szCs w:val="28"/>
          <w:shd w:val="clear" w:fill="FFFFFF"/>
        </w:rPr>
        <w:t>  二、</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单位</w:t>
      </w:r>
      <w:r>
        <w:rPr>
          <w:rFonts w:hint="eastAsia" w:asciiTheme="minorEastAsia" w:hAnsiTheme="minorEastAsia" w:eastAsiaTheme="minorEastAsia" w:cstheme="minorEastAsia"/>
          <w:b/>
          <w:bCs/>
          <w:i w:val="0"/>
          <w:iCs w:val="0"/>
          <w:caps w:val="0"/>
          <w:color w:val="000000"/>
          <w:spacing w:val="0"/>
          <w:sz w:val="28"/>
          <w:szCs w:val="28"/>
          <w:shd w:val="clear" w:fill="FFFFFF"/>
        </w:rPr>
        <w:t>构成</w:t>
      </w:r>
      <w:bookmarkEnd w:id="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大同市紧急医疗救援中心设下列内设机构:</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党支部办公室。负责单位党支部与市卫健委的党务联系,督促落实党的组织活动。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(二)办公室。负责单位日常运转工作,承担调研、文稿起草和行政后勤管理等工作。负责人事管理，落实各项人事政策。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(三)调度科。负责全市日常急救的呼救受理和120网络急救车辆的调派工作，负责重大突发事件紧急医学救援的协调指挥调度和信息报告工作。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(四)信息化科。负责急救网络的维护，保证急救网络畅通，建设先进的网络系统。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(五)财务科。承担单位预决算、财务和资产管理工作,提出医疗急救服务价格政策的建议。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Theme="minorEastAsia" w:hAnsiTheme="minorEastAsia" w:eastAsiaTheme="minorEastAsia" w:cstheme="minorEastAsia"/>
          <w:b/>
          <w:bCs/>
          <w:i w:val="0"/>
          <w:iCs w:val="0"/>
          <w:caps w:val="0"/>
          <w:color w:val="000000"/>
          <w:spacing w:val="0"/>
          <w:sz w:val="32"/>
          <w:szCs w:val="32"/>
          <w:shd w:val="clear" w:fill="FFFFFF"/>
          <w:lang w:eastAsia="zh-CN"/>
        </w:rPr>
      </w:pPr>
      <w:bookmarkStart w:id="3" w:name="_Toc23489"/>
      <w:r>
        <w:rPr>
          <w:rFonts w:hint="eastAsia" w:asciiTheme="minorEastAsia" w:hAnsiTheme="minorEastAsia" w:eastAsiaTheme="minorEastAsia" w:cstheme="minorEastAsia"/>
          <w:b/>
          <w:bCs/>
          <w:i w:val="0"/>
          <w:iCs w:val="0"/>
          <w:caps w:val="0"/>
          <w:color w:val="000000"/>
          <w:spacing w:val="0"/>
          <w:sz w:val="32"/>
          <w:szCs w:val="32"/>
          <w:shd w:val="clear" w:fill="FFFFFF"/>
        </w:rPr>
        <w:t>第二部分2022年度部门预算报表</w:t>
      </w:r>
      <w:bookmarkEnd w:id="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4" w:name="_Toc12276"/>
      <w:r>
        <w:rPr>
          <w:rFonts w:hint="eastAsia" w:asciiTheme="minorEastAsia" w:hAnsiTheme="minorEastAsia" w:eastAsiaTheme="minorEastAsia" w:cstheme="minorEastAsia"/>
          <w:b w:val="0"/>
          <w:bCs w:val="0"/>
          <w:i w:val="0"/>
          <w:iCs w:val="0"/>
          <w:caps w:val="0"/>
          <w:color w:val="000000"/>
          <w:spacing w:val="0"/>
          <w:sz w:val="28"/>
          <w:szCs w:val="28"/>
          <w:shd w:val="clear" w:fill="FFFFFF"/>
        </w:rPr>
        <w:t>一、2022年</w:t>
      </w:r>
      <w:r>
        <w:rPr>
          <w:rFonts w:hint="eastAsia" w:asciiTheme="minorEastAsia" w:hAnsiTheme="minorEastAsia" w:eastAsiaTheme="minorEastAsia" w:cstheme="minorEastAsia"/>
          <w:b w:val="0"/>
          <w:bCs w:val="0"/>
          <w:i w:val="0"/>
          <w:iCs w:val="0"/>
          <w:caps w:val="0"/>
          <w:color w:val="000000"/>
          <w:spacing w:val="0"/>
          <w:sz w:val="28"/>
          <w:szCs w:val="28"/>
          <w:shd w:val="clear" w:fill="FFFFFF"/>
          <w:lang w:eastAsia="zh-CN"/>
        </w:rPr>
        <w:t>部门</w:t>
      </w:r>
      <w:r>
        <w:rPr>
          <w:rFonts w:hint="eastAsia" w:asciiTheme="minorEastAsia" w:hAnsiTheme="minorEastAsia" w:eastAsiaTheme="minorEastAsia" w:cstheme="minorEastAsia"/>
          <w:b w:val="0"/>
          <w:bCs w:val="0"/>
          <w:i w:val="0"/>
          <w:iCs w:val="0"/>
          <w:caps w:val="0"/>
          <w:color w:val="000000"/>
          <w:spacing w:val="0"/>
          <w:sz w:val="28"/>
          <w:szCs w:val="28"/>
          <w:shd w:val="clear" w:fill="FFFFFF"/>
        </w:rPr>
        <w:t>预算收支总表</w:t>
      </w:r>
      <w:bookmarkEnd w:id="4"/>
    </w:p>
    <w:tbl>
      <w:tblPr>
        <w:tblStyle w:val="9"/>
        <w:tblW w:w="4998" w:type="pct"/>
        <w:tblInd w:w="0" w:type="dxa"/>
        <w:shd w:val="clear" w:color="auto" w:fill="auto"/>
        <w:tblLayout w:type="autofit"/>
        <w:tblCellMar>
          <w:top w:w="0" w:type="dxa"/>
          <w:left w:w="0" w:type="dxa"/>
          <w:bottom w:w="0" w:type="dxa"/>
          <w:right w:w="0" w:type="dxa"/>
        </w:tblCellMar>
      </w:tblPr>
      <w:tblGrid>
        <w:gridCol w:w="3530"/>
        <w:gridCol w:w="1114"/>
        <w:gridCol w:w="2521"/>
        <w:gridCol w:w="1706"/>
      </w:tblGrid>
      <w:tr>
        <w:tblPrEx>
          <w:shd w:val="clear" w:color="auto" w:fill="auto"/>
          <w:tblCellMar>
            <w:top w:w="0" w:type="dxa"/>
            <w:left w:w="0" w:type="dxa"/>
            <w:bottom w:w="0" w:type="dxa"/>
            <w:right w:w="0" w:type="dxa"/>
          </w:tblCellMar>
        </w:tblPrEx>
        <w:trPr>
          <w:trHeight w:val="300" w:hRule="atLeast"/>
        </w:trPr>
        <w:tc>
          <w:tcPr>
            <w:tcW w:w="1742"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0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w:t>
            </w:r>
          </w:p>
        </w:tc>
      </w:tr>
      <w:tr>
        <w:tblPrEx>
          <w:tblCellMar>
            <w:top w:w="0" w:type="dxa"/>
            <w:left w:w="0" w:type="dxa"/>
            <w:bottom w:w="0" w:type="dxa"/>
            <w:right w:w="0" w:type="dxa"/>
          </w:tblCellMar>
        </w:tblPrEx>
        <w:trPr>
          <w:trHeight w:val="750"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2022年预算收支总表</w:t>
            </w:r>
          </w:p>
        </w:tc>
      </w:tr>
      <w:tr>
        <w:tblPrEx>
          <w:tblCellMar>
            <w:top w:w="0" w:type="dxa"/>
            <w:left w:w="0" w:type="dxa"/>
            <w:bottom w:w="0" w:type="dxa"/>
            <w:right w:w="0" w:type="dxa"/>
          </w:tblCellMar>
        </w:tblPrEx>
        <w:trPr>
          <w:trHeight w:val="300" w:hRule="atLeast"/>
        </w:trPr>
        <w:tc>
          <w:tcPr>
            <w:tcW w:w="174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部门:[118032]大同市紧急医疗救援中心</w:t>
            </w:r>
          </w:p>
        </w:tc>
        <w:tc>
          <w:tcPr>
            <w:tcW w:w="71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0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24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54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五、单位资金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248.23</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5" w:name="_Toc26212"/>
      <w:r>
        <w:rPr>
          <w:rFonts w:hint="eastAsia" w:asciiTheme="minorEastAsia" w:hAnsiTheme="minorEastAsia" w:eastAsiaTheme="minorEastAsia" w:cstheme="minorEastAsia"/>
          <w:b w:val="0"/>
          <w:bCs w:val="0"/>
          <w:i w:val="0"/>
          <w:iCs w:val="0"/>
          <w:caps w:val="0"/>
          <w:color w:val="000000"/>
          <w:spacing w:val="0"/>
          <w:sz w:val="28"/>
          <w:szCs w:val="28"/>
          <w:shd w:val="clear" w:fill="FFFFFF"/>
        </w:rPr>
        <w:t>二、2022年</w:t>
      </w:r>
      <w:r>
        <w:rPr>
          <w:rFonts w:hint="eastAsia" w:asciiTheme="minorEastAsia" w:hAnsiTheme="minorEastAsia" w:eastAsiaTheme="minorEastAsia" w:cstheme="minorEastAsia"/>
          <w:b w:val="0"/>
          <w:bCs w:val="0"/>
          <w:i w:val="0"/>
          <w:iCs w:val="0"/>
          <w:caps w:val="0"/>
          <w:color w:val="000000"/>
          <w:spacing w:val="0"/>
          <w:sz w:val="28"/>
          <w:szCs w:val="28"/>
          <w:shd w:val="clear" w:fill="FFFFFF"/>
          <w:lang w:eastAsia="zh-CN"/>
        </w:rPr>
        <w:t>部门</w:t>
      </w:r>
      <w:r>
        <w:rPr>
          <w:rFonts w:hint="eastAsia" w:asciiTheme="minorEastAsia" w:hAnsiTheme="minorEastAsia" w:eastAsiaTheme="minorEastAsia" w:cstheme="minorEastAsia"/>
          <w:b w:val="0"/>
          <w:bCs w:val="0"/>
          <w:i w:val="0"/>
          <w:iCs w:val="0"/>
          <w:caps w:val="0"/>
          <w:color w:val="000000"/>
          <w:spacing w:val="0"/>
          <w:sz w:val="28"/>
          <w:szCs w:val="28"/>
          <w:shd w:val="clear" w:fill="FFFFFF"/>
        </w:rPr>
        <w:t>预算收入总表</w:t>
      </w:r>
      <w:bookmarkEnd w:id="5"/>
    </w:p>
    <w:tbl>
      <w:tblPr>
        <w:tblStyle w:val="9"/>
        <w:tblW w:w="4997" w:type="pct"/>
        <w:tblInd w:w="0" w:type="dxa"/>
        <w:shd w:val="clear" w:color="auto" w:fill="auto"/>
        <w:tblLayout w:type="fixed"/>
        <w:tblCellMar>
          <w:top w:w="0" w:type="dxa"/>
          <w:left w:w="0" w:type="dxa"/>
          <w:bottom w:w="0" w:type="dxa"/>
          <w:right w:w="0" w:type="dxa"/>
        </w:tblCellMar>
      </w:tblPr>
      <w:tblGrid>
        <w:gridCol w:w="1128"/>
        <w:gridCol w:w="2128"/>
        <w:gridCol w:w="1515"/>
        <w:gridCol w:w="1440"/>
        <w:gridCol w:w="795"/>
        <w:gridCol w:w="675"/>
        <w:gridCol w:w="600"/>
        <w:gridCol w:w="589"/>
      </w:tblGrid>
      <w:tr>
        <w:tblPrEx>
          <w:shd w:val="clear" w:color="auto" w:fill="auto"/>
          <w:tblCellMar>
            <w:top w:w="0" w:type="dxa"/>
            <w:left w:w="0" w:type="dxa"/>
            <w:bottom w:w="0" w:type="dxa"/>
            <w:right w:w="0" w:type="dxa"/>
          </w:tblCellMar>
        </w:tblPrEx>
        <w:trPr>
          <w:trHeight w:val="300"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预算公开表2</w:t>
            </w:r>
          </w:p>
        </w:tc>
      </w:tr>
      <w:tr>
        <w:tblPrEx>
          <w:tblCellMar>
            <w:top w:w="0" w:type="dxa"/>
            <w:left w:w="0" w:type="dxa"/>
            <w:bottom w:w="0" w:type="dxa"/>
            <w:right w:w="0" w:type="dxa"/>
          </w:tblCellMar>
        </w:tblPrEx>
        <w:trPr>
          <w:trHeight w:val="7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2022年预算收入总表</w:t>
            </w:r>
          </w:p>
        </w:tc>
      </w:tr>
      <w:tr>
        <w:tblPrEx>
          <w:tblCellMar>
            <w:top w:w="0" w:type="dxa"/>
            <w:left w:w="0" w:type="dxa"/>
            <w:bottom w:w="0" w:type="dxa"/>
            <w:right w:w="0" w:type="dxa"/>
          </w:tblCellMar>
        </w:tblPrEx>
        <w:trPr>
          <w:trHeight w:val="375"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18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164"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52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功能科目编码</w:t>
            </w:r>
          </w:p>
        </w:tc>
        <w:tc>
          <w:tcPr>
            <w:tcW w:w="1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功能科目名称</w:t>
            </w:r>
          </w:p>
        </w:tc>
        <w:tc>
          <w:tcPr>
            <w:tcW w:w="8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4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[2080506]机关事业单位职业年金缴费支出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[21004]公共卫生</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[2100405]应急救治机构</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6" w:name="_Toc4264"/>
      <w:r>
        <w:rPr>
          <w:rFonts w:hint="eastAsia" w:asciiTheme="minorEastAsia" w:hAnsiTheme="minorEastAsia" w:eastAsiaTheme="minorEastAsia" w:cstheme="minorEastAsia"/>
          <w:b w:val="0"/>
          <w:bCs w:val="0"/>
          <w:i w:val="0"/>
          <w:iCs w:val="0"/>
          <w:caps w:val="0"/>
          <w:color w:val="000000"/>
          <w:spacing w:val="0"/>
          <w:sz w:val="28"/>
          <w:szCs w:val="28"/>
          <w:shd w:val="clear" w:fill="FFFFFF"/>
        </w:rPr>
        <w:t>三、2022年</w:t>
      </w:r>
      <w:r>
        <w:rPr>
          <w:rFonts w:hint="eastAsia" w:asciiTheme="minorEastAsia" w:hAnsiTheme="minorEastAsia" w:eastAsiaTheme="minorEastAsia" w:cstheme="minorEastAsia"/>
          <w:b w:val="0"/>
          <w:bCs w:val="0"/>
          <w:i w:val="0"/>
          <w:iCs w:val="0"/>
          <w:caps w:val="0"/>
          <w:color w:val="000000"/>
          <w:spacing w:val="0"/>
          <w:sz w:val="28"/>
          <w:szCs w:val="28"/>
          <w:shd w:val="clear" w:fill="FFFFFF"/>
          <w:lang w:eastAsia="zh-CN"/>
        </w:rPr>
        <w:t>部门</w:t>
      </w:r>
      <w:r>
        <w:rPr>
          <w:rFonts w:hint="eastAsia" w:asciiTheme="minorEastAsia" w:hAnsiTheme="minorEastAsia" w:eastAsiaTheme="minorEastAsia" w:cstheme="minorEastAsia"/>
          <w:b w:val="0"/>
          <w:bCs w:val="0"/>
          <w:i w:val="0"/>
          <w:iCs w:val="0"/>
          <w:caps w:val="0"/>
          <w:color w:val="000000"/>
          <w:spacing w:val="0"/>
          <w:sz w:val="28"/>
          <w:szCs w:val="28"/>
          <w:shd w:val="clear" w:fill="FFFFFF"/>
        </w:rPr>
        <w:t>预算支出总表</w:t>
      </w:r>
      <w:bookmarkEnd w:id="6"/>
    </w:p>
    <w:tbl>
      <w:tblPr>
        <w:tblStyle w:val="9"/>
        <w:tblW w:w="4997" w:type="pct"/>
        <w:tblInd w:w="0" w:type="dxa"/>
        <w:shd w:val="clear" w:color="auto" w:fill="auto"/>
        <w:tblLayout w:type="fixed"/>
        <w:tblCellMar>
          <w:top w:w="0" w:type="dxa"/>
          <w:left w:w="0" w:type="dxa"/>
          <w:bottom w:w="0" w:type="dxa"/>
          <w:right w:w="0" w:type="dxa"/>
        </w:tblCellMar>
      </w:tblPr>
      <w:tblGrid>
        <w:gridCol w:w="1128"/>
        <w:gridCol w:w="4648"/>
        <w:gridCol w:w="990"/>
        <w:gridCol w:w="919"/>
        <w:gridCol w:w="1185"/>
      </w:tblGrid>
      <w:tr>
        <w:tblPrEx>
          <w:shd w:val="clear" w:color="auto" w:fill="auto"/>
          <w:tblCellMar>
            <w:top w:w="0" w:type="dxa"/>
            <w:left w:w="0" w:type="dxa"/>
            <w:bottom w:w="0" w:type="dxa"/>
            <w:right w:w="0" w:type="dxa"/>
          </w:tblCellMar>
        </w:tblPrEx>
        <w:trPr>
          <w:trHeight w:val="300"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预算公开表3</w:t>
            </w:r>
          </w:p>
        </w:tc>
      </w:tr>
      <w:tr>
        <w:tblPrEx>
          <w:tblCellMar>
            <w:top w:w="0" w:type="dxa"/>
            <w:left w:w="0" w:type="dxa"/>
            <w:bottom w:w="0" w:type="dxa"/>
            <w:right w:w="0" w:type="dxa"/>
          </w:tblCellMar>
        </w:tblPrEx>
        <w:trPr>
          <w:trHeight w:val="75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2022年预算支出总表</w:t>
            </w:r>
          </w:p>
        </w:tc>
      </w:tr>
      <w:tr>
        <w:tblPrEx>
          <w:tblCellMar>
            <w:top w:w="0" w:type="dxa"/>
            <w:left w:w="0" w:type="dxa"/>
            <w:bottom w:w="0" w:type="dxa"/>
            <w:right w:w="0" w:type="dxa"/>
          </w:tblCellMar>
        </w:tblPrEx>
        <w:trPr>
          <w:trHeight w:val="375" w:hRule="atLeast"/>
        </w:trPr>
        <w:tc>
          <w:tcPr>
            <w:tcW w:w="6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2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32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4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106.07</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[2080506]机关事业单位职业年金缴费支出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83.73</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[21004]公共卫生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80.91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[2100405]应急救治机构</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80.91</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6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26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7" w:name="_Toc13589"/>
      <w:r>
        <w:rPr>
          <w:rFonts w:hint="eastAsia" w:asciiTheme="minorEastAsia" w:hAnsiTheme="minorEastAsia" w:eastAsiaTheme="minorEastAsia" w:cstheme="minorEastAsia"/>
          <w:b w:val="0"/>
          <w:bCs w:val="0"/>
          <w:i w:val="0"/>
          <w:iCs w:val="0"/>
          <w:caps w:val="0"/>
          <w:color w:val="000000"/>
          <w:spacing w:val="0"/>
          <w:sz w:val="28"/>
          <w:szCs w:val="28"/>
          <w:shd w:val="clear" w:fill="FFFFFF"/>
        </w:rPr>
        <w:t>四、2022年财政拨款收支总表</w:t>
      </w:r>
      <w:bookmarkEnd w:id="7"/>
    </w:p>
    <w:tbl>
      <w:tblPr>
        <w:tblStyle w:val="9"/>
        <w:tblW w:w="4998" w:type="pct"/>
        <w:tblInd w:w="0" w:type="dxa"/>
        <w:shd w:val="clear" w:color="auto" w:fill="auto"/>
        <w:tblLayout w:type="autofit"/>
        <w:tblCellMar>
          <w:top w:w="0" w:type="dxa"/>
          <w:left w:w="0" w:type="dxa"/>
          <w:bottom w:w="0" w:type="dxa"/>
          <w:right w:w="0" w:type="dxa"/>
        </w:tblCellMar>
      </w:tblPr>
      <w:tblGrid>
        <w:gridCol w:w="2030"/>
        <w:gridCol w:w="951"/>
        <w:gridCol w:w="2230"/>
        <w:gridCol w:w="697"/>
        <w:gridCol w:w="1100"/>
        <w:gridCol w:w="668"/>
        <w:gridCol w:w="1195"/>
      </w:tblGrid>
      <w:tr>
        <w:tblPrEx>
          <w:shd w:val="clear" w:color="auto" w:fill="auto"/>
          <w:tblCellMar>
            <w:top w:w="0" w:type="dxa"/>
            <w:left w:w="0" w:type="dxa"/>
            <w:bottom w:w="0" w:type="dxa"/>
            <w:right w:w="0" w:type="dxa"/>
          </w:tblCellMar>
        </w:tblPrEx>
        <w:trPr>
          <w:trHeight w:val="300" w:hRule="atLeast"/>
        </w:trPr>
        <w:tc>
          <w:tcPr>
            <w:tcW w:w="107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6"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2" w:type="pct"/>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预算公开表4</w:t>
            </w:r>
          </w:p>
        </w:tc>
      </w:tr>
      <w:tr>
        <w:tblPrEx>
          <w:tblCellMar>
            <w:top w:w="0" w:type="dxa"/>
            <w:left w:w="0" w:type="dxa"/>
            <w:bottom w:w="0" w:type="dxa"/>
            <w:right w:w="0" w:type="dxa"/>
          </w:tblCellMar>
        </w:tblPrEx>
        <w:trPr>
          <w:trHeight w:val="75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2022年财政拨款收支总表</w:t>
            </w:r>
          </w:p>
        </w:tc>
      </w:tr>
      <w:tr>
        <w:tblPrEx>
          <w:tblCellMar>
            <w:top w:w="0" w:type="dxa"/>
            <w:left w:w="0" w:type="dxa"/>
            <w:bottom w:w="0" w:type="dxa"/>
            <w:right w:w="0" w:type="dxa"/>
          </w:tblCellMar>
        </w:tblPrEx>
        <w:trPr>
          <w:trHeight w:val="300" w:hRule="atLeast"/>
        </w:trPr>
        <w:tc>
          <w:tcPr>
            <w:tcW w:w="107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6"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2" w:type="pct"/>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16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3367"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75" w:hRule="atLeast"/>
        </w:trPr>
        <w:tc>
          <w:tcPr>
            <w:tcW w:w="107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20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660" w:hRule="atLeast"/>
        </w:trPr>
        <w:tc>
          <w:tcPr>
            <w:tcW w:w="107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248.23</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248.23</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270.57</w:t>
            </w:r>
          </w:p>
        </w:tc>
        <w:tc>
          <w:tcPr>
            <w:tcW w:w="4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8" w:name="_Toc31314"/>
      <w:r>
        <w:rPr>
          <w:rFonts w:hint="eastAsia" w:asciiTheme="minorEastAsia" w:hAnsiTheme="minorEastAsia" w:eastAsiaTheme="minorEastAsia" w:cstheme="minorEastAsia"/>
          <w:b w:val="0"/>
          <w:bCs w:val="0"/>
          <w:i w:val="0"/>
          <w:iCs w:val="0"/>
          <w:caps w:val="0"/>
          <w:color w:val="000000"/>
          <w:spacing w:val="0"/>
          <w:sz w:val="28"/>
          <w:szCs w:val="28"/>
          <w:shd w:val="clear" w:fill="FFFFFF"/>
        </w:rPr>
        <w:t>五、2022年一般公共预算支出预算表</w:t>
      </w:r>
      <w:bookmarkEnd w:id="8"/>
    </w:p>
    <w:tbl>
      <w:tblPr>
        <w:tblStyle w:val="9"/>
        <w:tblW w:w="5000" w:type="pct"/>
        <w:tblInd w:w="0" w:type="dxa"/>
        <w:shd w:val="clear" w:color="auto" w:fill="auto"/>
        <w:tblLayout w:type="fixed"/>
        <w:tblCellMar>
          <w:top w:w="0" w:type="dxa"/>
          <w:left w:w="0" w:type="dxa"/>
          <w:bottom w:w="0" w:type="dxa"/>
          <w:right w:w="0" w:type="dxa"/>
        </w:tblCellMar>
      </w:tblPr>
      <w:tblGrid>
        <w:gridCol w:w="2730"/>
        <w:gridCol w:w="3151"/>
        <w:gridCol w:w="1095"/>
        <w:gridCol w:w="960"/>
        <w:gridCol w:w="939"/>
      </w:tblGrid>
      <w:tr>
        <w:tblPrEx>
          <w:shd w:val="clear" w:color="auto" w:fill="auto"/>
          <w:tblCellMar>
            <w:top w:w="0" w:type="dxa"/>
            <w:left w:w="0" w:type="dxa"/>
            <w:bottom w:w="0" w:type="dxa"/>
            <w:right w:w="0" w:type="dxa"/>
          </w:tblCellMar>
        </w:tblPrEx>
        <w:trPr>
          <w:trHeight w:val="300" w:hRule="atLeast"/>
        </w:trPr>
        <w:tc>
          <w:tcPr>
            <w:tcW w:w="15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9"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预算公开表5</w:t>
            </w:r>
          </w:p>
        </w:tc>
      </w:tr>
      <w:tr>
        <w:tblPrEx>
          <w:tblCellMar>
            <w:top w:w="0" w:type="dxa"/>
            <w:left w:w="0" w:type="dxa"/>
            <w:bottom w:w="0" w:type="dxa"/>
            <w:right w:w="0" w:type="dxa"/>
          </w:tblCellMar>
        </w:tblPrEx>
        <w:trPr>
          <w:trHeight w:val="75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2022年一般公共预算支出预算表</w:t>
            </w:r>
          </w:p>
        </w:tc>
      </w:tr>
      <w:tr>
        <w:tblPrEx>
          <w:tblCellMar>
            <w:top w:w="0" w:type="dxa"/>
            <w:left w:w="0" w:type="dxa"/>
            <w:bottom w:w="0" w:type="dxa"/>
            <w:right w:w="0" w:type="dxa"/>
          </w:tblCellMar>
        </w:tblPrEx>
        <w:trPr>
          <w:trHeight w:val="375" w:hRule="atLeast"/>
        </w:trPr>
        <w:tc>
          <w:tcPr>
            <w:tcW w:w="153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部门:[118032]大同市紧急医疗救援中心</w:t>
            </w:r>
          </w:p>
        </w:tc>
        <w:tc>
          <w:tcPr>
            <w:tcW w:w="17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9"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331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270.57</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[2080502]事业单位离退休</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[2080505]机关事业单位基本养老保险缴费支出</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[2080506]机关事业单位职业年金缴费支出</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248.23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83.73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[21004]公共卫生</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245.41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80.91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2100405</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[2100405]应急救治机构</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164.50</w:t>
            </w: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[2101102]事业单位医疗</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[2210201]住房公积金</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[2210202]提租补贴</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9" w:name="_Toc32384"/>
      <w:r>
        <w:rPr>
          <w:rFonts w:hint="eastAsia" w:asciiTheme="minorEastAsia" w:hAnsiTheme="minorEastAsia" w:eastAsiaTheme="minorEastAsia" w:cstheme="minorEastAsia"/>
          <w:b w:val="0"/>
          <w:bCs w:val="0"/>
          <w:i w:val="0"/>
          <w:iCs w:val="0"/>
          <w:caps w:val="0"/>
          <w:color w:val="000000"/>
          <w:spacing w:val="0"/>
          <w:sz w:val="28"/>
          <w:szCs w:val="28"/>
          <w:shd w:val="clear" w:fill="FFFFFF"/>
        </w:rPr>
        <w:t>六、2022年一般公共预算安排基本支出分经济科目表</w:t>
      </w:r>
      <w:bookmarkEnd w:id="9"/>
    </w:p>
    <w:tbl>
      <w:tblPr>
        <w:tblStyle w:val="9"/>
        <w:tblW w:w="4998" w:type="pct"/>
        <w:tblInd w:w="0" w:type="dxa"/>
        <w:shd w:val="clear" w:color="auto" w:fill="auto"/>
        <w:tblLayout w:type="autofit"/>
        <w:tblCellMar>
          <w:top w:w="0" w:type="dxa"/>
          <w:left w:w="0" w:type="dxa"/>
          <w:bottom w:w="0" w:type="dxa"/>
          <w:right w:w="0" w:type="dxa"/>
        </w:tblCellMar>
      </w:tblPr>
      <w:tblGrid>
        <w:gridCol w:w="3378"/>
        <w:gridCol w:w="2768"/>
        <w:gridCol w:w="2725"/>
      </w:tblGrid>
      <w:tr>
        <w:tblPrEx>
          <w:shd w:val="clear" w:color="auto" w:fill="auto"/>
          <w:tblCellMar>
            <w:top w:w="0" w:type="dxa"/>
            <w:left w:w="0" w:type="dxa"/>
            <w:bottom w:w="0" w:type="dxa"/>
            <w:right w:w="0" w:type="dxa"/>
          </w:tblCellMar>
        </w:tblPrEx>
        <w:trPr>
          <w:trHeight w:val="300" w:hRule="atLeast"/>
        </w:trPr>
        <w:tc>
          <w:tcPr>
            <w:tcW w:w="190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预算公开表6</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一般公共预算安排基本支出分经济科目表</w:t>
            </w:r>
          </w:p>
        </w:tc>
      </w:tr>
      <w:tr>
        <w:tblPrEx>
          <w:tblCellMar>
            <w:top w:w="0" w:type="dxa"/>
            <w:left w:w="0" w:type="dxa"/>
            <w:bottom w:w="0" w:type="dxa"/>
            <w:right w:w="0" w:type="dxa"/>
          </w:tblCellMar>
        </w:tblPrEx>
        <w:trPr>
          <w:trHeight w:val="300" w:hRule="atLeast"/>
        </w:trPr>
        <w:tc>
          <w:tcPr>
            <w:tcW w:w="190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106.07</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99.56</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[50501]工资福利支出</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99.56</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50502</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5.27</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[5050203]公务用车运行维护费</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[5050299]商品和服务支出</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509</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[50901]社会福利和救助</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0.06</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[50905]离退休费</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0" w:name="_Toc29690"/>
      <w:r>
        <w:rPr>
          <w:rFonts w:hint="eastAsia" w:asciiTheme="minorEastAsia" w:hAnsiTheme="minorEastAsia" w:eastAsiaTheme="minorEastAsia" w:cstheme="minorEastAsia"/>
          <w:b w:val="0"/>
          <w:bCs w:val="0"/>
          <w:i w:val="0"/>
          <w:iCs w:val="0"/>
          <w:caps w:val="0"/>
          <w:color w:val="000000"/>
          <w:spacing w:val="0"/>
          <w:sz w:val="28"/>
          <w:szCs w:val="28"/>
          <w:shd w:val="clear" w:fill="FFFFFF"/>
        </w:rPr>
        <w:t>七、2022年政府性基金预算收入表</w:t>
      </w:r>
      <w:bookmarkEnd w:id="10"/>
    </w:p>
    <w:tbl>
      <w:tblPr>
        <w:tblStyle w:val="9"/>
        <w:tblW w:w="4999" w:type="pct"/>
        <w:tblInd w:w="0" w:type="dxa"/>
        <w:shd w:val="clear" w:color="auto" w:fill="auto"/>
        <w:tblLayout w:type="autofit"/>
        <w:tblCellMar>
          <w:top w:w="0" w:type="dxa"/>
          <w:left w:w="0" w:type="dxa"/>
          <w:bottom w:w="0" w:type="dxa"/>
          <w:right w:w="0" w:type="dxa"/>
        </w:tblCellMar>
      </w:tblPr>
      <w:tblGrid>
        <w:gridCol w:w="2252"/>
        <w:gridCol w:w="3693"/>
        <w:gridCol w:w="2928"/>
      </w:tblGrid>
      <w:tr>
        <w:tblPrEx>
          <w:shd w:val="clear" w:color="auto" w:fill="auto"/>
          <w:tblCellMar>
            <w:top w:w="0" w:type="dxa"/>
            <w:left w:w="0" w:type="dxa"/>
            <w:bottom w:w="0" w:type="dxa"/>
            <w:right w:w="0" w:type="dxa"/>
          </w:tblCellMar>
        </w:tblPrEx>
        <w:trPr>
          <w:trHeight w:val="300" w:hRule="atLeast"/>
        </w:trPr>
        <w:tc>
          <w:tcPr>
            <w:tcW w:w="126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预算公开表7</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2022年政府性基金预算收入表</w:t>
            </w:r>
          </w:p>
        </w:tc>
      </w:tr>
      <w:tr>
        <w:tblPrEx>
          <w:tblCellMar>
            <w:top w:w="0" w:type="dxa"/>
            <w:left w:w="0" w:type="dxa"/>
            <w:bottom w:w="0" w:type="dxa"/>
            <w:right w:w="0" w:type="dxa"/>
          </w:tblCellMar>
        </w:tblPrEx>
        <w:trPr>
          <w:trHeight w:val="300" w:hRule="atLeast"/>
        </w:trPr>
        <w:tc>
          <w:tcPr>
            <w:tcW w:w="126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政府性基金收入预算</w:t>
            </w:r>
          </w:p>
        </w:tc>
      </w:tr>
      <w:tr>
        <w:tblPrEx>
          <w:tblCellMar>
            <w:top w:w="0" w:type="dxa"/>
            <w:left w:w="0" w:type="dxa"/>
            <w:bottom w:w="0" w:type="dxa"/>
            <w:right w:w="0"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1" w:name="_Toc21613"/>
      <w:r>
        <w:rPr>
          <w:rFonts w:hint="eastAsia" w:ascii="仿宋_GB2312" w:hAnsi="楷体" w:eastAsia="仿宋_GB2312" w:cs="Times New Roman"/>
          <w:bCs w:val="0"/>
          <w:kern w:val="2"/>
          <w:sz w:val="32"/>
          <w:szCs w:val="32"/>
          <w:lang w:val="en-US" w:eastAsia="zh-CN" w:bidi="ar-SA"/>
        </w:rPr>
        <w:t>说明：本单位政府性基金预算收入为零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八、2022年政府性基金预算支出表</w:t>
      </w:r>
      <w:bookmarkEnd w:id="11"/>
    </w:p>
    <w:tbl>
      <w:tblPr>
        <w:tblStyle w:val="9"/>
        <w:tblW w:w="4999" w:type="pct"/>
        <w:tblInd w:w="0" w:type="dxa"/>
        <w:shd w:val="clear" w:color="auto" w:fill="auto"/>
        <w:tblLayout w:type="autofit"/>
        <w:tblCellMar>
          <w:top w:w="0" w:type="dxa"/>
          <w:left w:w="0" w:type="dxa"/>
          <w:bottom w:w="0" w:type="dxa"/>
          <w:right w:w="0" w:type="dxa"/>
        </w:tblCellMar>
      </w:tblPr>
      <w:tblGrid>
        <w:gridCol w:w="1870"/>
        <w:gridCol w:w="4280"/>
        <w:gridCol w:w="2723"/>
      </w:tblGrid>
      <w:tr>
        <w:tblPrEx>
          <w:shd w:val="clear" w:color="auto" w:fill="auto"/>
          <w:tblCellMar>
            <w:top w:w="0" w:type="dxa"/>
            <w:left w:w="0" w:type="dxa"/>
            <w:bottom w:w="0" w:type="dxa"/>
            <w:right w:w="0" w:type="dxa"/>
          </w:tblCellMar>
        </w:tblPrEx>
        <w:trPr>
          <w:trHeight w:val="300" w:hRule="atLeast"/>
        </w:trPr>
        <w:tc>
          <w:tcPr>
            <w:tcW w:w="1054" w:type="pct"/>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2"/>
                <w:szCs w:val="22"/>
                <w:u w:val="none"/>
              </w:rPr>
            </w:pPr>
          </w:p>
        </w:tc>
        <w:tc>
          <w:tcPr>
            <w:tcW w:w="241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预算公开表8</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2022年政府性基金预算支出表</w:t>
            </w:r>
          </w:p>
        </w:tc>
      </w:tr>
      <w:tr>
        <w:tblPrEx>
          <w:tblCellMar>
            <w:top w:w="0" w:type="dxa"/>
            <w:left w:w="0" w:type="dxa"/>
            <w:bottom w:w="0" w:type="dxa"/>
            <w:right w:w="0" w:type="dxa"/>
          </w:tblCellMar>
        </w:tblPrEx>
        <w:trPr>
          <w:trHeight w:val="300" w:hRule="atLeast"/>
        </w:trPr>
        <w:tc>
          <w:tcPr>
            <w:tcW w:w="105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政府性基金支出预算</w:t>
            </w:r>
          </w:p>
        </w:tc>
      </w:tr>
      <w:tr>
        <w:tblPrEx>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2" w:name="_Toc23455"/>
      <w:r>
        <w:rPr>
          <w:rFonts w:hint="eastAsia" w:ascii="仿宋_GB2312" w:hAnsi="楷体" w:eastAsia="仿宋_GB2312" w:cs="Times New Roman"/>
          <w:bCs w:val="0"/>
          <w:kern w:val="2"/>
          <w:sz w:val="32"/>
          <w:szCs w:val="32"/>
          <w:lang w:val="en-US" w:eastAsia="zh-CN" w:bidi="ar-SA"/>
        </w:rPr>
        <w:t>说明：本单位政府性基金预算支出为零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九、2022年国有资本经营预算收支预算表</w:t>
      </w:r>
      <w:bookmarkEnd w:id="12"/>
    </w:p>
    <w:tbl>
      <w:tblPr>
        <w:tblStyle w:val="9"/>
        <w:tblW w:w="4997" w:type="pct"/>
        <w:tblInd w:w="0" w:type="dxa"/>
        <w:shd w:val="clear" w:color="auto" w:fill="auto"/>
        <w:tblLayout w:type="autofit"/>
        <w:tblCellMar>
          <w:top w:w="0" w:type="dxa"/>
          <w:left w:w="0" w:type="dxa"/>
          <w:bottom w:w="0" w:type="dxa"/>
          <w:right w:w="0" w:type="dxa"/>
        </w:tblCellMar>
      </w:tblPr>
      <w:tblGrid>
        <w:gridCol w:w="1393"/>
        <w:gridCol w:w="999"/>
        <w:gridCol w:w="1891"/>
        <w:gridCol w:w="999"/>
        <w:gridCol w:w="999"/>
        <w:gridCol w:w="584"/>
        <w:gridCol w:w="999"/>
        <w:gridCol w:w="1006"/>
      </w:tblGrid>
      <w:tr>
        <w:tblPrEx>
          <w:shd w:val="clear" w:color="auto" w:fill="auto"/>
          <w:tblCellMar>
            <w:top w:w="0" w:type="dxa"/>
            <w:left w:w="0" w:type="dxa"/>
            <w:bottom w:w="0" w:type="dxa"/>
            <w:right w:w="0" w:type="dxa"/>
          </w:tblCellMar>
        </w:tblPrEx>
        <w:trPr>
          <w:trHeight w:val="300" w:hRule="atLeast"/>
        </w:trPr>
        <w:tc>
          <w:tcPr>
            <w:tcW w:w="78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预算公开表9</w:t>
            </w:r>
          </w:p>
        </w:tc>
      </w:tr>
      <w:tr>
        <w:tblPrEx>
          <w:tblCellMar>
            <w:top w:w="0" w:type="dxa"/>
            <w:left w:w="0" w:type="dxa"/>
            <w:bottom w:w="0" w:type="dxa"/>
            <w:right w:w="0" w:type="dxa"/>
          </w:tblCellMar>
        </w:tblPrEx>
        <w:trPr>
          <w:trHeight w:val="7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2022年国有资本经营预算收支预算表</w:t>
            </w:r>
          </w:p>
        </w:tc>
      </w:tr>
      <w:tr>
        <w:tblPrEx>
          <w:tblCellMar>
            <w:top w:w="0" w:type="dxa"/>
            <w:left w:w="0" w:type="dxa"/>
            <w:bottom w:w="0" w:type="dxa"/>
            <w:right w:w="0" w:type="dxa"/>
          </w:tblCellMar>
        </w:tblPrEx>
        <w:trPr>
          <w:trHeight w:val="300" w:hRule="atLeast"/>
        </w:trPr>
        <w:tc>
          <w:tcPr>
            <w:tcW w:w="78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45" w:hRule="atLeast"/>
        </w:trPr>
        <w:tc>
          <w:tcPr>
            <w:tcW w:w="241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国有资本经营预算收入</w:t>
            </w:r>
          </w:p>
        </w:tc>
        <w:tc>
          <w:tcPr>
            <w:tcW w:w="2584"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r>
      <w:tr>
        <w:tblPrEx>
          <w:tblCellMar>
            <w:top w:w="0" w:type="dxa"/>
            <w:left w:w="0" w:type="dxa"/>
            <w:bottom w:w="0" w:type="dxa"/>
            <w:right w:w="0" w:type="dxa"/>
          </w:tblCellMar>
        </w:tblPrEx>
        <w:trPr>
          <w:trHeight w:val="345" w:hRule="atLeast"/>
        </w:trPr>
        <w:tc>
          <w:tcPr>
            <w:tcW w:w="134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6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国有资本经营收入预算</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45"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5" w:hRule="atLeast"/>
        </w:trPr>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3" w:name="_Toc19155"/>
      <w:r>
        <w:rPr>
          <w:rFonts w:hint="eastAsia" w:ascii="仿宋_GB2312" w:hAnsi="楷体" w:eastAsia="仿宋_GB2312" w:cs="Times New Roman"/>
          <w:bCs w:val="0"/>
          <w:kern w:val="2"/>
          <w:sz w:val="32"/>
          <w:szCs w:val="32"/>
          <w:lang w:val="en-US" w:eastAsia="zh-CN" w:bidi="ar-SA"/>
        </w:rPr>
        <w:t>说明：本单位国有资本经营预算收支均为零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十、2022年“三公”经费支出表</w:t>
      </w:r>
      <w:bookmarkEnd w:id="13"/>
    </w:p>
    <w:tbl>
      <w:tblPr>
        <w:tblStyle w:val="9"/>
        <w:tblW w:w="4999" w:type="pct"/>
        <w:tblInd w:w="0" w:type="dxa"/>
        <w:shd w:val="clear" w:color="auto" w:fill="auto"/>
        <w:tblLayout w:type="autofit"/>
        <w:tblCellMar>
          <w:top w:w="0" w:type="dxa"/>
          <w:left w:w="0" w:type="dxa"/>
          <w:bottom w:w="0" w:type="dxa"/>
          <w:right w:w="0" w:type="dxa"/>
        </w:tblCellMar>
      </w:tblPr>
      <w:tblGrid>
        <w:gridCol w:w="4232"/>
        <w:gridCol w:w="4641"/>
      </w:tblGrid>
      <w:tr>
        <w:tblPrEx>
          <w:shd w:val="clear" w:color="auto" w:fill="auto"/>
          <w:tblCellMar>
            <w:top w:w="0" w:type="dxa"/>
            <w:left w:w="0" w:type="dxa"/>
            <w:bottom w:w="0" w:type="dxa"/>
            <w:right w:w="0" w:type="dxa"/>
          </w:tblCellMar>
        </w:tblPrEx>
        <w:trPr>
          <w:trHeight w:val="300" w:hRule="atLeast"/>
        </w:trPr>
        <w:tc>
          <w:tcPr>
            <w:tcW w:w="238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预算公开表10</w:t>
            </w:r>
          </w:p>
        </w:tc>
      </w:tr>
      <w:tr>
        <w:tblPrEx>
          <w:tblCellMar>
            <w:top w:w="0" w:type="dxa"/>
            <w:left w:w="0" w:type="dxa"/>
            <w:bottom w:w="0" w:type="dxa"/>
            <w:right w:w="0" w:type="dxa"/>
          </w:tblCellMar>
        </w:tblPrEx>
        <w:trPr>
          <w:trHeight w:val="750"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2022年一般公共预算“三公”经费支出情况统计表</w:t>
            </w:r>
          </w:p>
        </w:tc>
      </w:tr>
      <w:tr>
        <w:tblPrEx>
          <w:tblCellMar>
            <w:top w:w="0" w:type="dxa"/>
            <w:left w:w="0" w:type="dxa"/>
            <w:bottom w:w="0" w:type="dxa"/>
            <w:right w:w="0" w:type="dxa"/>
          </w:tblCellMar>
        </w:tblPrEx>
        <w:trPr>
          <w:trHeight w:val="300" w:hRule="atLeast"/>
        </w:trPr>
        <w:tc>
          <w:tcPr>
            <w:tcW w:w="238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①公务用车购置费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②公务用车运行维护费</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r>
        <w:tblPrEx>
          <w:tblCellMar>
            <w:top w:w="0" w:type="dxa"/>
            <w:left w:w="0" w:type="dxa"/>
            <w:bottom w:w="0" w:type="dxa"/>
            <w:right w:w="0"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bl>
    <w:p>
      <w:pPr>
        <w:pStyle w:val="3"/>
        <w:rPr>
          <w:rFonts w:hint="eastAsia" w:asciiTheme="minorEastAsia" w:hAnsiTheme="minorEastAsia" w:eastAsiaTheme="minorEastAsia" w:cstheme="minorEastAsia"/>
          <w:b w:val="0"/>
          <w:bCs w:val="0"/>
          <w:i w:val="0"/>
          <w:iCs w:val="0"/>
          <w:caps w:val="0"/>
          <w:color w:val="000000"/>
          <w:spacing w:val="0"/>
          <w:sz w:val="28"/>
          <w:szCs w:val="28"/>
          <w:shd w:val="clear" w:fill="FFFFFF"/>
        </w:rPr>
      </w:pPr>
      <w:bookmarkStart w:id="14" w:name="_Toc13196"/>
      <w:r>
        <w:rPr>
          <w:rFonts w:hint="eastAsia" w:ascii="仿宋_GB2312" w:hAnsi="楷体" w:eastAsia="仿宋_GB2312" w:cs="Times New Roman"/>
          <w:bCs w:val="0"/>
          <w:kern w:val="2"/>
          <w:sz w:val="32"/>
          <w:szCs w:val="32"/>
          <w:lang w:val="en-US" w:eastAsia="zh-CN" w:bidi="ar-SA"/>
        </w:rPr>
        <w:t>说明：本单位三公”经费支出为零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outlineLvl w:val="1"/>
        <w:rPr>
          <w:rFonts w:hint="eastAsia" w:asciiTheme="minorEastAsia" w:hAnsiTheme="minorEastAsia" w:eastAsiaTheme="minorEastAsia" w:cstheme="minorEastAsia"/>
          <w:b w:val="0"/>
          <w:bCs w:val="0"/>
          <w:i w:val="0"/>
          <w:iCs w:val="0"/>
          <w:caps w:val="0"/>
          <w:color w:val="000000"/>
          <w:spacing w:val="0"/>
          <w:sz w:val="28"/>
          <w:szCs w:val="28"/>
          <w:shd w:val="clear" w:fill="FFFFFF"/>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十一、2022年机关运行经费预算财政拨款情况表</w:t>
      </w:r>
      <w:bookmarkEnd w:id="14"/>
    </w:p>
    <w:tbl>
      <w:tblPr>
        <w:tblStyle w:val="9"/>
        <w:tblW w:w="4999" w:type="pct"/>
        <w:tblInd w:w="0" w:type="dxa"/>
        <w:shd w:val="clear" w:color="auto" w:fill="auto"/>
        <w:tblLayout w:type="autofit"/>
        <w:tblCellMar>
          <w:top w:w="0" w:type="dxa"/>
          <w:left w:w="0" w:type="dxa"/>
          <w:bottom w:w="0" w:type="dxa"/>
          <w:right w:w="0" w:type="dxa"/>
        </w:tblCellMar>
      </w:tblPr>
      <w:tblGrid>
        <w:gridCol w:w="1778"/>
        <w:gridCol w:w="3643"/>
        <w:gridCol w:w="3452"/>
      </w:tblGrid>
      <w:tr>
        <w:tblPrEx>
          <w:shd w:val="clear" w:color="auto" w:fill="auto"/>
          <w:tblCellMar>
            <w:top w:w="0" w:type="dxa"/>
            <w:left w:w="0" w:type="dxa"/>
            <w:bottom w:w="0" w:type="dxa"/>
            <w:right w:w="0" w:type="dxa"/>
          </w:tblCellMar>
        </w:tblPrEx>
        <w:trPr>
          <w:trHeight w:val="300"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2"/>
                <w:szCs w:val="22"/>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预算公开表11</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2022年机关运行经费预算财政拨款情况统计表</w:t>
            </w:r>
          </w:p>
        </w:tc>
      </w:tr>
      <w:tr>
        <w:tblPrEx>
          <w:tblCellMar>
            <w:top w:w="0" w:type="dxa"/>
            <w:left w:w="0" w:type="dxa"/>
            <w:bottom w:w="0" w:type="dxa"/>
            <w:right w:w="0" w:type="dxa"/>
          </w:tblCellMar>
        </w:tblPrEx>
        <w:trPr>
          <w:trHeight w:val="300"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default" w:ascii="Calibri" w:hAnsi="Calibri" w:cs="Calibri"/>
                <w:i w:val="0"/>
                <w:color w:val="000000"/>
                <w:sz w:val="22"/>
                <w:szCs w:val="22"/>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3"/>
        <w:rPr>
          <w:rFonts w:hint="eastAsia" w:asciiTheme="minorEastAsia" w:hAnsiTheme="minorEastAsia" w:eastAsiaTheme="minorEastAsia" w:cstheme="minorEastAsia"/>
          <w:lang w:val="en-US" w:eastAsia="zh-CN"/>
        </w:rPr>
      </w:pPr>
      <w:r>
        <w:rPr>
          <w:rFonts w:hint="eastAsia" w:ascii="仿宋_GB2312" w:hAnsi="楷体" w:eastAsia="仿宋_GB2312" w:cs="Times New Roman"/>
          <w:bCs w:val="0"/>
          <w:kern w:val="2"/>
          <w:sz w:val="32"/>
          <w:szCs w:val="32"/>
          <w:lang w:val="en-US" w:eastAsia="zh-CN" w:bidi="ar-SA"/>
        </w:rPr>
        <w:t>说明：本单位机关运行经费支出为零</w:t>
      </w:r>
      <w:bookmarkStart w:id="23" w:name="_GoBack"/>
      <w:bookmarkEnd w:id="2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Theme="minorEastAsia" w:hAnsiTheme="minorEastAsia" w:eastAsiaTheme="minorEastAsia" w:cstheme="minorEastAsia"/>
          <w:b/>
          <w:bCs/>
          <w:i w:val="0"/>
          <w:iCs w:val="0"/>
          <w:caps w:val="0"/>
          <w:color w:val="000000"/>
          <w:spacing w:val="0"/>
          <w:sz w:val="32"/>
          <w:szCs w:val="32"/>
          <w:shd w:val="clear" w:fill="FFFFFF"/>
        </w:rPr>
      </w:pPr>
      <w:bookmarkStart w:id="15" w:name="_Toc18518"/>
      <w:r>
        <w:rPr>
          <w:rFonts w:hint="eastAsia" w:asciiTheme="minorEastAsia" w:hAnsiTheme="minorEastAsia" w:eastAsiaTheme="minorEastAsia" w:cstheme="minorEastAsia"/>
          <w:b/>
          <w:bCs/>
          <w:i w:val="0"/>
          <w:iCs w:val="0"/>
          <w:caps w:val="0"/>
          <w:color w:val="000000"/>
          <w:spacing w:val="0"/>
          <w:sz w:val="32"/>
          <w:szCs w:val="32"/>
          <w:shd w:val="clear" w:fill="FFFFFF"/>
        </w:rPr>
        <w:t>第三部分2022年度部门预算情况说明</w:t>
      </w:r>
      <w:bookmarkEnd w:id="1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16" w:name="_Toc1864"/>
      <w:r>
        <w:rPr>
          <w:rFonts w:hint="eastAsia" w:asciiTheme="minorEastAsia" w:hAnsiTheme="minorEastAsia" w:eastAsiaTheme="minorEastAsia" w:cstheme="minorEastAsia"/>
          <w:b/>
          <w:bCs/>
          <w:i w:val="0"/>
          <w:iCs w:val="0"/>
          <w:caps w:val="0"/>
          <w:color w:val="000000"/>
          <w:spacing w:val="0"/>
          <w:sz w:val="28"/>
          <w:szCs w:val="28"/>
          <w:shd w:val="clear" w:fill="FFFFFF"/>
        </w:rPr>
        <w:t>一、202</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2</w:t>
      </w:r>
      <w:r>
        <w:rPr>
          <w:rFonts w:hint="eastAsia" w:asciiTheme="minorEastAsia" w:hAnsiTheme="minorEastAsia" w:eastAsiaTheme="minorEastAsia" w:cstheme="minorEastAsia"/>
          <w:b/>
          <w:bCs/>
          <w:i w:val="0"/>
          <w:iCs w:val="0"/>
          <w:caps w:val="0"/>
          <w:color w:val="000000"/>
          <w:spacing w:val="0"/>
          <w:sz w:val="28"/>
          <w:szCs w:val="28"/>
          <w:shd w:val="clear" w:fill="FFFFFF"/>
        </w:rPr>
        <w:t>年度部门预算收支情况</w:t>
      </w:r>
      <w:bookmarkEnd w:id="1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  （一）收入预算情况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我单位2022年收入预算270.57万元，均为一般公共预算收入；比2021年减少33.27万元,同比减少10.95%，原因为2022年减少事业单位经营收入预算。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 </w:t>
      </w:r>
      <w:r>
        <w:rPr>
          <w:rFonts w:hint="eastAsia" w:asciiTheme="minorEastAsia" w:hAnsiTheme="minorEastAsia" w:cstheme="minorEastAsia"/>
          <w:b w:val="0"/>
          <w:bCs w:val="0"/>
          <w:i w:val="0"/>
          <w:iCs w:val="0"/>
          <w:caps w:val="0"/>
          <w:color w:val="000000"/>
          <w:spacing w:val="0"/>
          <w:sz w:val="28"/>
          <w:szCs w:val="28"/>
          <w:highlight w:val="none"/>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（二）一般公共预算支出情况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我单位2022年一般公共预算支出270.57万元，比2021年减少33.27万元,同比减少10.95%。</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1.202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fill="FFFFFF"/>
          <w:lang w:val="en-US" w:eastAsia="zh-CN" w:bidi="ar"/>
        </w:rPr>
        <w:t>年基本支出106.07万元，比2021年减少13.27万元，减少11.12%。基本支出系按现有人员工资标准和公用经费定额标准核定。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其中人员经费支出100.80万元，主要包括</w:t>
      </w:r>
      <w:r>
        <w:rPr>
          <w:rFonts w:hint="eastAsia" w:asciiTheme="minorEastAsia" w:hAnsiTheme="minorEastAsia" w:eastAsiaTheme="minorEastAsia" w:cstheme="minorEastAsia"/>
          <w:color w:val="auto"/>
          <w:sz w:val="28"/>
          <w:szCs w:val="28"/>
          <w:highlight w:val="none"/>
        </w:rPr>
        <w:t>基本工资、津贴补贴、奖金、绩效工资、机关事业单位基本养老保险缴费、职工基本医疗保险缴费、其他社会保障缴费、住房公积金、其他工资福利支出、退休费、奖励金；公用经费</w:t>
      </w:r>
      <w:r>
        <w:rPr>
          <w:rFonts w:hint="eastAsia" w:asciiTheme="minorEastAsia" w:hAnsiTheme="minorEastAsia" w:eastAsiaTheme="minorEastAsia" w:cstheme="minorEastAsia"/>
          <w:color w:val="auto"/>
          <w:sz w:val="28"/>
          <w:szCs w:val="28"/>
          <w:highlight w:val="none"/>
          <w:lang w:val="en-US" w:eastAsia="zh-CN"/>
        </w:rPr>
        <w:t>5.27</w:t>
      </w:r>
      <w:r>
        <w:rPr>
          <w:rFonts w:hint="eastAsia" w:asciiTheme="minorEastAsia" w:hAnsiTheme="minorEastAsia" w:eastAsiaTheme="minorEastAsia" w:cstheme="minorEastAsia"/>
          <w:color w:val="auto"/>
          <w:sz w:val="28"/>
          <w:szCs w:val="28"/>
          <w:highlight w:val="none"/>
        </w:rPr>
        <w:t>万元，主要包括办公费、印刷费、邮电费、差旅费、维修（护）费、工会经费、福利费、公务用车运行维护费、其他商品服务支出</w:t>
      </w:r>
      <w:r>
        <w:rPr>
          <w:rFonts w:hint="eastAsia" w:asciiTheme="minorEastAsia" w:hAnsiTheme="minorEastAsia" w:eastAsiaTheme="minorEastAsia" w:cstheme="minorEastAsia"/>
          <w:color w:val="auto"/>
          <w:sz w:val="28"/>
          <w:szCs w:val="28"/>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kern w:val="2"/>
          <w:sz w:val="28"/>
          <w:szCs w:val="28"/>
          <w:highlight w:val="none"/>
          <w:lang w:val="en-US" w:eastAsia="zh-CN" w:bidi="ar-SA"/>
        </w:rPr>
        <w:t>2.2022年项目支出164.50万元，为一般公共预算资金，与2021相比没变动。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（三）政府性基金预算支出情况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17" w:name="_Toc21486"/>
      <w:r>
        <w:rPr>
          <w:rFonts w:hint="eastAsia" w:asciiTheme="minorEastAsia" w:hAnsiTheme="minorEastAsia" w:eastAsiaTheme="minorEastAsia" w:cstheme="minorEastAsia"/>
          <w:b/>
          <w:bCs/>
          <w:i w:val="0"/>
          <w:iCs w:val="0"/>
          <w:caps w:val="0"/>
          <w:color w:val="000000"/>
          <w:spacing w:val="0"/>
          <w:sz w:val="28"/>
          <w:szCs w:val="28"/>
          <w:shd w:val="clear" w:fill="FFFFFF"/>
        </w:rPr>
        <w:t>二、“三公”经费情况</w:t>
      </w:r>
      <w:bookmarkEnd w:id="1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年</w:t>
      </w:r>
      <w:r>
        <w:rPr>
          <w:rFonts w:hint="eastAsia" w:asciiTheme="minorEastAsia" w:hAnsiTheme="minorEastAsia" w:eastAsiaTheme="minorEastAsia" w:cstheme="minorEastAsia"/>
          <w:color w:val="auto"/>
          <w:sz w:val="28"/>
          <w:szCs w:val="28"/>
          <w:highlight w:val="none"/>
        </w:rPr>
        <w:t>一般公共预算安排的</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rPr>
        <w:t>“三公”经费预</w:t>
      </w:r>
      <w:r>
        <w:rPr>
          <w:rFonts w:hint="eastAsia" w:asciiTheme="minorEastAsia" w:hAnsiTheme="minorEastAsia" w:eastAsiaTheme="minorEastAsia" w:cstheme="minorEastAsia"/>
          <w:color w:val="auto"/>
          <w:sz w:val="28"/>
          <w:szCs w:val="28"/>
          <w:highlight w:val="none"/>
        </w:rPr>
        <w:t>算</w:t>
      </w:r>
      <w:r>
        <w:rPr>
          <w:rFonts w:hint="eastAsia" w:asciiTheme="minorEastAsia" w:hAnsiTheme="minorEastAsia" w:eastAsiaTheme="minorEastAsia" w:cstheme="minorEastAsia"/>
          <w:color w:val="auto"/>
          <w:sz w:val="28"/>
          <w:szCs w:val="28"/>
          <w:highlight w:val="none"/>
          <w:lang w:val="en-US" w:eastAsia="zh-CN"/>
        </w:rPr>
        <w:t>1.60</w:t>
      </w:r>
      <w:r>
        <w:rPr>
          <w:rFonts w:hint="eastAsia" w:asciiTheme="minorEastAsia" w:hAnsiTheme="minorEastAsia" w:eastAsiaTheme="minorEastAsia" w:cstheme="minorEastAsia"/>
          <w:color w:val="auto"/>
          <w:sz w:val="28"/>
          <w:szCs w:val="28"/>
          <w:highlight w:val="none"/>
        </w:rPr>
        <w:t>万元，其中公务用车运行维护费</w:t>
      </w:r>
      <w:r>
        <w:rPr>
          <w:rFonts w:hint="eastAsia" w:asciiTheme="minorEastAsia" w:hAnsiTheme="minorEastAsia" w:eastAsiaTheme="minorEastAsia" w:cstheme="minorEastAsia"/>
          <w:color w:val="auto"/>
          <w:sz w:val="28"/>
          <w:szCs w:val="28"/>
          <w:highlight w:val="none"/>
          <w:lang w:val="en-US" w:eastAsia="zh-CN"/>
        </w:rPr>
        <w:t>1.60</w:t>
      </w:r>
      <w:r>
        <w:rPr>
          <w:rFonts w:hint="eastAsia" w:asciiTheme="minorEastAsia" w:hAnsiTheme="minorEastAsia" w:eastAsiaTheme="minorEastAsia" w:cstheme="minorEastAsia"/>
          <w:color w:val="auto"/>
          <w:sz w:val="28"/>
          <w:szCs w:val="28"/>
          <w:highlight w:val="none"/>
        </w:rPr>
        <w:t>万元。公务接待费、因公出国（境）费用、公务用车购置费均为0</w:t>
      </w:r>
      <w:r>
        <w:rPr>
          <w:rFonts w:hint="eastAsia" w:asciiTheme="minorEastAsia" w:hAnsiTheme="minorEastAsia" w:eastAsiaTheme="minorEastAsia" w:cstheme="minorEastAsia"/>
          <w:color w:val="auto"/>
          <w:sz w:val="28"/>
          <w:szCs w:val="28"/>
          <w:highlight w:val="none"/>
          <w:lang w:val="en-US" w:eastAsia="zh-CN"/>
        </w:rPr>
        <w:t>万元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与</w:t>
      </w:r>
      <w:r>
        <w:rPr>
          <w:rFonts w:hint="eastAsia" w:asciiTheme="minorEastAsia" w:hAnsiTheme="minorEastAsia" w:eastAsiaTheme="minorEastAsia" w:cstheme="minorEastAsia"/>
          <w:color w:val="auto"/>
          <w:sz w:val="28"/>
          <w:szCs w:val="28"/>
          <w:highlight w:val="none"/>
          <w:lang w:val="en-US" w:eastAsia="zh-CN"/>
        </w:rPr>
        <w:t>2021年相比减少18.00万元 ，原因为上年三公经费预算有5辆负压车经费。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rPr>
      </w:pPr>
      <w:bookmarkStart w:id="18" w:name="_Toc3388"/>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三</w:t>
      </w:r>
      <w:r>
        <w:rPr>
          <w:rFonts w:hint="eastAsia" w:asciiTheme="minorEastAsia" w:hAnsiTheme="minorEastAsia" w:eastAsiaTheme="minorEastAsia" w:cstheme="minorEastAsia"/>
          <w:b/>
          <w:bCs/>
          <w:i w:val="0"/>
          <w:iCs w:val="0"/>
          <w:caps w:val="0"/>
          <w:color w:val="000000"/>
          <w:spacing w:val="0"/>
          <w:sz w:val="28"/>
          <w:szCs w:val="28"/>
          <w:shd w:val="clear" w:fill="FFFFFF"/>
        </w:rPr>
        <w:t>、机关运行经费</w:t>
      </w:r>
      <w:bookmarkEnd w:id="1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cstheme="minorEastAsia"/>
          <w:color w:val="auto"/>
          <w:sz w:val="28"/>
          <w:szCs w:val="28"/>
          <w:highlight w:val="none"/>
          <w:lang w:val="en-US" w:eastAsia="zh-CN"/>
        </w:rPr>
        <w:t>无机关运行经费。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bookmarkStart w:id="19" w:name="_Toc4230"/>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四、政府采购预算情况</w:t>
      </w:r>
      <w:bookmarkEnd w:id="1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我单位202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年政</w:t>
      </w:r>
      <w:r>
        <w:rPr>
          <w:rFonts w:hint="eastAsia" w:asciiTheme="minorEastAsia" w:hAnsiTheme="minorEastAsia" w:eastAsiaTheme="minorEastAsia" w:cstheme="minorEastAsia"/>
          <w:color w:val="auto"/>
          <w:sz w:val="28"/>
          <w:szCs w:val="28"/>
          <w:highlight w:val="none"/>
          <w:lang w:val="en-US" w:eastAsia="zh-CN"/>
        </w:rPr>
        <w:t>府采购预算总额21.70万元，其中：支付日常办公用品0.30万元，专项经费购置医疗设备以及车辆维护保养21.40万元。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bookmarkStart w:id="20" w:name="_Toc4667"/>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五、绩效评价工作情况及评价结果</w:t>
      </w:r>
      <w:bookmarkEnd w:id="2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202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年绩效管理</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项目</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共</w:t>
      </w:r>
      <w:r>
        <w:rPr>
          <w:rFonts w:hint="eastAsia" w:asciiTheme="minorEastAsia" w:hAnsiTheme="minorEastAsia" w:cstheme="minorEastAsia"/>
          <w:b w:val="0"/>
          <w:bCs w:val="0"/>
          <w:i w:val="0"/>
          <w:iCs w:val="0"/>
          <w:caps w:val="0"/>
          <w:color w:val="000000"/>
          <w:spacing w:val="0"/>
          <w:sz w:val="28"/>
          <w:szCs w:val="28"/>
          <w:highlight w:val="none"/>
          <w:shd w:val="clear" w:fill="FFFFFF"/>
          <w:lang w:val="en-US" w:eastAsia="zh-CN"/>
        </w:rPr>
        <w:t>7</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项，资金总额164.5</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0</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eastAsia="zh-CN"/>
        </w:rPr>
        <w:t>全面设定绩效目标，填写《绩效目标申报表》,随预算上报。</w:t>
      </w: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2022年项目资金由财政部门统一管理，</w:t>
      </w: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专款专用，专人管理，严格规范资金使用项目，严禁挤占挪用，从严从实按资金使用项目执行，确保资金安全运行，取得良好的社会效益。财务</w:t>
      </w:r>
      <w:r>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t>账</w:t>
      </w: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务清楚，及时支出，手续健全，财务状况良好，管理规范有效。绩效评价工作以年初申报的绩效目标为依据，结合项目实施具体情况制定方案、情况调研、指标设计、数据收集、综合分析等，完成绩效自评工作。项目完成后对绩效自评结果进行公示，接受群众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pPr>
      <w:r>
        <w:rPr>
          <w:rFonts w:hint="eastAsia" w:asciiTheme="minorEastAsia" w:hAnsiTheme="minorEastAsia" w:eastAsiaTheme="minorEastAsia" w:cstheme="minorEastAsia"/>
          <w:b w:val="0"/>
          <w:bCs w:val="0"/>
          <w:i w:val="0"/>
          <w:iCs w:val="0"/>
          <w:caps w:val="0"/>
          <w:color w:val="000000"/>
          <w:spacing w:val="0"/>
          <w:kern w:val="44"/>
          <w:sz w:val="28"/>
          <w:szCs w:val="28"/>
          <w:highlight w:val="none"/>
          <w:shd w:val="clear" w:fill="FFFFFF"/>
          <w:lang w:val="en-US" w:eastAsia="zh-CN" w:bidi="ar"/>
        </w:rPr>
        <w:t>以下分别列示我单位2022年度部分项目绩效目标申报表</w:t>
      </w:r>
      <w:r>
        <w:rPr>
          <w:rFonts w:hint="eastAsia"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t>：</w:t>
      </w:r>
    </w:p>
    <w:tbl>
      <w:tblPr>
        <w:tblStyle w:val="9"/>
        <w:tblW w:w="5000" w:type="pct"/>
        <w:tblInd w:w="0" w:type="dxa"/>
        <w:shd w:val="clear" w:color="auto" w:fill="auto"/>
        <w:tblLayout w:type="fixed"/>
        <w:tblCellMar>
          <w:top w:w="0" w:type="dxa"/>
          <w:left w:w="0" w:type="dxa"/>
          <w:bottom w:w="0" w:type="dxa"/>
          <w:right w:w="0" w:type="dxa"/>
        </w:tblCellMar>
      </w:tblPr>
      <w:tblGrid>
        <w:gridCol w:w="617"/>
        <w:gridCol w:w="929"/>
        <w:gridCol w:w="988"/>
        <w:gridCol w:w="1754"/>
        <w:gridCol w:w="828"/>
        <w:gridCol w:w="1755"/>
        <w:gridCol w:w="941"/>
        <w:gridCol w:w="1063"/>
      </w:tblGrid>
      <w:tr>
        <w:tblPrEx>
          <w:shd w:val="clear" w:color="auto" w:fill="auto"/>
          <w:tblCellMar>
            <w:top w:w="0" w:type="dxa"/>
            <w:left w:w="0" w:type="dxa"/>
            <w:bottom w:w="0" w:type="dxa"/>
            <w:right w:w="0" w:type="dxa"/>
          </w:tblCellMar>
        </w:tblPrEx>
        <w:trPr>
          <w:trHeight w:val="56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（一）项目支出绩效目标申报表</w:t>
            </w:r>
          </w:p>
        </w:tc>
      </w:tr>
      <w:tr>
        <w:tblPrEx>
          <w:tblCellMar>
            <w:top w:w="0" w:type="dxa"/>
            <w:left w:w="0" w:type="dxa"/>
            <w:bottom w:w="0" w:type="dxa"/>
            <w:right w:w="0" w:type="dxa"/>
          </w:tblCellMar>
        </w:tblPrEx>
        <w:trPr>
          <w:trHeight w:val="300" w:hRule="atLeast"/>
        </w:trPr>
        <w:tc>
          <w:tcPr>
            <w:tcW w:w="34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5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43"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53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XM应急救治工作经费</w:t>
            </w: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00" w:hRule="atLeast"/>
        </w:trPr>
        <w:tc>
          <w:tcPr>
            <w:tcW w:w="142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r>
      <w:tr>
        <w:tblPrEx>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w:t>
            </w:r>
          </w:p>
        </w:tc>
      </w:tr>
      <w:tr>
        <w:tblPrEx>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142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12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为了保障部门日常工作的开展，保障单位行使管理职能的发挥，需要支付聘用人员劳务费。</w:t>
            </w: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财政每年拨付资金。</w:t>
            </w: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保障部门日常工作的开展，保障单位行使管理职能的发挥。</w:t>
            </w: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《部门内部管理制度》、《大同市急救中心财务管理制度》</w:t>
            </w:r>
          </w:p>
        </w:tc>
      </w:tr>
      <w:tr>
        <w:tblPrEx>
          <w:tblCellMar>
            <w:top w:w="0" w:type="dxa"/>
            <w:left w:w="0" w:type="dxa"/>
            <w:bottom w:w="0" w:type="dxa"/>
            <w:right w:w="0" w:type="dxa"/>
          </w:tblCellMar>
        </w:tblPrEx>
        <w:trPr>
          <w:trHeight w:val="300" w:hRule="atLeast"/>
        </w:trPr>
        <w:tc>
          <w:tcPr>
            <w:tcW w:w="142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57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1.按月及时发放人员工资和社会保障缴费。2.保障日常工作正常运行。</w:t>
            </w:r>
          </w:p>
        </w:tc>
      </w:tr>
      <w:tr>
        <w:tblPrEx>
          <w:tblCellMar>
            <w:top w:w="0" w:type="dxa"/>
            <w:left w:w="0" w:type="dxa"/>
            <w:bottom w:w="0" w:type="dxa"/>
            <w:right w:w="0" w:type="dxa"/>
          </w:tblCellMar>
        </w:tblPrEx>
        <w:trPr>
          <w:trHeight w:val="300" w:hRule="atLeast"/>
        </w:trPr>
        <w:tc>
          <w:tcPr>
            <w:tcW w:w="288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3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3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为了保障部门日常工作的开展，保障单位行使管理职能的发挥，需要支付聘用劳务费</w:t>
            </w:r>
          </w:p>
        </w:tc>
        <w:tc>
          <w:tcPr>
            <w:tcW w:w="2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为了保障部门日常工作开展，支付经费</w:t>
            </w:r>
          </w:p>
        </w:tc>
      </w:tr>
      <w:tr>
        <w:tblPrEx>
          <w:tblCellMar>
            <w:top w:w="0" w:type="dxa"/>
            <w:left w:w="0" w:type="dxa"/>
            <w:bottom w:w="0" w:type="dxa"/>
            <w:right w:w="0" w:type="dxa"/>
          </w:tblCellMar>
        </w:tblPrEx>
        <w:trPr>
          <w:trHeight w:val="300" w:hRule="atLeast"/>
        </w:trPr>
        <w:tc>
          <w:tcPr>
            <w:tcW w:w="34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9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保障单位日常运行</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保障单位日常运行</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保障日常工作开展和职能发挥</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保障日常工作开展和职能发挥</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300" w:hRule="atLeast"/>
        </w:trPr>
        <w:tc>
          <w:tcPr>
            <w:tcW w:w="34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单位人员及社会满意度</w:t>
            </w:r>
          </w:p>
        </w:tc>
        <w:tc>
          <w:tcPr>
            <w:tcW w:w="4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≥90%</w:t>
            </w:r>
          </w:p>
        </w:tc>
        <w:tc>
          <w:tcPr>
            <w:tcW w:w="9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5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单位人员及社会满意度</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default" w:asciiTheme="minorEastAsia" w:hAnsiTheme="minorEastAsia" w:cstheme="minorEastAsia"/>
          <w:b w:val="0"/>
          <w:bCs w:val="0"/>
          <w:i w:val="0"/>
          <w:iCs w:val="0"/>
          <w:caps w:val="0"/>
          <w:color w:val="000000"/>
          <w:spacing w:val="0"/>
          <w:kern w:val="44"/>
          <w:sz w:val="28"/>
          <w:szCs w:val="28"/>
          <w:highlight w:val="none"/>
          <w:shd w:val="clear" w:fill="FFFFFF"/>
          <w:lang w:val="en-US" w:eastAsia="zh-CN" w:bidi="ar"/>
        </w:rPr>
      </w:pPr>
    </w:p>
    <w:tbl>
      <w:tblPr>
        <w:tblStyle w:val="9"/>
        <w:tblW w:w="5000" w:type="pct"/>
        <w:tblInd w:w="0" w:type="dxa"/>
        <w:shd w:val="clear" w:color="auto" w:fill="auto"/>
        <w:tblLayout w:type="fixed"/>
        <w:tblCellMar>
          <w:top w:w="0" w:type="dxa"/>
          <w:left w:w="0" w:type="dxa"/>
          <w:bottom w:w="0" w:type="dxa"/>
          <w:right w:w="0" w:type="dxa"/>
        </w:tblCellMar>
      </w:tblPr>
      <w:tblGrid>
        <w:gridCol w:w="578"/>
        <w:gridCol w:w="924"/>
        <w:gridCol w:w="960"/>
        <w:gridCol w:w="1568"/>
        <w:gridCol w:w="1021"/>
        <w:gridCol w:w="1506"/>
        <w:gridCol w:w="1299"/>
        <w:gridCol w:w="1019"/>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（二）项目支出绩效目标申报表</w:t>
            </w:r>
          </w:p>
        </w:tc>
      </w:tr>
      <w:tr>
        <w:tblPrEx>
          <w:tblCellMar>
            <w:top w:w="0" w:type="dxa"/>
            <w:left w:w="0" w:type="dxa"/>
            <w:bottom w:w="0" w:type="dxa"/>
            <w:right w:w="0" w:type="dxa"/>
          </w:tblCellMar>
        </w:tblPrEx>
        <w:trPr>
          <w:trHeight w:val="360" w:hRule="atLeast"/>
        </w:trPr>
        <w:tc>
          <w:tcPr>
            <w:tcW w:w="32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4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307"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31"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XM应急救治工作经费</w:t>
            </w: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60" w:hRule="atLeast"/>
        </w:trPr>
        <w:tc>
          <w:tcPr>
            <w:tcW w:w="138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r>
      <w:tr>
        <w:tblPrEx>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1,075,000</w:t>
            </w:r>
          </w:p>
        </w:tc>
      </w:tr>
      <w:tr>
        <w:tblPrEx>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3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为了保障部门日常工作的开展，保障单位行使管理职能的发挥，需要支付劳务费和日常办公费用。</w:t>
            </w: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财政每年拨付资金。</w:t>
            </w: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保障部门日常工作的开展，保障单位行使管理职能的发挥。</w:t>
            </w: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《部门内部管理制度》、《大同市急救中心财务管理制度》</w:t>
            </w:r>
          </w:p>
        </w:tc>
      </w:tr>
      <w:tr>
        <w:tblPrEx>
          <w:tblCellMar>
            <w:top w:w="0" w:type="dxa"/>
            <w:left w:w="0" w:type="dxa"/>
            <w:bottom w:w="0" w:type="dxa"/>
            <w:right w:w="0" w:type="dxa"/>
          </w:tblCellMar>
        </w:tblPrEx>
        <w:trPr>
          <w:trHeight w:val="360" w:hRule="atLeast"/>
        </w:trPr>
        <w:tc>
          <w:tcPr>
            <w:tcW w:w="13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6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1.按月及时发放人员工资和社会保障缴费。2.保障日常工作正常运行。</w:t>
            </w:r>
          </w:p>
        </w:tc>
      </w:tr>
      <w:tr>
        <w:tblPrEx>
          <w:tblCellMar>
            <w:top w:w="0" w:type="dxa"/>
            <w:left w:w="0" w:type="dxa"/>
            <w:bottom w:w="0" w:type="dxa"/>
            <w:right w:w="0" w:type="dxa"/>
          </w:tblCellMar>
        </w:tblPrEx>
        <w:trPr>
          <w:trHeight w:val="360" w:hRule="atLeast"/>
        </w:trPr>
        <w:tc>
          <w:tcPr>
            <w:tcW w:w="284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15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3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2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为了保障部门日常工作的开展，保障单位行使管理职能的发挥，需要支付差补人员工资。</w:t>
            </w:r>
          </w:p>
        </w:tc>
        <w:tc>
          <w:tcPr>
            <w:tcW w:w="215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为了保障部门日常工作开展，支付人员经费</w:t>
            </w:r>
          </w:p>
        </w:tc>
      </w:tr>
      <w:tr>
        <w:tblPrEx>
          <w:tblCellMar>
            <w:top w:w="0" w:type="dxa"/>
            <w:left w:w="0" w:type="dxa"/>
            <w:bottom w:w="0" w:type="dxa"/>
            <w:right w:w="0" w:type="dxa"/>
          </w:tblCellMar>
        </w:tblPrEx>
        <w:trPr>
          <w:trHeight w:val="360" w:hRule="atLeast"/>
        </w:trPr>
        <w:tc>
          <w:tcPr>
            <w:tcW w:w="32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保障退休取暖费人数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13人</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保障退休取暖费人数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13人</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保障在职职工工资人数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21人</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保障在职职工工资人数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21人</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保障差额人员工资人数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8人</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保障差额人员工资人数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8人</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人员经费发放准确率</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人员经费发放准确率</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人员经费保障率</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人员经费保障率</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工资项等是否发放及时</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及时发放</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工资项等是否发放及时</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及时发放</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工资项等发放时间</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2022年1月-12月</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工资项等发放时间</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2022年1月-12月</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2022年发放工资数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≤685000元</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2022年发放工资数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≤685000元</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2022年发放退休人员取暖费</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≤58000元</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2022年发放退休人员取暖费</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≤58000元</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2022年发放社保以及公积金数</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≤332000元</w:t>
            </w: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2022年发放社保以及公积金数</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≤332000元</w:t>
            </w:r>
          </w:p>
        </w:tc>
      </w:tr>
      <w:tr>
        <w:tblPrEx>
          <w:tblCellMar>
            <w:top w:w="0" w:type="dxa"/>
            <w:left w:w="0" w:type="dxa"/>
            <w:bottom w:w="0" w:type="dxa"/>
            <w:right w:w="0" w:type="dxa"/>
          </w:tblCellMar>
        </w:tblPrEx>
        <w:trPr>
          <w:trHeight w:val="579"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54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4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带动单位工作人员工作积极性</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w:t>
            </w:r>
          </w:p>
        </w:tc>
        <w:tc>
          <w:tcPr>
            <w:tcW w:w="84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带动单位工作人员工作积极性</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w:t>
            </w:r>
          </w:p>
        </w:tc>
      </w:tr>
      <w:tr>
        <w:tblPrEx>
          <w:tblCellMar>
            <w:top w:w="0" w:type="dxa"/>
            <w:left w:w="0" w:type="dxa"/>
            <w:bottom w:w="0" w:type="dxa"/>
            <w:right w:w="0" w:type="dxa"/>
          </w:tblCellMar>
        </w:tblPrEx>
        <w:trPr>
          <w:trHeight w:val="360"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54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8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单位工作人员满意度</w:t>
            </w:r>
          </w:p>
        </w:tc>
        <w:tc>
          <w:tcPr>
            <w:tcW w:w="5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≥95%</w:t>
            </w:r>
          </w:p>
        </w:tc>
        <w:tc>
          <w:tcPr>
            <w:tcW w:w="84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7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单位工作人员满意度</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≥95%</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696"/>
        <w:gridCol w:w="971"/>
        <w:gridCol w:w="1189"/>
        <w:gridCol w:w="1679"/>
        <w:gridCol w:w="685"/>
        <w:gridCol w:w="241"/>
        <w:gridCol w:w="1561"/>
        <w:gridCol w:w="1258"/>
        <w:gridCol w:w="595"/>
      </w:tblGrid>
      <w:tr>
        <w:tblPrEx>
          <w:shd w:val="clear" w:color="auto" w:fill="auto"/>
          <w:tblCellMar>
            <w:top w:w="0" w:type="dxa"/>
            <w:left w:w="0" w:type="dxa"/>
            <w:bottom w:w="0" w:type="dxa"/>
            <w:right w:w="0" w:type="dxa"/>
          </w:tblCellMar>
        </w:tblPrEx>
        <w:trPr>
          <w:trHeight w:val="42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（三）项目支出绩效目标申报表</w:t>
            </w:r>
          </w:p>
        </w:tc>
      </w:tr>
      <w:tr>
        <w:tblPrEx>
          <w:tblCellMar>
            <w:top w:w="0" w:type="dxa"/>
            <w:left w:w="0" w:type="dxa"/>
            <w:bottom w:w="0" w:type="dxa"/>
            <w:right w:w="0" w:type="dxa"/>
          </w:tblCellMar>
        </w:tblPrEx>
        <w:trPr>
          <w:trHeight w:val="360" w:hRule="atLeast"/>
        </w:trPr>
        <w:tc>
          <w:tcPr>
            <w:tcW w:w="39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4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6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347" w:type="pct"/>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0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Z急救车维护费</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6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6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60" w:hRule="atLeast"/>
        </w:trPr>
        <w:tc>
          <w:tcPr>
            <w:tcW w:w="16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为了保障全市急救工作正常运行，需要对救护车进行维护，更换设备。</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《院前医疗急救箮理办法》</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保障全市紧急救援工作顺利开展。</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《大同市急救中心内部控制管理制度》、《大同市急救中心财务管理制度》</w:t>
            </w:r>
          </w:p>
        </w:tc>
      </w:tr>
      <w:tr>
        <w:tblPrEx>
          <w:tblCellMar>
            <w:top w:w="0" w:type="dxa"/>
            <w:left w:w="0" w:type="dxa"/>
            <w:bottom w:w="0" w:type="dxa"/>
            <w:right w:w="0" w:type="dxa"/>
          </w:tblCellMar>
        </w:tblPrEx>
        <w:trPr>
          <w:trHeight w:val="36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r>
      <w:tr>
        <w:tblPrEx>
          <w:tblCellMar>
            <w:top w:w="0" w:type="dxa"/>
            <w:left w:w="0" w:type="dxa"/>
            <w:bottom w:w="0" w:type="dxa"/>
            <w:right w:w="0" w:type="dxa"/>
          </w:tblCellMar>
        </w:tblPrEx>
        <w:trPr>
          <w:trHeight w:val="36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2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644"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4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r>
      <w:tr>
        <w:tblPrEx>
          <w:tblCellMar>
            <w:top w:w="0" w:type="dxa"/>
            <w:left w:w="0" w:type="dxa"/>
            <w:bottom w:w="0" w:type="dxa"/>
            <w:right w:w="0" w:type="dxa"/>
          </w:tblCellMar>
        </w:tblPrEx>
        <w:trPr>
          <w:trHeight w:val="360" w:hRule="atLeast"/>
        </w:trPr>
        <w:tc>
          <w:tcPr>
            <w:tcW w:w="39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按要求计算急救车维护费</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按要求计算急救车维护费</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经费发放及时性</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经费发放及时性</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保障急救车正常运行</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提高99%</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保障急救车正常运行</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提高99%</w:t>
            </w:r>
          </w:p>
        </w:tc>
      </w:tr>
      <w:tr>
        <w:tblPrEx>
          <w:tblCellMar>
            <w:top w:w="0" w:type="dxa"/>
            <w:left w:w="0" w:type="dxa"/>
            <w:bottom w:w="0" w:type="dxa"/>
            <w:right w:w="0" w:type="dxa"/>
          </w:tblCellMar>
        </w:tblPrEx>
        <w:trPr>
          <w:trHeight w:val="36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工作满意度</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70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工作满意度</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701"/>
        <w:gridCol w:w="966"/>
        <w:gridCol w:w="1211"/>
        <w:gridCol w:w="1693"/>
        <w:gridCol w:w="935"/>
        <w:gridCol w:w="1231"/>
        <w:gridCol w:w="1536"/>
        <w:gridCol w:w="602"/>
      </w:tblGrid>
      <w:tr>
        <w:tblPrEx>
          <w:shd w:val="clear" w:color="auto" w:fill="auto"/>
          <w:tblCellMar>
            <w:top w:w="0" w:type="dxa"/>
            <w:left w:w="0" w:type="dxa"/>
            <w:bottom w:w="0" w:type="dxa"/>
            <w:right w:w="0" w:type="dxa"/>
          </w:tblCellMar>
        </w:tblPrEx>
        <w:trPr>
          <w:trHeight w:val="60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（四）项目支出绩效目标申报表</w:t>
            </w:r>
          </w:p>
        </w:tc>
      </w:tr>
      <w:tr>
        <w:tblPrEx>
          <w:tblCellMar>
            <w:top w:w="0" w:type="dxa"/>
            <w:left w:w="0" w:type="dxa"/>
            <w:bottom w:w="0" w:type="dxa"/>
            <w:right w:w="0" w:type="dxa"/>
          </w:tblCellMar>
        </w:tblPrEx>
        <w:trPr>
          <w:trHeight w:val="300" w:hRule="atLeast"/>
        </w:trPr>
        <w:tc>
          <w:tcPr>
            <w:tcW w:w="39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4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174"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86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Z急救车维护费</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00" w:hRule="atLeast"/>
        </w:trPr>
        <w:tc>
          <w:tcPr>
            <w:tcW w:w="162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w:t>
            </w:r>
          </w:p>
        </w:tc>
      </w:tr>
      <w:tr>
        <w:tblPrEx>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w:t>
            </w:r>
          </w:p>
        </w:tc>
      </w:tr>
      <w:tr>
        <w:tblPrEx>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1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2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为了保障全市急救工作正常运行，需要对救护车进行维护。</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《院前医疗急救箮理办法》</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保障全市紧急救援工作顺利开展。</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《大同市急救中心内部控制管理制度》、《大同市急救中心财务管理制度》</w:t>
            </w:r>
          </w:p>
        </w:tc>
      </w:tr>
      <w:tr>
        <w:tblPrEx>
          <w:tblCellMar>
            <w:top w:w="0" w:type="dxa"/>
            <w:left w:w="0" w:type="dxa"/>
            <w:bottom w:w="0" w:type="dxa"/>
            <w:right w:w="0" w:type="dxa"/>
          </w:tblCellMar>
        </w:tblPrEx>
        <w:trPr>
          <w:trHeight w:val="300"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7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每月定期检查车辆情况，发现问题及时处理</w:t>
            </w:r>
          </w:p>
        </w:tc>
      </w:tr>
      <w:tr>
        <w:tblPrEx>
          <w:tblCellMar>
            <w:top w:w="0" w:type="dxa"/>
            <w:left w:w="0" w:type="dxa"/>
            <w:bottom w:w="0" w:type="dxa"/>
            <w:right w:w="0" w:type="dxa"/>
          </w:tblCellMar>
        </w:tblPrEx>
        <w:trPr>
          <w:trHeight w:val="300" w:hRule="atLeast"/>
        </w:trPr>
        <w:tc>
          <w:tcPr>
            <w:tcW w:w="310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70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保障全市紧急救援工作顺利开展。</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保障全市紧急救援工作顺利开展。</w:t>
            </w:r>
          </w:p>
        </w:tc>
      </w:tr>
      <w:tr>
        <w:tblPrEx>
          <w:tblCellMar>
            <w:top w:w="0" w:type="dxa"/>
            <w:left w:w="0" w:type="dxa"/>
            <w:bottom w:w="0" w:type="dxa"/>
            <w:right w:w="0" w:type="dxa"/>
          </w:tblCellMar>
        </w:tblPrEx>
        <w:trPr>
          <w:trHeight w:val="300" w:hRule="atLeast"/>
        </w:trPr>
        <w:tc>
          <w:tcPr>
            <w:tcW w:w="39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6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按要求计算急救车维护费</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≥99无</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按要求计算急救车维护费</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≥99无</w:t>
            </w:r>
          </w:p>
        </w:tc>
      </w:tr>
      <w:tr>
        <w:tblPrEx>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经费发放及时性</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经费发放及时性</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保障急救车正常运行</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提高99%</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保障急救车正常运行</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提高99%</w:t>
            </w:r>
          </w:p>
        </w:tc>
      </w:tr>
      <w:tr>
        <w:tblPrEx>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68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5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人员满意度</w:t>
            </w:r>
          </w:p>
        </w:tc>
        <w:tc>
          <w:tcPr>
            <w:tcW w:w="5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c>
          <w:tcPr>
            <w:tcW w:w="69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人员满意度</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≥99%</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717"/>
        <w:gridCol w:w="920"/>
        <w:gridCol w:w="1307"/>
        <w:gridCol w:w="1732"/>
        <w:gridCol w:w="827"/>
        <w:gridCol w:w="1443"/>
        <w:gridCol w:w="1431"/>
        <w:gridCol w:w="498"/>
      </w:tblGrid>
      <w:tr>
        <w:tblPrEx>
          <w:shd w:val="clear" w:color="auto" w:fill="auto"/>
          <w:tblCellMar>
            <w:top w:w="0" w:type="dxa"/>
            <w:left w:w="0" w:type="dxa"/>
            <w:bottom w:w="0" w:type="dxa"/>
            <w:right w:w="0" w:type="dxa"/>
          </w:tblCellMar>
        </w:tblPrEx>
        <w:trPr>
          <w:trHeight w:val="44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（五）项目支出绩效目标申报表</w:t>
            </w:r>
          </w:p>
        </w:tc>
      </w:tr>
      <w:tr>
        <w:tblPrEx>
          <w:tblCellMar>
            <w:top w:w="0" w:type="dxa"/>
            <w:left w:w="0" w:type="dxa"/>
            <w:bottom w:w="0" w:type="dxa"/>
            <w:right w:w="0" w:type="dxa"/>
          </w:tblCellMar>
        </w:tblPrEx>
        <w:trPr>
          <w:trHeight w:val="440" w:hRule="atLeast"/>
        </w:trPr>
        <w:tc>
          <w:tcPr>
            <w:tcW w:w="40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54"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80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Z应急演练和重大活动保障经费</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440" w:hRule="atLeast"/>
        </w:trPr>
        <w:tc>
          <w:tcPr>
            <w:tcW w:w="165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r>
      <w:tr>
        <w:tblPrEx>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r>
      <w:tr>
        <w:tblPrEx>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4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为了配合全市经济活动，进行应急医疗保障，我中心针对大型活动设立了医疗保障方案及应急预案，保证活动顺利进行。</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《大同市卫生和计划生育委员会2021年重大活动医疗保障方案》、《大同市卫生健康委员会关于进一步做好定点医院医疗保障工作的通知》</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《突发事件应急预案》、《医疗保障方案》、《大同市急救中心财务管理制度》</w:t>
            </w:r>
          </w:p>
        </w:tc>
      </w:tr>
      <w:tr>
        <w:tblPrEx>
          <w:tblCellMar>
            <w:top w:w="0" w:type="dxa"/>
            <w:left w:w="0" w:type="dxa"/>
            <w:bottom w:w="0" w:type="dxa"/>
            <w:right w:w="0" w:type="dxa"/>
          </w:tblCellMar>
        </w:tblPrEx>
        <w:trPr>
          <w:trHeight w:val="44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2022年1-12月保障重大活动顺利完成。1</w:t>
            </w:r>
          </w:p>
        </w:tc>
      </w:tr>
      <w:tr>
        <w:tblPrEx>
          <w:tblCellMar>
            <w:top w:w="0" w:type="dxa"/>
            <w:left w:w="0" w:type="dxa"/>
            <w:bottom w:w="0" w:type="dxa"/>
            <w:right w:w="0" w:type="dxa"/>
          </w:tblCellMar>
        </w:tblPrEx>
        <w:trPr>
          <w:trHeight w:val="440" w:hRule="atLeast"/>
        </w:trPr>
        <w:tc>
          <w:tcPr>
            <w:tcW w:w="310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18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440"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69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保障全市各种大型活动顺利进行。</w:t>
            </w:r>
          </w:p>
        </w:tc>
        <w:tc>
          <w:tcPr>
            <w:tcW w:w="18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保障全市各种大型活动顺利进行。</w:t>
            </w:r>
          </w:p>
        </w:tc>
      </w:tr>
      <w:tr>
        <w:tblPrEx>
          <w:tblCellMar>
            <w:top w:w="0" w:type="dxa"/>
            <w:left w:w="0" w:type="dxa"/>
            <w:bottom w:w="0" w:type="dxa"/>
            <w:right w:w="0" w:type="dxa"/>
          </w:tblCellMar>
        </w:tblPrEx>
        <w:trPr>
          <w:trHeight w:val="440" w:hRule="atLeast"/>
        </w:trPr>
        <w:tc>
          <w:tcPr>
            <w:tcW w:w="40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44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81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2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717"/>
        <w:gridCol w:w="905"/>
        <w:gridCol w:w="1322"/>
        <w:gridCol w:w="1732"/>
        <w:gridCol w:w="829"/>
        <w:gridCol w:w="1412"/>
        <w:gridCol w:w="1290"/>
        <w:gridCol w:w="668"/>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（六）项目支出绩效目标申报表</w:t>
            </w:r>
          </w:p>
        </w:tc>
      </w:tr>
      <w:tr>
        <w:tblPrEx>
          <w:tblCellMar>
            <w:top w:w="0" w:type="dxa"/>
            <w:left w:w="0" w:type="dxa"/>
            <w:bottom w:w="0" w:type="dxa"/>
            <w:right w:w="0" w:type="dxa"/>
          </w:tblCellMar>
        </w:tblPrEx>
        <w:trPr>
          <w:trHeight w:val="360" w:hRule="atLeast"/>
        </w:trPr>
        <w:tc>
          <w:tcPr>
            <w:tcW w:w="40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0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4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8" w:type="pct"/>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2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76"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Z应急演练和重大活动保障经费</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60" w:hRule="atLeast"/>
        </w:trPr>
        <w:tc>
          <w:tcPr>
            <w:tcW w:w="165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60" w:hRule="atLeast"/>
        </w:trPr>
        <w:tc>
          <w:tcPr>
            <w:tcW w:w="16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1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为了配合全市经济活动，进行应急医疗保障，我中心针对大型活动设立了医疗保障方案及应急预案，保证活动顺利进行。未</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《大同市卫生和计划生育委员会2021年重大活动医疗保障方案》、《大同市卫生健康委员会关于进一步做好定点医院医疗保障工作的通知》</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《突发事件应急预案》、《医疗保障方案》、《大同市急救中心财务管理制度》</w:t>
            </w:r>
          </w:p>
        </w:tc>
      </w:tr>
      <w:tr>
        <w:tblPrEx>
          <w:tblCellMar>
            <w:top w:w="0" w:type="dxa"/>
            <w:left w:w="0" w:type="dxa"/>
            <w:bottom w:w="0" w:type="dxa"/>
            <w:right w:w="0" w:type="dxa"/>
          </w:tblCellMar>
        </w:tblPrEx>
        <w:trPr>
          <w:trHeight w:val="360" w:hRule="atLeast"/>
        </w:trPr>
        <w:tc>
          <w:tcPr>
            <w:tcW w:w="1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2022年1-12月保障重大活动顺利完成。</w:t>
            </w:r>
          </w:p>
        </w:tc>
      </w:tr>
      <w:tr>
        <w:tblPrEx>
          <w:tblCellMar>
            <w:top w:w="0" w:type="dxa"/>
            <w:left w:w="0" w:type="dxa"/>
            <w:bottom w:w="0" w:type="dxa"/>
            <w:right w:w="0" w:type="dxa"/>
          </w:tblCellMar>
        </w:tblPrEx>
        <w:trPr>
          <w:trHeight w:val="360" w:hRule="atLeast"/>
        </w:trPr>
        <w:tc>
          <w:tcPr>
            <w:tcW w:w="310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360"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69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c>
          <w:tcPr>
            <w:tcW w:w="189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为了保障各种大型活动顺利进行。</w:t>
            </w:r>
          </w:p>
        </w:tc>
      </w:tr>
      <w:tr>
        <w:tblPrEx>
          <w:tblCellMar>
            <w:top w:w="0" w:type="dxa"/>
            <w:left w:w="0" w:type="dxa"/>
            <w:bottom w:w="0" w:type="dxa"/>
            <w:right w:w="0" w:type="dxa"/>
          </w:tblCellMar>
        </w:tblPrEx>
        <w:trPr>
          <w:trHeight w:val="360" w:hRule="atLeast"/>
        </w:trPr>
        <w:tc>
          <w:tcPr>
            <w:tcW w:w="40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按要求计算经费</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应急活动及时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保障大型活动顺利进行</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360" w:hRule="atLeast"/>
        </w:trPr>
        <w:tc>
          <w:tcPr>
            <w:tcW w:w="40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50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7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7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7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tbl>
      <w:tblPr>
        <w:tblStyle w:val="9"/>
        <w:tblW w:w="5000" w:type="pct"/>
        <w:tblInd w:w="0" w:type="dxa"/>
        <w:shd w:val="clear" w:color="auto" w:fill="auto"/>
        <w:tblLayout w:type="fixed"/>
        <w:tblCellMar>
          <w:top w:w="0" w:type="dxa"/>
          <w:left w:w="0" w:type="dxa"/>
          <w:bottom w:w="0" w:type="dxa"/>
          <w:right w:w="0" w:type="dxa"/>
        </w:tblCellMar>
      </w:tblPr>
      <w:tblGrid>
        <w:gridCol w:w="696"/>
        <w:gridCol w:w="866"/>
        <w:gridCol w:w="1294"/>
        <w:gridCol w:w="1679"/>
        <w:gridCol w:w="685"/>
        <w:gridCol w:w="211"/>
        <w:gridCol w:w="1381"/>
        <w:gridCol w:w="1468"/>
        <w:gridCol w:w="595"/>
      </w:tblGrid>
      <w:tr>
        <w:tblPrEx>
          <w:shd w:val="clear" w:color="auto" w:fill="auto"/>
          <w:tblCellMar>
            <w:top w:w="0" w:type="dxa"/>
            <w:left w:w="0" w:type="dxa"/>
            <w:bottom w:w="0" w:type="dxa"/>
            <w:right w:w="0" w:type="dxa"/>
          </w:tblCellMar>
        </w:tblPrEx>
        <w:trPr>
          <w:trHeight w:val="34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（七）项目支出绩效目标申报表</w:t>
            </w:r>
          </w:p>
        </w:tc>
      </w:tr>
      <w:tr>
        <w:tblPrEx>
          <w:tblCellMar>
            <w:top w:w="0" w:type="dxa"/>
            <w:left w:w="0" w:type="dxa"/>
            <w:bottom w:w="0" w:type="dxa"/>
            <w:right w:w="0" w:type="dxa"/>
          </w:tblCellMar>
        </w:tblPrEx>
        <w:trPr>
          <w:trHeight w:val="340" w:hRule="atLeast"/>
        </w:trPr>
        <w:tc>
          <w:tcPr>
            <w:tcW w:w="39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2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28" w:type="pct"/>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82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J驻村干部经费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5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大同市紧急医疗救援中心</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5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340" w:hRule="atLeast"/>
        </w:trPr>
        <w:tc>
          <w:tcPr>
            <w:tcW w:w="16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trPr>
        <w:tc>
          <w:tcPr>
            <w:tcW w:w="16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根据国家政策，帮助贫困农村。</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驻村人员的差旅费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16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39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2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34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4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c>
          <w:tcPr>
            <w:tcW w:w="205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驻村干部经费</w:t>
            </w:r>
          </w:p>
        </w:tc>
      </w:tr>
      <w:tr>
        <w:tblPrEx>
          <w:tblCellMar>
            <w:top w:w="0" w:type="dxa"/>
            <w:left w:w="0" w:type="dxa"/>
            <w:bottom w:w="0" w:type="dxa"/>
            <w:right w:w="0" w:type="dxa"/>
          </w:tblCellMar>
        </w:tblPrEx>
        <w:trPr>
          <w:trHeight w:val="340" w:hRule="atLeast"/>
        </w:trPr>
        <w:tc>
          <w:tcPr>
            <w:tcW w:w="39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8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＞100无</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按要求计算活动经费</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＞100无</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工作保障率</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驻村活动经费及时发放</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驻村活动经费及时发放</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保障驻村活动正常</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保障驻村活动正常</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340" w:hRule="atLeast"/>
        </w:trPr>
        <w:tc>
          <w:tcPr>
            <w:tcW w:w="3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8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单位和相关受益人满意度</w:t>
            </w:r>
          </w:p>
        </w:tc>
        <w:tc>
          <w:tcPr>
            <w:tcW w:w="3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both"/>
        <w:textAlignment w:val="auto"/>
        <w:outlineLvl w:val="1"/>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pPr>
      <w:bookmarkStart w:id="21" w:name="_Toc24276"/>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六、国有资产占有使用情况</w:t>
      </w:r>
      <w:bookmarkEnd w:id="21"/>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一</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车辆情况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共有38辆车，其中：8辆应急保障用车，1辆</w:t>
      </w:r>
      <w:r>
        <w:rPr>
          <w:rFonts w:hint="eastAsia" w:asciiTheme="minorEastAsia" w:hAnsiTheme="minorEastAsia" w:eastAsiaTheme="minorEastAsia" w:cstheme="minorEastAsia"/>
          <w:color w:val="auto"/>
          <w:sz w:val="28"/>
          <w:szCs w:val="28"/>
          <w:highlight w:val="none"/>
        </w:rPr>
        <w:t>工作用车</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29辆特种专业用车。</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房屋情况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我单位</w:t>
      </w:r>
      <w:r>
        <w:rPr>
          <w:rFonts w:hint="eastAsia" w:asciiTheme="minorEastAsia" w:hAnsiTheme="minorEastAsia" w:eastAsiaTheme="minorEastAsia" w:cstheme="minorEastAsia"/>
          <w:color w:val="auto"/>
          <w:sz w:val="28"/>
          <w:szCs w:val="28"/>
          <w:highlight w:val="none"/>
        </w:rPr>
        <w:t>系统</w:t>
      </w:r>
      <w:r>
        <w:rPr>
          <w:rFonts w:hint="eastAsia" w:asciiTheme="minorEastAsia" w:hAnsiTheme="minorEastAsia" w:eastAsiaTheme="minorEastAsia" w:cstheme="minorEastAsia"/>
          <w:color w:val="auto"/>
          <w:sz w:val="28"/>
          <w:szCs w:val="28"/>
          <w:highlight w:val="none"/>
          <w:lang w:val="en-US" w:eastAsia="zh-CN"/>
        </w:rPr>
        <w:t>无</w:t>
      </w:r>
      <w:r>
        <w:rPr>
          <w:rFonts w:hint="eastAsia" w:asciiTheme="minorEastAsia" w:hAnsiTheme="minorEastAsia" w:eastAsiaTheme="minorEastAsia" w:cstheme="minorEastAsia"/>
          <w:color w:val="auto"/>
          <w:sz w:val="28"/>
          <w:szCs w:val="28"/>
          <w:highlight w:val="none"/>
        </w:rPr>
        <w:t>房屋</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现使用医卫慈善用房800平米</w:t>
      </w:r>
      <w:r>
        <w:rPr>
          <w:rFonts w:hint="eastAsia" w:asciiTheme="minorEastAsia" w:hAnsiTheme="minorEastAsia" w:eastAsiaTheme="minorEastAsia" w:cstheme="minorEastAsia"/>
          <w:color w:val="auto"/>
          <w:sz w:val="28"/>
          <w:szCs w:val="28"/>
          <w:highlight w:val="none"/>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其他国有资产占有使用情况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val="0"/>
          <w:bCs w:val="0"/>
          <w:i w:val="0"/>
          <w:iCs w:val="0"/>
          <w:caps w:val="0"/>
          <w:color w:val="000000"/>
          <w:spacing w:val="0"/>
          <w:sz w:val="28"/>
          <w:szCs w:val="28"/>
          <w:highlight w:val="none"/>
          <w:shd w:val="clear" w:fill="FFFFFF"/>
          <w:lang w:val="en-US" w:eastAsia="zh-CN"/>
        </w:rPr>
        <w:t>我</w:t>
      </w:r>
      <w:r>
        <w:rPr>
          <w:rFonts w:hint="eastAsia" w:asciiTheme="minorEastAsia" w:hAnsiTheme="minorEastAsia" w:eastAsiaTheme="minorEastAsia" w:cstheme="minorEastAsia"/>
          <w:color w:val="auto"/>
          <w:sz w:val="28"/>
          <w:szCs w:val="28"/>
          <w:highlight w:val="none"/>
        </w:rPr>
        <w:t>单位价值50万元以上通用设备</w:t>
      </w:r>
      <w:r>
        <w:rPr>
          <w:rFonts w:hint="eastAsia" w:asciiTheme="minorEastAsia" w:hAnsiTheme="minorEastAsia" w:eastAsiaTheme="minorEastAsia" w:cstheme="minorEastAsia"/>
          <w:color w:val="auto"/>
          <w:sz w:val="28"/>
          <w:szCs w:val="28"/>
          <w:highlight w:val="none"/>
          <w:lang w:val="en-US" w:eastAsia="zh-CN"/>
        </w:rPr>
        <w:t>2个，为通信机房专用设备</w:t>
      </w:r>
      <w:r>
        <w:rPr>
          <w:rFonts w:hint="eastAsia" w:asciiTheme="minorEastAsia" w:hAnsiTheme="minorEastAsia" w:eastAsiaTheme="minorEastAsia" w:cstheme="minorEastAsia"/>
          <w:color w:val="auto"/>
          <w:sz w:val="28"/>
          <w:szCs w:val="28"/>
          <w:highlight w:val="no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bCs/>
          <w:i w:val="0"/>
          <w:iCs w:val="0"/>
          <w:caps w:val="0"/>
          <w:color w:val="000000"/>
          <w:spacing w:val="0"/>
          <w:sz w:val="28"/>
          <w:szCs w:val="28"/>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bCs/>
          <w:i w:val="0"/>
          <w:iCs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Theme="minorEastAsia" w:hAnsiTheme="minorEastAsia" w:eastAsiaTheme="minorEastAsia" w:cstheme="minorEastAsia"/>
          <w:b/>
          <w:bCs/>
          <w:i w:val="0"/>
          <w:iCs w:val="0"/>
          <w:caps w:val="0"/>
          <w:color w:val="000000"/>
          <w:spacing w:val="0"/>
          <w:sz w:val="32"/>
          <w:szCs w:val="32"/>
          <w:shd w:val="clear" w:fill="FFFFFF"/>
        </w:rPr>
      </w:pPr>
      <w:bookmarkStart w:id="22" w:name="_Toc26255"/>
      <w:r>
        <w:rPr>
          <w:rFonts w:hint="eastAsia" w:asciiTheme="minorEastAsia" w:hAnsiTheme="minorEastAsia" w:eastAsiaTheme="minorEastAsia" w:cstheme="minorEastAsia"/>
          <w:b/>
          <w:bCs/>
          <w:i w:val="0"/>
          <w:iCs w:val="0"/>
          <w:caps w:val="0"/>
          <w:color w:val="000000"/>
          <w:spacing w:val="0"/>
          <w:sz w:val="32"/>
          <w:szCs w:val="32"/>
          <w:shd w:val="clear" w:fill="FFFFFF"/>
        </w:rPr>
        <w:t>第四部分 名词解释</w:t>
      </w:r>
      <w:bookmarkEnd w:id="2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（一）基本支出：指为保障机构正常运转、完成日常工作任务而发生的人员支出和公用支出。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（二）项目支出：指在基本支出之外为完成特定行政任务和事业发展目标所生的支出。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（四）机关运行经费：指行政单位和参照公务员法管理的事业单位使用一般公共预算安排的基本支出中的公用经费支出。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8"/>
          <w:szCs w:val="28"/>
          <w:shd w:val="clear" w:fill="FFFFFF"/>
        </w:rPr>
        <w:t>（五）政府采购：指各级国家机关、事业单位和团体组织使用财政性资金采购依法制定的集中采购目录以内的或者采购限额标准以上的货物、工程和服务的行为。</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大同市紧急医疗救援中心</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bCs w:val="0"/>
          <w:i w:val="0"/>
          <w:iCs w:val="0"/>
          <w:caps w:val="0"/>
          <w:color w:val="000000"/>
          <w:spacing w:val="0"/>
          <w:sz w:val="28"/>
          <w:szCs w:val="28"/>
          <w:shd w:val="clear" w:fill="FFFFFF"/>
          <w:lang w:val="en-US" w:eastAsia="zh-CN"/>
        </w:rPr>
        <w:t>2022年3月14日</w:t>
      </w:r>
    </w:p>
    <w:sectPr>
      <w:footerReference r:id="rId3"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F074"/>
    <w:multiLevelType w:val="singleLevel"/>
    <w:tmpl w:val="04F4F074"/>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022E9"/>
    <w:rsid w:val="0CE77D59"/>
    <w:rsid w:val="0D626255"/>
    <w:rsid w:val="0F226791"/>
    <w:rsid w:val="13416406"/>
    <w:rsid w:val="173B5246"/>
    <w:rsid w:val="1C786399"/>
    <w:rsid w:val="1E5D25D2"/>
    <w:rsid w:val="20ED77DE"/>
    <w:rsid w:val="27C93F1A"/>
    <w:rsid w:val="2AE03A50"/>
    <w:rsid w:val="3034339A"/>
    <w:rsid w:val="3518676F"/>
    <w:rsid w:val="35433A23"/>
    <w:rsid w:val="35F449A7"/>
    <w:rsid w:val="37B207B5"/>
    <w:rsid w:val="3C141BA5"/>
    <w:rsid w:val="3C9F665C"/>
    <w:rsid w:val="3CEE367F"/>
    <w:rsid w:val="3DBF1E7D"/>
    <w:rsid w:val="41FA2DA6"/>
    <w:rsid w:val="43F11A46"/>
    <w:rsid w:val="49690DA2"/>
    <w:rsid w:val="499A0A42"/>
    <w:rsid w:val="4AEC003B"/>
    <w:rsid w:val="4B5F727D"/>
    <w:rsid w:val="50755CF5"/>
    <w:rsid w:val="60CE65FF"/>
    <w:rsid w:val="6E25722B"/>
    <w:rsid w:val="7EB63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line="240" w:lineRule="auto"/>
      <w:ind w:firstLine="640" w:firstLineChars="200"/>
      <w:jc w:val="left"/>
      <w:outlineLvl w:val="1"/>
    </w:pPr>
    <w:rPr>
      <w:rFonts w:ascii="黑体" w:hAnsi="黑体" w:eastAsia="黑体" w:cs="Times New Roman"/>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2020</Words>
  <Characters>2217</Characters>
  <Lines>0</Lines>
  <Paragraphs>0</Paragraphs>
  <TotalTime>0</TotalTime>
  <ScaleCrop>false</ScaleCrop>
  <LinksUpToDate>false</LinksUpToDate>
  <CharactersWithSpaces>2254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CL</dc:creator>
  <cp:lastModifiedBy>Administrator</cp:lastModifiedBy>
  <dcterms:modified xsi:type="dcterms:W3CDTF">2022-03-18T08:37:22Z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727F376627CF41BB96DE5EBF97452760</vt:lpwstr>
  </property>
</Properties>
</file>