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530" w:hanging="2530" w:hangingChars="700"/>
        <w:jc w:val="both"/>
        <w:rPr>
          <w:rFonts w:hint="eastAsia" w:ascii="宋体" w:hAnsi="宋体" w:eastAsia="宋体" w:cs="宋体"/>
          <w:b/>
          <w:bCs/>
          <w:sz w:val="36"/>
          <w:szCs w:val="36"/>
        </w:rPr>
      </w:pPr>
    </w:p>
    <w:p>
      <w:pPr>
        <w:ind w:left="2530" w:hanging="2530" w:hangingChars="700"/>
        <w:jc w:val="both"/>
        <w:rPr>
          <w:rFonts w:hint="eastAsia" w:ascii="宋体" w:hAnsi="宋体" w:eastAsia="宋体" w:cs="宋体"/>
          <w:b/>
          <w:bCs/>
          <w:sz w:val="36"/>
          <w:szCs w:val="36"/>
        </w:rPr>
      </w:pPr>
      <w:r>
        <w:rPr>
          <w:rFonts w:hint="eastAsia" w:ascii="宋体" w:hAnsi="宋体" w:eastAsia="宋体" w:cs="宋体"/>
          <w:b/>
          <w:bCs/>
          <w:sz w:val="36"/>
          <w:szCs w:val="36"/>
        </w:rPr>
        <w:t>大同市</w:t>
      </w:r>
      <w:r>
        <w:rPr>
          <w:rFonts w:hint="eastAsia" w:ascii="宋体" w:hAnsi="宋体" w:eastAsia="宋体" w:cs="宋体"/>
          <w:b/>
          <w:bCs/>
          <w:sz w:val="36"/>
          <w:szCs w:val="36"/>
          <w:lang w:eastAsia="zh-CN"/>
        </w:rPr>
        <w:t>文物安全监测中心（大同市城墙保护中心）</w:t>
      </w:r>
      <w:r>
        <w:rPr>
          <w:rFonts w:hint="eastAsia" w:ascii="宋体" w:hAnsi="宋体" w:eastAsia="宋体" w:cs="宋体"/>
          <w:b/>
          <w:bCs/>
          <w:sz w:val="36"/>
          <w:szCs w:val="36"/>
        </w:rPr>
        <w:t xml:space="preserve"> </w:t>
      </w:r>
      <w:r>
        <w:rPr>
          <w:rFonts w:hint="eastAsia" w:ascii="宋体" w:hAnsi="宋体" w:eastAsia="宋体" w:cs="宋体"/>
          <w:b/>
          <w:bCs/>
          <w:sz w:val="36"/>
          <w:szCs w:val="36"/>
          <w:lang w:val="en-US" w:eastAsia="zh-CN"/>
        </w:rPr>
        <w:t>2021</w:t>
      </w:r>
      <w:r>
        <w:rPr>
          <w:rFonts w:hint="eastAsia" w:ascii="宋体" w:hAnsi="宋体" w:eastAsia="宋体" w:cs="宋体"/>
          <w:b/>
          <w:bCs/>
          <w:sz w:val="36"/>
          <w:szCs w:val="36"/>
        </w:rPr>
        <w:t>年度部门决算</w:t>
      </w:r>
    </w:p>
    <w:p>
      <w:pPr>
        <w:ind w:firstLine="3614" w:firstLineChars="1000"/>
        <w:jc w:val="both"/>
        <w:rPr>
          <w:rFonts w:hint="eastAsia" w:ascii="宋体" w:hAnsi="宋体" w:eastAsia="宋体" w:cs="宋体"/>
          <w:b/>
          <w:bCs/>
          <w:sz w:val="36"/>
          <w:szCs w:val="36"/>
          <w:lang w:eastAsia="zh-CN"/>
        </w:rPr>
      </w:pPr>
      <w:r>
        <w:rPr>
          <w:rFonts w:hint="eastAsia" w:ascii="宋体" w:hAnsi="宋体" w:eastAsia="宋体" w:cs="宋体"/>
          <w:b/>
          <w:bCs/>
          <w:sz w:val="36"/>
          <w:szCs w:val="36"/>
        </w:rPr>
        <w:t>目</w:t>
      </w:r>
      <w:r>
        <w:rPr>
          <w:rFonts w:hint="eastAsia" w:ascii="宋体" w:hAnsi="宋体" w:eastAsia="宋体" w:cs="宋体"/>
          <w:b/>
          <w:bCs/>
          <w:sz w:val="36"/>
          <w:szCs w:val="36"/>
          <w:lang w:val="en-US" w:eastAsia="zh-CN"/>
        </w:rPr>
        <w:t xml:space="preserve">  </w:t>
      </w:r>
      <w:r>
        <w:rPr>
          <w:rFonts w:hint="eastAsia" w:ascii="宋体" w:hAnsi="宋体" w:eastAsia="宋体" w:cs="宋体"/>
          <w:b/>
          <w:bCs/>
          <w:sz w:val="36"/>
          <w:szCs w:val="36"/>
          <w:lang w:eastAsia="zh-CN"/>
        </w:rPr>
        <w:t>录</w:t>
      </w:r>
    </w:p>
    <w:p>
      <w:pPr>
        <w:rPr>
          <w:rFonts w:hint="eastAsia" w:ascii="宋体" w:hAnsi="宋体" w:eastAsia="宋体" w:cs="宋体"/>
          <w:b/>
          <w:bCs/>
          <w:sz w:val="36"/>
          <w:szCs w:val="36"/>
        </w:rPr>
      </w:pPr>
      <w:r>
        <w:rPr>
          <w:rFonts w:hint="eastAsia" w:ascii="宋体" w:hAnsi="宋体" w:eastAsia="宋体" w:cs="宋体"/>
          <w:b/>
          <w:bCs/>
          <w:sz w:val="36"/>
          <w:szCs w:val="36"/>
        </w:rPr>
        <w:t>第一部分 概况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一、本部门职责</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二、机构设置情况</w:t>
      </w:r>
    </w:p>
    <w:p>
      <w:pPr>
        <w:rPr>
          <w:rFonts w:hint="eastAsia" w:ascii="宋体" w:hAnsi="宋体" w:eastAsia="宋体" w:cs="宋体"/>
          <w:b/>
          <w:bCs/>
          <w:sz w:val="36"/>
          <w:szCs w:val="36"/>
        </w:rPr>
      </w:pPr>
      <w:r>
        <w:rPr>
          <w:rFonts w:hint="eastAsia" w:ascii="宋体" w:hAnsi="宋体" w:eastAsia="宋体" w:cs="宋体"/>
          <w:b/>
          <w:bCs/>
          <w:sz w:val="36"/>
          <w:szCs w:val="36"/>
        </w:rPr>
        <w:t>第二部分</w:t>
      </w:r>
      <w:r>
        <w:rPr>
          <w:rFonts w:hint="eastAsia" w:ascii="宋体" w:hAnsi="宋体" w:eastAsia="宋体" w:cs="宋体"/>
          <w:b/>
          <w:bCs/>
          <w:sz w:val="36"/>
          <w:szCs w:val="36"/>
          <w:lang w:val="en-US" w:eastAsia="zh-CN"/>
        </w:rPr>
        <w:t>2021</w:t>
      </w:r>
      <w:r>
        <w:rPr>
          <w:rFonts w:hint="eastAsia" w:ascii="宋体" w:hAnsi="宋体" w:eastAsia="宋体" w:cs="宋体"/>
          <w:b/>
          <w:bCs/>
          <w:sz w:val="36"/>
          <w:szCs w:val="36"/>
        </w:rPr>
        <w:t>年度部门决算报表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一、收入支出决算总表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二、收入决算表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三、支出决算表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四、财政拨款收入支出决算总表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五、一般公共预算财政拨款支出决算表(一)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六、一般公共预算财政拨款支出决算表(二)</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七、一般公共预算财政拨款“三公”经费支出决算表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八、政府性基金预算财政拨款收入支出决算表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九、国有资本经营预算财政拨款支出决算表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十、部门决算公开相关信息统计表</w:t>
      </w:r>
    </w:p>
    <w:p>
      <w:pPr>
        <w:rPr>
          <w:rFonts w:hint="eastAsia" w:ascii="宋体" w:hAnsi="宋体" w:eastAsia="宋体" w:cs="宋体"/>
          <w:b/>
          <w:bCs/>
          <w:sz w:val="36"/>
          <w:szCs w:val="36"/>
        </w:rPr>
      </w:pPr>
      <w:r>
        <w:rPr>
          <w:rFonts w:hint="eastAsia" w:ascii="宋体" w:hAnsi="宋体" w:eastAsia="宋体" w:cs="宋体"/>
          <w:b/>
          <w:bCs/>
          <w:sz w:val="36"/>
          <w:szCs w:val="36"/>
        </w:rPr>
        <w:t>第三部分</w:t>
      </w:r>
      <w:r>
        <w:rPr>
          <w:rFonts w:hint="eastAsia" w:ascii="宋体" w:hAnsi="宋体" w:eastAsia="宋体" w:cs="宋体"/>
          <w:b/>
          <w:bCs/>
          <w:sz w:val="36"/>
          <w:szCs w:val="36"/>
          <w:lang w:val="en-US" w:eastAsia="zh-CN"/>
        </w:rPr>
        <w:t>2021</w:t>
      </w:r>
      <w:r>
        <w:rPr>
          <w:rFonts w:hint="eastAsia" w:ascii="宋体" w:hAnsi="宋体" w:eastAsia="宋体" w:cs="宋体"/>
          <w:b/>
          <w:bCs/>
          <w:sz w:val="36"/>
          <w:szCs w:val="36"/>
        </w:rPr>
        <w:t>年度部门决算情况说明</w:t>
      </w:r>
    </w:p>
    <w:p>
      <w:pPr>
        <w:rPr>
          <w:rFonts w:hint="eastAsia" w:ascii="宋体" w:hAnsi="宋体" w:eastAsia="宋体" w:cs="宋体"/>
          <w:b/>
          <w:bCs/>
          <w:sz w:val="36"/>
          <w:szCs w:val="36"/>
        </w:rPr>
      </w:pPr>
    </w:p>
    <w:p>
      <w:pPr>
        <w:rPr>
          <w:rFonts w:hint="eastAsia" w:ascii="宋体" w:hAnsi="宋体" w:eastAsia="宋体" w:cs="宋体"/>
          <w:b/>
          <w:bCs/>
          <w:sz w:val="36"/>
          <w:szCs w:val="36"/>
        </w:rPr>
      </w:pPr>
    </w:p>
    <w:p>
      <w:pPr>
        <w:rPr>
          <w:rFonts w:hint="eastAsia" w:ascii="宋体" w:hAnsi="宋体" w:eastAsia="宋体" w:cs="宋体"/>
          <w:b/>
          <w:bCs/>
          <w:sz w:val="36"/>
          <w:szCs w:val="36"/>
        </w:rPr>
      </w:pPr>
    </w:p>
    <w:p>
      <w:pPr>
        <w:ind w:firstLine="723" w:firstLineChars="200"/>
        <w:rPr>
          <w:rFonts w:hint="eastAsia" w:ascii="宋体" w:hAnsi="宋体" w:eastAsia="宋体" w:cs="宋体"/>
          <w:b/>
          <w:bCs/>
          <w:sz w:val="36"/>
          <w:szCs w:val="36"/>
        </w:rPr>
      </w:pPr>
      <w:r>
        <w:rPr>
          <w:rFonts w:hint="eastAsia" w:ascii="宋体" w:hAnsi="宋体" w:eastAsia="宋体" w:cs="宋体"/>
          <w:b/>
          <w:bCs/>
          <w:sz w:val="36"/>
          <w:szCs w:val="36"/>
        </w:rPr>
        <w:t>第一部分 概况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一、本部门职责</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大同市文物安全监测中心（大同市城墙保护中心）于2020年依据同编办字[2020]220号文件要求，由中共中央大同市委编制委员会办公室批准成立的正科级公益一类全额事业单位。</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主要职责：开展文物保护研究，促进文物事业发展；承担全市不可移动文物和地下文物的安全巡查工作；监督检查全市文物保护工程和考古发掘中的文物保护工作；负责城墙保护、研究、利用、宣传工作。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机构编制管理部门核定编制人数30名，其中：事业编制人数30人；领导职数1正2副。截止2021年12月31日止职工人数39人，其中属于事业编制人员4人（实有领导一正两副），公开招聘人员33人；其他人员2人。</w:t>
      </w:r>
    </w:p>
    <w:p>
      <w:pPr>
        <w:ind w:firstLine="723" w:firstLineChars="200"/>
        <w:rPr>
          <w:rFonts w:hint="eastAsia" w:ascii="宋体" w:hAnsi="宋体" w:eastAsia="宋体" w:cs="宋体"/>
          <w:b/>
          <w:bCs/>
          <w:sz w:val="36"/>
          <w:szCs w:val="36"/>
        </w:rPr>
      </w:pPr>
      <w:r>
        <w:rPr>
          <w:rFonts w:hint="eastAsia" w:ascii="宋体" w:hAnsi="宋体" w:eastAsia="宋体" w:cs="宋体"/>
          <w:b/>
          <w:bCs/>
          <w:sz w:val="36"/>
          <w:szCs w:val="36"/>
        </w:rPr>
        <w:t xml:space="preserve">第二部分 </w:t>
      </w:r>
      <w:r>
        <w:rPr>
          <w:rFonts w:hint="eastAsia" w:ascii="宋体" w:hAnsi="宋体" w:eastAsia="宋体" w:cs="宋体"/>
          <w:b/>
          <w:bCs/>
          <w:sz w:val="36"/>
          <w:szCs w:val="36"/>
          <w:lang w:val="en-US" w:eastAsia="zh-CN"/>
        </w:rPr>
        <w:t>2021</w:t>
      </w:r>
      <w:r>
        <w:rPr>
          <w:rFonts w:hint="eastAsia" w:ascii="宋体" w:hAnsi="宋体" w:eastAsia="宋体" w:cs="宋体"/>
          <w:b/>
          <w:bCs/>
          <w:sz w:val="36"/>
          <w:szCs w:val="36"/>
        </w:rPr>
        <w:t>年度部门决算报表</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一、收入支出决算总表</w:t>
      </w:r>
    </w:p>
    <w:tbl>
      <w:tblPr>
        <w:tblW w:w="929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1931"/>
        <w:gridCol w:w="638"/>
        <w:gridCol w:w="1464"/>
        <w:gridCol w:w="3660"/>
        <w:gridCol w:w="456"/>
        <w:gridCol w:w="11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nil"/>
              <w:bottom w:val="nil"/>
              <w:right w:val="nil"/>
            </w:tcBorders>
            <w:shd w:val="clear"/>
            <w:noWrap/>
            <w:vAlign w:val="bottom"/>
          </w:tcPr>
          <w:p>
            <w:pPr>
              <w:rPr>
                <w:rFonts w:hint="eastAsia" w:ascii="Arial" w:hAnsi="Arial" w:cs="Arial"/>
                <w:i w:val="0"/>
                <w:iCs w:val="0"/>
                <w:color w:val="000000"/>
                <w:sz w:val="20"/>
                <w:szCs w:val="20"/>
                <w:u w:val="none"/>
              </w:rPr>
            </w:pPr>
          </w:p>
        </w:tc>
        <w:tc>
          <w:tcPr>
            <w:tcW w:w="638" w:type="dxa"/>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1464" w:type="dxa"/>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3660" w:type="dxa"/>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456" w:type="dxa"/>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1147" w:type="dxa"/>
            <w:tcBorders>
              <w:top w:val="nil"/>
              <w:left w:val="nil"/>
              <w:bottom w:val="nil"/>
              <w:right w:val="nil"/>
            </w:tcBorders>
            <w:shd w:val="clear"/>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部门：大同市文物安全监测中心（大同市城墙保护中心）</w:t>
            </w:r>
          </w:p>
        </w:tc>
        <w:tc>
          <w:tcPr>
            <w:tcW w:w="638" w:type="dxa"/>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1464" w:type="dxa"/>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3660" w:type="dxa"/>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456" w:type="dxa"/>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1147" w:type="dxa"/>
            <w:tcBorders>
              <w:top w:val="nil"/>
              <w:left w:val="nil"/>
              <w:bottom w:val="nil"/>
              <w:right w:val="nil"/>
            </w:tcBorders>
            <w:shd w:val="clear"/>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4033" w:type="dxa"/>
            <w:gridSpan w:val="3"/>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收入</w:t>
            </w:r>
          </w:p>
        </w:tc>
        <w:tc>
          <w:tcPr>
            <w:tcW w:w="5263" w:type="dxa"/>
            <w:gridSpan w:val="3"/>
            <w:tcBorders>
              <w:top w:val="single" w:color="000000" w:sz="4" w:space="0"/>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行次</w:t>
            </w:r>
          </w:p>
        </w:tc>
        <w:tc>
          <w:tcPr>
            <w:tcW w:w="1464"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金额</w:t>
            </w: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行次</w:t>
            </w:r>
          </w:p>
        </w:tc>
        <w:tc>
          <w:tcPr>
            <w:tcW w:w="1147"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638" w:type="dxa"/>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464"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栏次</w:t>
            </w:r>
          </w:p>
        </w:tc>
        <w:tc>
          <w:tcPr>
            <w:tcW w:w="456" w:type="dxa"/>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147"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一、一般公共预算财政拨款收入</w:t>
            </w: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1464" w:type="dxa"/>
            <w:tcBorders>
              <w:top w:val="nil"/>
              <w:left w:val="nil"/>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14,986,031.00</w:t>
            </w: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一、一般公共服务支出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二、政府性基金预算财政拨款收入</w:t>
            </w: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1464" w:type="dxa"/>
            <w:tcBorders>
              <w:top w:val="nil"/>
              <w:left w:val="nil"/>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40,000,000.00</w:t>
            </w: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二、外交支出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三、国有资本经营预算财政拨款收入</w:t>
            </w: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三、国防支出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四、上级补助收入</w:t>
            </w: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四、公共安全支出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五、事业收入</w:t>
            </w: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五、教育支出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六、经营收入</w:t>
            </w: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六、科学技术支出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七、附属单位上缴收入</w:t>
            </w: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七、文化旅游体育与传媒支出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w:t>
            </w:r>
          </w:p>
        </w:tc>
        <w:tc>
          <w:tcPr>
            <w:tcW w:w="1147" w:type="dxa"/>
            <w:tcBorders>
              <w:top w:val="nil"/>
              <w:left w:val="nil"/>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14,886,590.68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八、其他收入</w:t>
            </w: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八、社会保障和就业支出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w:t>
            </w:r>
          </w:p>
        </w:tc>
        <w:tc>
          <w:tcPr>
            <w:tcW w:w="1147" w:type="dxa"/>
            <w:tcBorders>
              <w:top w:val="nil"/>
              <w:left w:val="nil"/>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42,537.60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九、卫生健康支出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w:t>
            </w:r>
          </w:p>
        </w:tc>
        <w:tc>
          <w:tcPr>
            <w:tcW w:w="1147" w:type="dxa"/>
            <w:tcBorders>
              <w:top w:val="nil"/>
              <w:left w:val="nil"/>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18,610.20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十、节能环保支出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十一、城乡社区支出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十二、农林水支出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43</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十三、交通运输支出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十四、资源勘探工业信息等支出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十五、商业服务业等支出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46</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十六、金融支出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十七、援助其他地区支出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十八、自然资源海洋气象等支出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十九、住房保障支出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1147" w:type="dxa"/>
            <w:tcBorders>
              <w:top w:val="nil"/>
              <w:left w:val="nil"/>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38,349.52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二十、粮油物资储备支出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二十一、国有资本经营预算支出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二十二、灾害防治及应急管理支出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二十三、其他支出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w:t>
            </w:r>
          </w:p>
        </w:tc>
        <w:tc>
          <w:tcPr>
            <w:tcW w:w="1147" w:type="dxa"/>
            <w:tcBorders>
              <w:top w:val="nil"/>
              <w:left w:val="nil"/>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center"/>
              <w:rPr>
                <w:rFonts w:hint="eastAsia" w:ascii="宋体" w:hAnsi="宋体" w:eastAsia="宋体" w:cs="宋体"/>
                <w:b/>
                <w:bCs/>
                <w:i w:val="0"/>
                <w:iCs w:val="0"/>
                <w:color w:val="000000"/>
                <w:sz w:val="20"/>
                <w:szCs w:val="20"/>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0"/>
                <w:szCs w:val="20"/>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二十四、债务还本支出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0"/>
                <w:szCs w:val="20"/>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0"/>
                <w:szCs w:val="20"/>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二十五、债务付息支出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0"/>
                <w:szCs w:val="20"/>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0"/>
                <w:szCs w:val="20"/>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二十六、抗疫特别国债安排的支出</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本年收入合计</w:t>
            </w: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w:t>
            </w:r>
          </w:p>
        </w:tc>
        <w:tc>
          <w:tcPr>
            <w:tcW w:w="1464" w:type="dxa"/>
            <w:tcBorders>
              <w:top w:val="nil"/>
              <w:left w:val="nil"/>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54,986,031.00</w:t>
            </w: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本年支出合计</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w:t>
            </w:r>
          </w:p>
        </w:tc>
        <w:tc>
          <w:tcPr>
            <w:tcW w:w="1147" w:type="dxa"/>
            <w:tcBorders>
              <w:top w:val="nil"/>
              <w:left w:val="nil"/>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54,986,088.00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使用非财政拨款结余</w:t>
            </w: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结余分配</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59</w:t>
            </w:r>
          </w:p>
        </w:tc>
        <w:tc>
          <w:tcPr>
            <w:tcW w:w="1147"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年初结转和结余</w:t>
            </w: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w:t>
            </w:r>
          </w:p>
        </w:tc>
        <w:tc>
          <w:tcPr>
            <w:tcW w:w="1464" w:type="dxa"/>
            <w:tcBorders>
              <w:top w:val="nil"/>
              <w:left w:val="nil"/>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57.83</w:t>
            </w: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年末结转和结余</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w:t>
            </w:r>
          </w:p>
        </w:tc>
        <w:tc>
          <w:tcPr>
            <w:tcW w:w="1147" w:type="dxa"/>
            <w:tcBorders>
              <w:top w:val="nil"/>
              <w:left w:val="nil"/>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638"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1464" w:type="dxa"/>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c>
          <w:tcPr>
            <w:tcW w:w="3660" w:type="dxa"/>
            <w:tcBorders>
              <w:top w:val="nil"/>
              <w:left w:val="nil"/>
              <w:bottom w:val="single" w:color="000000" w:sz="4" w:space="0"/>
              <w:right w:val="single" w:color="000000" w:sz="4" w:space="0"/>
            </w:tcBorders>
            <w:shd w:val="clear" w:color="FFFFFF" w:fill="C0C0C0"/>
            <w:noWrap/>
            <w:vAlign w:val="center"/>
          </w:tcPr>
          <w:p>
            <w:pPr>
              <w:jc w:val="left"/>
              <w:rPr>
                <w:rFonts w:hint="eastAsia" w:ascii="宋体" w:hAnsi="宋体" w:eastAsia="宋体" w:cs="宋体"/>
                <w:i w:val="0"/>
                <w:iCs w:val="0"/>
                <w:color w:val="000000"/>
                <w:sz w:val="22"/>
                <w:szCs w:val="22"/>
                <w:u w:val="none"/>
              </w:rPr>
            </w:pP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61</w:t>
            </w:r>
          </w:p>
        </w:tc>
        <w:tc>
          <w:tcPr>
            <w:tcW w:w="1147" w:type="dxa"/>
            <w:tcBorders>
              <w:top w:val="nil"/>
              <w:left w:val="nil"/>
              <w:bottom w:val="single" w:color="000000" w:sz="4" w:space="0"/>
              <w:right w:val="single" w:color="000000" w:sz="4" w:space="0"/>
            </w:tcBorders>
            <w:shd w:val="clear"/>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1931" w:type="dxa"/>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总计</w:t>
            </w:r>
          </w:p>
        </w:tc>
        <w:tc>
          <w:tcPr>
            <w:tcW w:w="638" w:type="dxa"/>
            <w:tcBorders>
              <w:top w:val="nil"/>
              <w:left w:val="nil"/>
              <w:bottom w:val="single" w:color="000000" w:sz="8"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w:t>
            </w:r>
          </w:p>
        </w:tc>
        <w:tc>
          <w:tcPr>
            <w:tcW w:w="1464" w:type="dxa"/>
            <w:tcBorders>
              <w:top w:val="nil"/>
              <w:left w:val="nil"/>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54,986,088.83</w:t>
            </w:r>
          </w:p>
        </w:tc>
        <w:tc>
          <w:tcPr>
            <w:tcW w:w="3660"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总计</w:t>
            </w:r>
          </w:p>
        </w:tc>
        <w:tc>
          <w:tcPr>
            <w:tcW w:w="456" w:type="dxa"/>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w:t>
            </w:r>
          </w:p>
        </w:tc>
        <w:tc>
          <w:tcPr>
            <w:tcW w:w="1147" w:type="dxa"/>
            <w:tcBorders>
              <w:top w:val="nil"/>
              <w:left w:val="nil"/>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54,986,088.83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9296" w:type="dxa"/>
            <w:gridSpan w:val="6"/>
            <w:tcBorders>
              <w:top w:val="nil"/>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注：本表反映部门本年度的总收支和年末结转结余情况。本套报表金额单位转换时可能存在尾数误差。</w:t>
            </w:r>
          </w:p>
        </w:tc>
      </w:tr>
    </w:tbl>
    <w:p>
      <w:pPr>
        <w:ind w:firstLine="640" w:firstLineChars="200"/>
        <w:rPr>
          <w:rFonts w:hint="eastAsia" w:ascii="仿宋_GB2312" w:hAnsi="仿宋_GB2312" w:eastAsia="仿宋_GB2312" w:cs="仿宋_GB2312"/>
          <w:sz w:val="32"/>
          <w:szCs w:val="32"/>
        </w:rPr>
      </w:pPr>
    </w:p>
    <w:p>
      <w:pPr>
        <w:numPr>
          <w:ilvl w:val="0"/>
          <w:numId w:val="1"/>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收入决算表</w:t>
      </w:r>
    </w:p>
    <w:p>
      <w:pPr>
        <w:numPr>
          <w:numId w:val="0"/>
        </w:num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drawing>
          <wp:inline distT="0" distB="0" distL="114300" distR="114300">
            <wp:extent cx="6111240" cy="2886075"/>
            <wp:effectExtent l="0" t="0" r="3810" b="9525"/>
            <wp:docPr id="1" name="图片 1" descr="1658997217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58997217055"/>
                    <pic:cNvPicPr>
                      <a:picLocks noChangeAspect="1"/>
                    </pic:cNvPicPr>
                  </pic:nvPicPr>
                  <pic:blipFill>
                    <a:blip r:embed="rId4"/>
                    <a:stretch>
                      <a:fillRect/>
                    </a:stretch>
                  </pic:blipFill>
                  <pic:spPr>
                    <a:xfrm>
                      <a:off x="0" y="0"/>
                      <a:ext cx="6111240" cy="2886075"/>
                    </a:xfrm>
                    <a:prstGeom prst="rect">
                      <a:avLst/>
                    </a:prstGeom>
                  </pic:spPr>
                </pic:pic>
              </a:graphicData>
            </a:graphic>
          </wp:inline>
        </w:drawing>
      </w:r>
    </w:p>
    <w:p>
      <w:pPr>
        <w:numPr>
          <w:ilvl w:val="0"/>
          <w:numId w:val="1"/>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支出决算表</w:t>
      </w:r>
    </w:p>
    <w:p>
      <w:pPr>
        <w:numPr>
          <w:numId w:val="0"/>
        </w:num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drawing>
          <wp:inline distT="0" distB="0" distL="114300" distR="114300">
            <wp:extent cx="6045835" cy="3197860"/>
            <wp:effectExtent l="0" t="0" r="12065" b="2540"/>
            <wp:docPr id="2" name="图片 2" descr="1658997350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58997350922"/>
                    <pic:cNvPicPr>
                      <a:picLocks noChangeAspect="1"/>
                    </pic:cNvPicPr>
                  </pic:nvPicPr>
                  <pic:blipFill>
                    <a:blip r:embed="rId5"/>
                    <a:stretch>
                      <a:fillRect/>
                    </a:stretch>
                  </pic:blipFill>
                  <pic:spPr>
                    <a:xfrm>
                      <a:off x="0" y="0"/>
                      <a:ext cx="6045835" cy="3197860"/>
                    </a:xfrm>
                    <a:prstGeom prst="rect">
                      <a:avLst/>
                    </a:prstGeom>
                  </pic:spPr>
                </pic:pic>
              </a:graphicData>
            </a:graphic>
          </wp:inline>
        </w:drawing>
      </w:r>
    </w:p>
    <w:p>
      <w:pPr>
        <w:numPr>
          <w:ilvl w:val="0"/>
          <w:numId w:val="1"/>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财政拨款收入支出决算总表</w:t>
      </w:r>
    </w:p>
    <w:p>
      <w:pPr>
        <w:numPr>
          <w:numId w:val="0"/>
        </w:numPr>
        <w:rPr>
          <w:rFonts w:hint="eastAsia" w:ascii="仿宋_GB2312" w:hAnsi="仿宋_GB2312" w:eastAsia="仿宋_GB2312" w:cs="仿宋_GB2312"/>
          <w:sz w:val="32"/>
          <w:szCs w:val="32"/>
        </w:rPr>
      </w:pPr>
    </w:p>
    <w:p>
      <w:pPr>
        <w:numPr>
          <w:numId w:val="0"/>
        </w:numPr>
        <w:rPr>
          <w:rFonts w:hint="eastAsia" w:ascii="仿宋_GB2312" w:hAnsi="仿宋_GB2312" w:eastAsia="仿宋_GB2312" w:cs="仿宋_GB2312"/>
          <w:sz w:val="32"/>
          <w:szCs w:val="32"/>
        </w:rPr>
      </w:pPr>
    </w:p>
    <w:p>
      <w:pPr>
        <w:numPr>
          <w:numId w:val="0"/>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drawing>
          <wp:inline distT="0" distB="0" distL="114300" distR="114300">
            <wp:extent cx="5717540" cy="4153535"/>
            <wp:effectExtent l="0" t="0" r="16510" b="18415"/>
            <wp:docPr id="3" name="图片 3" descr="165899764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58997647094"/>
                    <pic:cNvPicPr>
                      <a:picLocks noChangeAspect="1"/>
                    </pic:cNvPicPr>
                  </pic:nvPicPr>
                  <pic:blipFill>
                    <a:blip r:embed="rId6"/>
                    <a:stretch>
                      <a:fillRect/>
                    </a:stretch>
                  </pic:blipFill>
                  <pic:spPr>
                    <a:xfrm>
                      <a:off x="0" y="0"/>
                      <a:ext cx="5717540" cy="4153535"/>
                    </a:xfrm>
                    <a:prstGeom prst="rect">
                      <a:avLst/>
                    </a:prstGeom>
                  </pic:spPr>
                </pic:pic>
              </a:graphicData>
            </a:graphic>
          </wp:inline>
        </w:drawing>
      </w:r>
    </w:p>
    <w:p>
      <w:pPr>
        <w:numPr>
          <w:ilvl w:val="0"/>
          <w:numId w:val="1"/>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一般公共预算财政拨款支出决算表(一)</w:t>
      </w:r>
    </w:p>
    <w:p>
      <w:pPr>
        <w:numPr>
          <w:numId w:val="0"/>
        </w:numPr>
        <w:rPr>
          <w:rFonts w:hint="eastAsia" w:ascii="仿宋_GB2312" w:hAnsi="仿宋_GB2312" w:eastAsia="仿宋_GB2312" w:cs="仿宋_GB2312"/>
          <w:sz w:val="32"/>
          <w:szCs w:val="32"/>
        </w:rPr>
      </w:pPr>
      <w:r>
        <w:drawing>
          <wp:inline distT="0" distB="0" distL="114300" distR="114300">
            <wp:extent cx="5986145" cy="3799205"/>
            <wp:effectExtent l="0" t="0" r="14605"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7"/>
                    <a:stretch>
                      <a:fillRect/>
                    </a:stretch>
                  </pic:blipFill>
                  <pic:spPr>
                    <a:xfrm>
                      <a:off x="0" y="0"/>
                      <a:ext cx="5986145" cy="3799205"/>
                    </a:xfrm>
                    <a:prstGeom prst="rect">
                      <a:avLst/>
                    </a:prstGeom>
                    <a:noFill/>
                    <a:ln>
                      <a:noFill/>
                    </a:ln>
                  </pic:spPr>
                </pic:pic>
              </a:graphicData>
            </a:graphic>
          </wp:inline>
        </w:drawing>
      </w:r>
    </w:p>
    <w:p>
      <w:pPr>
        <w:numPr>
          <w:ilvl w:val="0"/>
          <w:numId w:val="1"/>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一般公共预算财政拨款支出决算表(二)</w:t>
      </w:r>
    </w:p>
    <w:p>
      <w:pPr>
        <w:numPr>
          <w:numId w:val="0"/>
        </w:num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drawing>
          <wp:inline distT="0" distB="0" distL="114300" distR="114300">
            <wp:extent cx="6167120" cy="3026410"/>
            <wp:effectExtent l="0" t="0" r="5080" b="2540"/>
            <wp:docPr id="6" name="图片 6" descr="1658998103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58998103636"/>
                    <pic:cNvPicPr>
                      <a:picLocks noChangeAspect="1"/>
                    </pic:cNvPicPr>
                  </pic:nvPicPr>
                  <pic:blipFill>
                    <a:blip r:embed="rId8"/>
                    <a:stretch>
                      <a:fillRect/>
                    </a:stretch>
                  </pic:blipFill>
                  <pic:spPr>
                    <a:xfrm>
                      <a:off x="0" y="0"/>
                      <a:ext cx="6167120" cy="3026410"/>
                    </a:xfrm>
                    <a:prstGeom prst="rect">
                      <a:avLst/>
                    </a:prstGeom>
                  </pic:spPr>
                </pic:pic>
              </a:graphicData>
            </a:graphic>
          </wp:inline>
        </w:drawing>
      </w:r>
    </w:p>
    <w:p>
      <w:pPr>
        <w:numPr>
          <w:ilvl w:val="0"/>
          <w:numId w:val="1"/>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一般公共预算财政拨款“三公”经费支出决算表</w:t>
      </w:r>
    </w:p>
    <w:p>
      <w:pPr>
        <w:numPr>
          <w:numId w:val="0"/>
        </w:numPr>
      </w:pPr>
      <w:r>
        <w:drawing>
          <wp:inline distT="0" distB="0" distL="114300" distR="114300">
            <wp:extent cx="6224270" cy="1604645"/>
            <wp:effectExtent l="0" t="0" r="5080" b="1460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9"/>
                    <a:stretch>
                      <a:fillRect/>
                    </a:stretch>
                  </pic:blipFill>
                  <pic:spPr>
                    <a:xfrm>
                      <a:off x="0" y="0"/>
                      <a:ext cx="6224270" cy="1604645"/>
                    </a:xfrm>
                    <a:prstGeom prst="rect">
                      <a:avLst/>
                    </a:prstGeom>
                    <a:noFill/>
                    <a:ln>
                      <a:noFill/>
                    </a:ln>
                  </pic:spPr>
                </pic:pic>
              </a:graphicData>
            </a:graphic>
          </wp:inline>
        </w:drawing>
      </w:r>
    </w:p>
    <w:p>
      <w:pPr>
        <w:numPr>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w:t>
      </w:r>
      <w:r>
        <w:rPr>
          <w:rFonts w:hint="eastAsia" w:ascii="仿宋_GB2312" w:hAnsi="仿宋_GB2312" w:eastAsia="仿宋_GB2312" w:cs="仿宋_GB2312"/>
          <w:sz w:val="32"/>
          <w:szCs w:val="32"/>
        </w:rPr>
        <w:t>单位没有</w:t>
      </w:r>
      <w:r>
        <w:rPr>
          <w:rFonts w:hint="eastAsia" w:ascii="仿宋_GB2312" w:hAnsi="仿宋_GB2312" w:eastAsia="仿宋_GB2312" w:cs="仿宋_GB2312"/>
          <w:sz w:val="32"/>
          <w:szCs w:val="32"/>
          <w:lang w:eastAsia="zh-CN"/>
        </w:rPr>
        <w:t>一般公共预算财政拨款“三公”经费</w:t>
      </w:r>
      <w:r>
        <w:rPr>
          <w:rFonts w:hint="eastAsia" w:ascii="仿宋_GB2312" w:hAnsi="仿宋_GB2312" w:eastAsia="仿宋_GB2312" w:cs="仿宋_GB2312"/>
          <w:sz w:val="32"/>
          <w:szCs w:val="32"/>
        </w:rPr>
        <w:t>的支出，</w:t>
      </w:r>
      <w:r>
        <w:rPr>
          <w:rFonts w:hint="eastAsia" w:ascii="仿宋_GB2312" w:hAnsi="仿宋_GB2312" w:eastAsia="仿宋_GB2312" w:cs="仿宋_GB2312"/>
          <w:sz w:val="32"/>
          <w:szCs w:val="32"/>
          <w:lang w:eastAsia="zh-CN"/>
        </w:rPr>
        <w:t>故</w:t>
      </w:r>
      <w:r>
        <w:rPr>
          <w:rFonts w:hint="eastAsia" w:ascii="仿宋_GB2312" w:hAnsi="仿宋_GB2312" w:eastAsia="仿宋_GB2312" w:cs="仿宋_GB2312"/>
          <w:sz w:val="32"/>
          <w:szCs w:val="32"/>
        </w:rPr>
        <w:t>本表无数据</w:t>
      </w:r>
    </w:p>
    <w:p>
      <w:pPr>
        <w:numPr>
          <w:ilvl w:val="0"/>
          <w:numId w:val="1"/>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政府性基金预算财政拨款收入支出决算表</w:t>
      </w:r>
    </w:p>
    <w:p>
      <w:pPr>
        <w:numPr>
          <w:numId w:val="0"/>
        </w:numPr>
        <w:rPr>
          <w:rFonts w:hint="eastAsia" w:ascii="仿宋_GB2312" w:hAnsi="仿宋_GB2312" w:eastAsia="仿宋_GB2312" w:cs="仿宋_GB2312"/>
          <w:sz w:val="32"/>
          <w:szCs w:val="32"/>
        </w:rPr>
      </w:pPr>
      <w:r>
        <w:drawing>
          <wp:inline distT="0" distB="0" distL="114300" distR="114300">
            <wp:extent cx="6292215" cy="2541905"/>
            <wp:effectExtent l="0" t="0" r="13335" b="1079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10"/>
                    <a:stretch>
                      <a:fillRect/>
                    </a:stretch>
                  </pic:blipFill>
                  <pic:spPr>
                    <a:xfrm>
                      <a:off x="0" y="0"/>
                      <a:ext cx="6292215" cy="2541905"/>
                    </a:xfrm>
                    <a:prstGeom prst="rect">
                      <a:avLst/>
                    </a:prstGeom>
                    <a:noFill/>
                    <a:ln>
                      <a:noFill/>
                    </a:ln>
                  </pic:spPr>
                </pic:pic>
              </a:graphicData>
            </a:graphic>
          </wp:inline>
        </w:drawing>
      </w:r>
    </w:p>
    <w:p>
      <w:pPr>
        <w:numPr>
          <w:ilvl w:val="0"/>
          <w:numId w:val="1"/>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国有资本经营预算财政拨款支出决算表</w:t>
      </w:r>
    </w:p>
    <w:p>
      <w:pPr>
        <w:numPr>
          <w:numId w:val="0"/>
        </w:numPr>
      </w:pPr>
      <w:r>
        <w:drawing>
          <wp:inline distT="0" distB="0" distL="114300" distR="114300">
            <wp:extent cx="5957570" cy="2651125"/>
            <wp:effectExtent l="0" t="0" r="5080" b="1587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1"/>
                    <a:stretch>
                      <a:fillRect/>
                    </a:stretch>
                  </pic:blipFill>
                  <pic:spPr>
                    <a:xfrm>
                      <a:off x="0" y="0"/>
                      <a:ext cx="5957570" cy="2651125"/>
                    </a:xfrm>
                    <a:prstGeom prst="rect">
                      <a:avLst/>
                    </a:prstGeom>
                    <a:noFill/>
                    <a:ln>
                      <a:noFill/>
                    </a:ln>
                  </pic:spPr>
                </pic:pic>
              </a:graphicData>
            </a:graphic>
          </wp:inline>
        </w:drawing>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w:t>
      </w:r>
      <w:r>
        <w:rPr>
          <w:rFonts w:hint="eastAsia" w:ascii="仿宋_GB2312" w:hAnsi="仿宋_GB2312" w:eastAsia="仿宋_GB2312" w:cs="仿宋_GB2312"/>
          <w:sz w:val="32"/>
          <w:szCs w:val="32"/>
        </w:rPr>
        <w:t>单位没有使用国有资本经营预算安排的支出，故本表无数据</w:t>
      </w:r>
    </w:p>
    <w:p>
      <w:pPr>
        <w:numPr>
          <w:ilvl w:val="0"/>
          <w:numId w:val="1"/>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部门决算公开相关信息统计表</w:t>
      </w:r>
    </w:p>
    <w:tbl>
      <w:tblPr>
        <w:tblW w:w="76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446"/>
        <w:gridCol w:w="1233"/>
        <w:gridCol w:w="17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5" w:hRule="atLeast"/>
        </w:trPr>
        <w:tc>
          <w:tcPr>
            <w:tcW w:w="5130" w:type="dxa"/>
            <w:tcBorders>
              <w:top w:val="nil"/>
              <w:left w:val="nil"/>
              <w:bottom w:val="nil"/>
              <w:right w:val="nil"/>
            </w:tcBorders>
            <w:shd w:val="clear"/>
            <w:noWrap/>
            <w:vAlign w:val="bottom"/>
          </w:tcPr>
          <w:p>
            <w:pPr>
              <w:rPr>
                <w:rFonts w:hint="eastAsia" w:ascii="Arial" w:hAnsi="Arial" w:cs="Arial"/>
                <w:i w:val="0"/>
                <w:iCs w:val="0"/>
                <w:color w:val="000000"/>
                <w:sz w:val="20"/>
                <w:szCs w:val="20"/>
                <w:u w:val="none"/>
              </w:rPr>
            </w:pPr>
          </w:p>
        </w:tc>
        <w:tc>
          <w:tcPr>
            <w:tcW w:w="735" w:type="dxa"/>
            <w:tcBorders>
              <w:top w:val="nil"/>
              <w:left w:val="nil"/>
              <w:bottom w:val="nil"/>
              <w:right w:val="nil"/>
            </w:tcBorders>
            <w:shd w:val="clear"/>
            <w:noWrap/>
            <w:vAlign w:val="bottom"/>
          </w:tcPr>
          <w:p>
            <w:pPr>
              <w:rPr>
                <w:rFonts w:hint="default" w:ascii="Arial" w:hAnsi="Arial" w:cs="Arial"/>
                <w:i w:val="0"/>
                <w:iCs w:val="0"/>
                <w:color w:val="000000"/>
                <w:sz w:val="20"/>
                <w:szCs w:val="20"/>
                <w:u w:val="none"/>
              </w:rPr>
            </w:pPr>
          </w:p>
        </w:tc>
        <w:tc>
          <w:tcPr>
            <w:tcW w:w="1800" w:type="dxa"/>
            <w:tcBorders>
              <w:top w:val="nil"/>
              <w:left w:val="nil"/>
              <w:bottom w:val="nil"/>
              <w:right w:val="nil"/>
            </w:tcBorders>
            <w:shd w:val="clear"/>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公开10表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编制单位：大同市文物安全监测中心（大同市城墙保护中心）</w:t>
            </w:r>
          </w:p>
        </w:tc>
        <w:tc>
          <w:tcPr>
            <w:tcW w:w="0" w:type="auto"/>
            <w:tcBorders>
              <w:top w:val="nil"/>
              <w:left w:val="nil"/>
              <w:bottom w:val="nil"/>
              <w:right w:val="nil"/>
            </w:tcBorders>
            <w:shd w:val="clear"/>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2022年7月</w:t>
            </w:r>
          </w:p>
        </w:tc>
        <w:tc>
          <w:tcPr>
            <w:tcW w:w="0" w:type="auto"/>
            <w:tcBorders>
              <w:top w:val="nil"/>
              <w:left w:val="nil"/>
              <w:bottom w:val="nil"/>
              <w:right w:val="nil"/>
            </w:tcBorders>
            <w:shd w:val="clear"/>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金额单位：元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一、政府采购情况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行次</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采购金额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合计</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0" w:type="auto"/>
            <w:tcBorders>
              <w:top w:val="nil"/>
              <w:left w:val="nil"/>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货物</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0" w:type="auto"/>
            <w:tcBorders>
              <w:top w:val="nil"/>
              <w:left w:val="nil"/>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0" w:type="auto"/>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服务</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0" w:type="auto"/>
            <w:tcBorders>
              <w:top w:val="nil"/>
              <w:left w:val="nil"/>
              <w:bottom w:val="single" w:color="000000" w:sz="4" w:space="0"/>
              <w:right w:val="single" w:color="000000" w:sz="4" w:space="0"/>
            </w:tcBorders>
            <w:shd w:val="clear"/>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21,700.00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二、机关运行经费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w:t>
            </w:r>
          </w:p>
        </w:tc>
        <w:tc>
          <w:tcPr>
            <w:tcW w:w="0" w:type="auto"/>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统计数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（一）行政单位</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0" w:type="auto"/>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（二）参照公务员法管理事业单位</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0" w:type="auto"/>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三、国有资产占用情况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（一）车辆数合计（辆）</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0" w:type="auto"/>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1.副部（省）级及以上领导用车</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0" w:type="auto"/>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2.主要领导干部用车</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0" w:type="auto"/>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3.机要通信用车</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0" w:type="auto"/>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4.应急保障用车</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0" w:type="auto"/>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5.执法执勤用车</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0" w:type="auto"/>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6.特种专业技术用车</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0" w:type="auto"/>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7.离退休干部用车</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0" w:type="auto"/>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8.其他用车</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0" w:type="auto"/>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（二）单价50万元以上通用设备（台、套）</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0" w:type="auto"/>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0" w:type="auto"/>
            <w:tcBorders>
              <w:top w:val="nil"/>
              <w:left w:val="single" w:color="000000" w:sz="4" w:space="0"/>
              <w:bottom w:val="single" w:color="000000" w:sz="4" w:space="0"/>
              <w:right w:val="single" w:color="000000" w:sz="4" w:space="0"/>
            </w:tcBorders>
            <w:shd w:val="clear" w:color="FFFFFF" w:fill="C0C0C0"/>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（三）单价100万元以上专用设备（台、套）</w:t>
            </w:r>
          </w:p>
        </w:tc>
        <w:tc>
          <w:tcPr>
            <w:tcW w:w="0" w:type="auto"/>
            <w:tcBorders>
              <w:top w:val="nil"/>
              <w:left w:val="nil"/>
              <w:bottom w:val="single" w:color="000000" w:sz="4" w:space="0"/>
              <w:right w:val="single" w:color="000000" w:sz="4" w:space="0"/>
            </w:tcBorders>
            <w:shd w:val="clear" w:color="FFFFFF" w:fill="C0C0C0"/>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0" w:type="auto"/>
            <w:tcBorders>
              <w:top w:val="nil"/>
              <w:left w:val="nil"/>
              <w:bottom w:val="single" w:color="000000" w:sz="4" w:space="0"/>
              <w:right w:val="single" w:color="000000" w:sz="4" w:space="0"/>
            </w:tcBorders>
            <w:shd w:val="clear"/>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注：本表反映部门本年度政府采购及机关运行经费和国有资产占用情况。</w:t>
            </w:r>
          </w:p>
        </w:tc>
      </w:tr>
    </w:tbl>
    <w:p>
      <w:pPr>
        <w:ind w:firstLine="723" w:firstLineChars="200"/>
        <w:rPr>
          <w:rFonts w:hint="eastAsia" w:ascii="宋体" w:hAnsi="宋体" w:eastAsia="宋体" w:cs="宋体"/>
          <w:b/>
          <w:bCs/>
          <w:sz w:val="36"/>
          <w:szCs w:val="36"/>
        </w:rPr>
      </w:pPr>
      <w:r>
        <w:rPr>
          <w:rFonts w:hint="eastAsia" w:ascii="宋体" w:hAnsi="宋体" w:eastAsia="宋体" w:cs="宋体"/>
          <w:b/>
          <w:bCs/>
          <w:sz w:val="36"/>
          <w:szCs w:val="36"/>
        </w:rPr>
        <w:t>第三部分</w:t>
      </w:r>
      <w:r>
        <w:rPr>
          <w:rFonts w:hint="eastAsia" w:ascii="宋体" w:hAnsi="宋体" w:eastAsia="宋体" w:cs="宋体"/>
          <w:b/>
          <w:bCs/>
          <w:sz w:val="36"/>
          <w:szCs w:val="36"/>
          <w:lang w:val="en-US" w:eastAsia="zh-CN"/>
        </w:rPr>
        <w:t>2021</w:t>
      </w:r>
      <w:r>
        <w:rPr>
          <w:rFonts w:hint="eastAsia" w:ascii="宋体" w:hAnsi="宋体" w:eastAsia="宋体" w:cs="宋体"/>
          <w:b/>
          <w:bCs/>
          <w:sz w:val="36"/>
          <w:szCs w:val="36"/>
        </w:rPr>
        <w:t>年度部门决算情况说明</w:t>
      </w:r>
    </w:p>
    <w:p>
      <w:pPr>
        <w:ind w:firstLine="643" w:firstLineChars="200"/>
        <w:rPr>
          <w:rFonts w:hint="eastAsia" w:ascii="仿宋_GB2312" w:hAnsi="仿宋_GB2312" w:eastAsia="仿宋_GB2312" w:cs="仿宋_GB2312"/>
          <w:b/>
          <w:bCs/>
          <w:sz w:val="32"/>
          <w:szCs w:val="32"/>
        </w:rPr>
      </w:pPr>
      <w:bookmarkStart w:id="0" w:name="_GoBack"/>
      <w:bookmarkEnd w:id="0"/>
      <w:r>
        <w:rPr>
          <w:rFonts w:hint="eastAsia" w:ascii="仿宋_GB2312" w:hAnsi="仿宋_GB2312" w:eastAsia="仿宋_GB2312" w:cs="仿宋_GB2312"/>
          <w:b/>
          <w:bCs/>
          <w:sz w:val="32"/>
          <w:szCs w:val="32"/>
        </w:rPr>
        <w:t>一、收入支出决算总体情况说明</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2021年</w:t>
      </w:r>
      <w:r>
        <w:rPr>
          <w:rFonts w:hint="eastAsia" w:ascii="仿宋_GB2312" w:hAnsi="仿宋_GB2312" w:eastAsia="仿宋_GB2312" w:cs="仿宋_GB2312"/>
          <w:sz w:val="32"/>
          <w:szCs w:val="32"/>
        </w:rPr>
        <w:t>度</w:t>
      </w:r>
      <w:r>
        <w:rPr>
          <w:rFonts w:hint="eastAsia" w:ascii="仿宋_GB2312" w:hAnsi="仿宋_GB2312" w:eastAsia="仿宋_GB2312" w:cs="仿宋_GB2312"/>
          <w:sz w:val="32"/>
          <w:szCs w:val="32"/>
          <w:lang w:eastAsia="zh-CN"/>
        </w:rPr>
        <w:t>收</w:t>
      </w:r>
      <w:r>
        <w:rPr>
          <w:rFonts w:hint="eastAsia" w:ascii="仿宋_GB2312" w:hAnsi="仿宋_GB2312" w:eastAsia="仿宋_GB2312" w:cs="仿宋_GB2312"/>
          <w:sz w:val="32"/>
          <w:szCs w:val="32"/>
        </w:rPr>
        <w:t>入</w:t>
      </w:r>
      <w:r>
        <w:rPr>
          <w:rFonts w:hint="eastAsia" w:ascii="仿宋_GB2312" w:hAnsi="仿宋_GB2312" w:eastAsia="仿宋_GB2312" w:cs="仿宋_GB2312"/>
          <w:sz w:val="32"/>
          <w:szCs w:val="32"/>
          <w:lang w:eastAsia="zh-CN"/>
        </w:rPr>
        <w:t>总</w:t>
      </w:r>
      <w:r>
        <w:rPr>
          <w:rFonts w:hint="eastAsia" w:ascii="仿宋_GB2312" w:hAnsi="仿宋_GB2312" w:eastAsia="仿宋_GB2312" w:cs="仿宋_GB2312"/>
          <w:sz w:val="32"/>
          <w:szCs w:val="32"/>
        </w:rPr>
        <w:t>计</w:t>
      </w:r>
      <w:r>
        <w:rPr>
          <w:rFonts w:hint="eastAsia" w:ascii="仿宋_GB2312" w:hAnsi="仿宋_GB2312" w:eastAsia="仿宋_GB2312" w:cs="仿宋_GB2312"/>
          <w:sz w:val="32"/>
          <w:szCs w:val="32"/>
          <w:lang w:val="en-US" w:eastAsia="zh-CN"/>
        </w:rPr>
        <w:t>5498.6</w:t>
      </w:r>
      <w:r>
        <w:rPr>
          <w:rFonts w:hint="eastAsia" w:ascii="仿宋_GB2312" w:hAnsi="仿宋_GB2312" w:eastAsia="仿宋_GB2312" w:cs="仿宋_GB2312"/>
          <w:sz w:val="32"/>
          <w:szCs w:val="32"/>
        </w:rPr>
        <w:t>万元、支出总计</w:t>
      </w:r>
      <w:r>
        <w:rPr>
          <w:rFonts w:hint="eastAsia" w:ascii="仿宋_GB2312" w:hAnsi="仿宋_GB2312" w:eastAsia="仿宋_GB2312" w:cs="仿宋_GB2312"/>
          <w:sz w:val="32"/>
          <w:szCs w:val="32"/>
          <w:lang w:val="en-US" w:eastAsia="zh-CN"/>
        </w:rPr>
        <w:t>5498.61</w:t>
      </w:r>
      <w:r>
        <w:rPr>
          <w:rFonts w:hint="eastAsia" w:ascii="仿宋_GB2312" w:hAnsi="仿宋_GB2312" w:eastAsia="仿宋_GB2312" w:cs="仿宋_GB2312"/>
          <w:sz w:val="32"/>
          <w:szCs w:val="32"/>
        </w:rPr>
        <w:t>万元。与上年相比，收入总计</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5432.52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增加8220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12</w:t>
      </w:r>
      <w:r>
        <w:rPr>
          <w:rFonts w:hint="eastAsia" w:ascii="仿宋_GB2312" w:hAnsi="仿宋_GB2312" w:eastAsia="仿宋_GB2312" w:cs="仿宋_GB2312"/>
          <w:sz w:val="32"/>
          <w:szCs w:val="32"/>
        </w:rPr>
        <w:t>%，支出总计</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5432.28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8190.14</w:t>
      </w:r>
      <w:r>
        <w:rPr>
          <w:rFonts w:hint="eastAsia" w:ascii="仿宋_GB2312" w:hAnsi="仿宋_GB2312" w:eastAsia="仿宋_GB2312" w:cs="仿宋_GB2312"/>
          <w:sz w:val="32"/>
          <w:szCs w:val="32"/>
        </w:rPr>
        <w:t>%。主要原因是2020年决算不包含城墙管理处，事业单位改革合并后城墙管理处与监察大队合并为监测中心</w:t>
      </w:r>
      <w:r>
        <w:rPr>
          <w:rFonts w:hint="eastAsia" w:ascii="仿宋_GB2312" w:hAnsi="仿宋_GB2312" w:eastAsia="仿宋_GB2312" w:cs="仿宋_GB2312"/>
          <w:sz w:val="32"/>
          <w:szCs w:val="32"/>
          <w:lang w:eastAsia="zh-CN"/>
        </w:rPr>
        <w:t>。</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二、收入决算情况说明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5498.6</w:t>
      </w:r>
      <w:r>
        <w:rPr>
          <w:rFonts w:hint="eastAsia" w:ascii="仿宋_GB2312" w:hAnsi="仿宋_GB2312" w:eastAsia="仿宋_GB2312" w:cs="仿宋_GB2312"/>
          <w:sz w:val="32"/>
          <w:szCs w:val="32"/>
        </w:rPr>
        <w:t xml:space="preserve">万元，其中:财政拨款收入 </w:t>
      </w:r>
      <w:r>
        <w:rPr>
          <w:rFonts w:hint="eastAsia" w:ascii="仿宋_GB2312" w:hAnsi="仿宋_GB2312" w:eastAsia="仿宋_GB2312" w:cs="仿宋_GB2312"/>
          <w:sz w:val="32"/>
          <w:szCs w:val="32"/>
          <w:lang w:val="en-US" w:eastAsia="zh-CN"/>
        </w:rPr>
        <w:t>5498.6</w:t>
      </w:r>
      <w:r>
        <w:rPr>
          <w:rFonts w:hint="eastAsia" w:ascii="仿宋_GB2312" w:hAnsi="仿宋_GB2312" w:eastAsia="仿宋_GB2312" w:cs="仿宋_GB2312"/>
          <w:sz w:val="32"/>
          <w:szCs w:val="32"/>
        </w:rPr>
        <w:t>万元,占比</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 xml:space="preserve">%;上级补助收入 </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万元，占比 </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万元，占比</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万元，占比</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万元，占比</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万元，占比</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三、支出决算情况说明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5498.61</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43.4</w:t>
      </w:r>
      <w:r>
        <w:rPr>
          <w:rFonts w:hint="eastAsia" w:ascii="仿宋_GB2312" w:hAnsi="仿宋_GB2312" w:eastAsia="仿宋_GB2312" w:cs="仿宋_GB2312"/>
          <w:sz w:val="32"/>
          <w:szCs w:val="32"/>
        </w:rPr>
        <w:t>万元，占比</w:t>
      </w:r>
      <w:r>
        <w:rPr>
          <w:rFonts w:hint="eastAsia" w:ascii="仿宋_GB2312" w:hAnsi="仿宋_GB2312" w:eastAsia="仿宋_GB2312" w:cs="仿宋_GB2312"/>
          <w:sz w:val="32"/>
          <w:szCs w:val="32"/>
          <w:lang w:val="en-US" w:eastAsia="zh-CN"/>
        </w:rPr>
        <w:t>0.79</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5455.21</w:t>
      </w:r>
      <w:r>
        <w:rPr>
          <w:rFonts w:hint="eastAsia" w:ascii="仿宋_GB2312" w:hAnsi="仿宋_GB2312" w:eastAsia="仿宋_GB2312" w:cs="仿宋_GB2312"/>
          <w:sz w:val="32"/>
          <w:szCs w:val="32"/>
        </w:rPr>
        <w:t>万元，占比</w:t>
      </w:r>
      <w:r>
        <w:rPr>
          <w:rFonts w:hint="eastAsia" w:ascii="仿宋_GB2312" w:hAnsi="仿宋_GB2312" w:eastAsia="仿宋_GB2312" w:cs="仿宋_GB2312"/>
          <w:sz w:val="32"/>
          <w:szCs w:val="32"/>
          <w:lang w:val="en-US" w:eastAsia="zh-CN"/>
        </w:rPr>
        <w:t>99.21</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万元，占比</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万元，占比</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万元，占比</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四、财政拨款收入支出决算总体情况说明</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年度财政拨款收入总计</w:t>
      </w:r>
      <w:r>
        <w:rPr>
          <w:rFonts w:hint="eastAsia" w:ascii="仿宋_GB2312" w:hAnsi="仿宋_GB2312" w:eastAsia="仿宋_GB2312" w:cs="仿宋_GB2312"/>
          <w:sz w:val="32"/>
          <w:szCs w:val="32"/>
          <w:lang w:val="en-US" w:eastAsia="zh-CN"/>
        </w:rPr>
        <w:t>5498.6</w:t>
      </w:r>
      <w:r>
        <w:rPr>
          <w:rFonts w:hint="eastAsia" w:ascii="仿宋_GB2312" w:hAnsi="仿宋_GB2312" w:eastAsia="仿宋_GB2312" w:cs="仿宋_GB2312"/>
          <w:sz w:val="32"/>
          <w:szCs w:val="32"/>
        </w:rPr>
        <w:t>万元、支出总计</w:t>
      </w:r>
      <w:r>
        <w:rPr>
          <w:rFonts w:hint="eastAsia" w:ascii="仿宋_GB2312" w:hAnsi="仿宋_GB2312" w:eastAsia="仿宋_GB2312" w:cs="仿宋_GB2312"/>
          <w:sz w:val="32"/>
          <w:szCs w:val="32"/>
          <w:lang w:val="en-US" w:eastAsia="zh-CN"/>
        </w:rPr>
        <w:t>5498.6</w:t>
      </w:r>
      <w:r>
        <w:rPr>
          <w:rFonts w:hint="eastAsia" w:ascii="仿宋_GB2312" w:hAnsi="仿宋_GB2312" w:eastAsia="仿宋_GB2312" w:cs="仿宋_GB2312"/>
          <w:sz w:val="32"/>
          <w:szCs w:val="32"/>
        </w:rPr>
        <w:t>万元。与上年相比，财政拨款收入总计</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5432.52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8220.12</w:t>
      </w:r>
      <w:r>
        <w:rPr>
          <w:rFonts w:hint="eastAsia" w:ascii="仿宋_GB2312" w:hAnsi="仿宋_GB2312" w:eastAsia="仿宋_GB2312" w:cs="仿宋_GB2312"/>
          <w:sz w:val="32"/>
          <w:szCs w:val="32"/>
        </w:rPr>
        <w:t>%，财政拨款支出总计</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5432.28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8190.14%</w:t>
      </w:r>
      <w:r>
        <w:rPr>
          <w:rFonts w:hint="eastAsia" w:ascii="仿宋_GB2312" w:hAnsi="仿宋_GB2312" w:eastAsia="仿宋_GB2312" w:cs="仿宋_GB2312"/>
          <w:sz w:val="32"/>
          <w:szCs w:val="32"/>
        </w:rPr>
        <w:t>。主要原因是2020年决算不包含城墙管理处，事业单位改革合并后城墙管理处与监察大队合并为监测中心</w:t>
      </w:r>
      <w:r>
        <w:rPr>
          <w:rFonts w:hint="eastAsia" w:ascii="仿宋_GB2312" w:hAnsi="仿宋_GB2312" w:eastAsia="仿宋_GB2312" w:cs="仿宋_GB2312"/>
          <w:sz w:val="32"/>
          <w:szCs w:val="32"/>
          <w:lang w:eastAsia="zh-CN"/>
        </w:rPr>
        <w:t>。</w:t>
      </w:r>
    </w:p>
    <w:p>
      <w:pPr>
        <w:numPr>
          <w:ilvl w:val="0"/>
          <w:numId w:val="2"/>
        </w:num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一般公共预算财政拨款支出决算情况说明</w:t>
      </w:r>
    </w:p>
    <w:p>
      <w:pPr>
        <w:numPr>
          <w:ilvl w:val="0"/>
          <w:numId w:val="0"/>
        </w:num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(一)财政拨款支出决算总体情况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5498.61</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%。与上年相比，财政拨款支出</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5432.28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8190.14%</w:t>
      </w:r>
      <w:r>
        <w:rPr>
          <w:rFonts w:hint="eastAsia" w:ascii="仿宋_GB2312" w:hAnsi="仿宋_GB2312" w:eastAsia="仿宋_GB2312" w:cs="仿宋_GB2312"/>
          <w:sz w:val="32"/>
          <w:szCs w:val="32"/>
        </w:rPr>
        <w:t>。主要原因是2020年决算不包含城墙管理处，事业单位改革合并后城墙管理处与监察大队合并为监测中心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其中，人员经</w:t>
      </w:r>
      <w:r>
        <w:rPr>
          <w:rFonts w:hint="eastAsia" w:ascii="仿宋_GB2312" w:hAnsi="仿宋_GB2312" w:eastAsia="仿宋_GB2312" w:cs="仿宋_GB2312"/>
          <w:sz w:val="32"/>
          <w:szCs w:val="32"/>
          <w:lang w:eastAsia="zh-CN"/>
        </w:rPr>
        <w:t>费</w:t>
      </w:r>
      <w:r>
        <w:rPr>
          <w:rFonts w:hint="eastAsia" w:ascii="仿宋_GB2312" w:hAnsi="仿宋_GB2312" w:eastAsia="仿宋_GB2312" w:cs="仿宋_GB2312"/>
          <w:sz w:val="32"/>
          <w:szCs w:val="32"/>
          <w:lang w:val="en-US" w:eastAsia="zh-CN"/>
        </w:rPr>
        <w:t>41.81</w:t>
      </w:r>
      <w:r>
        <w:rPr>
          <w:rFonts w:hint="eastAsia" w:ascii="仿宋_GB2312" w:hAnsi="仿宋_GB2312" w:eastAsia="仿宋_GB2312" w:cs="仿宋_GB2312"/>
          <w:sz w:val="32"/>
          <w:szCs w:val="32"/>
        </w:rPr>
        <w:t>万元，占比</w:t>
      </w:r>
      <w:r>
        <w:rPr>
          <w:rFonts w:hint="eastAsia" w:ascii="仿宋_GB2312" w:hAnsi="仿宋_GB2312" w:eastAsia="仿宋_GB2312" w:cs="仿宋_GB2312"/>
          <w:sz w:val="32"/>
          <w:szCs w:val="32"/>
          <w:lang w:val="en-US" w:eastAsia="zh-CN"/>
        </w:rPr>
        <w:t>0.76</w:t>
      </w:r>
      <w:r>
        <w:rPr>
          <w:rFonts w:hint="eastAsia" w:ascii="仿宋_GB2312" w:hAnsi="仿宋_GB2312" w:eastAsia="仿宋_GB2312" w:cs="仿宋_GB2312"/>
          <w:sz w:val="32"/>
          <w:szCs w:val="32"/>
        </w:rPr>
        <w:t>%，日常公用经费</w:t>
      </w:r>
      <w:r>
        <w:rPr>
          <w:rFonts w:hint="eastAsia" w:ascii="仿宋_GB2312" w:hAnsi="仿宋_GB2312" w:eastAsia="仿宋_GB2312" w:cs="仿宋_GB2312"/>
          <w:sz w:val="32"/>
          <w:szCs w:val="32"/>
          <w:lang w:val="en-US" w:eastAsia="zh-CN"/>
        </w:rPr>
        <w:t>1.59</w:t>
      </w:r>
      <w:r>
        <w:rPr>
          <w:rFonts w:hint="eastAsia" w:ascii="仿宋_GB2312" w:hAnsi="仿宋_GB2312" w:eastAsia="仿宋_GB2312" w:cs="仿宋_GB2312"/>
          <w:sz w:val="32"/>
          <w:szCs w:val="32"/>
        </w:rPr>
        <w:t>万元，占比</w:t>
      </w:r>
      <w:r>
        <w:rPr>
          <w:rFonts w:hint="eastAsia" w:ascii="仿宋_GB2312" w:hAnsi="仿宋_GB2312" w:eastAsia="仿宋_GB2312" w:cs="仿宋_GB2312"/>
          <w:sz w:val="32"/>
          <w:szCs w:val="32"/>
          <w:lang w:val="en-US" w:eastAsia="zh-CN"/>
        </w:rPr>
        <w:t>0.03</w:t>
      </w:r>
      <w:r>
        <w:rPr>
          <w:rFonts w:hint="eastAsia" w:ascii="仿宋_GB2312" w:hAnsi="仿宋_GB2312" w:eastAsia="仿宋_GB2312" w:cs="仿宋_GB2312"/>
          <w:sz w:val="32"/>
          <w:szCs w:val="32"/>
        </w:rPr>
        <w:t>%。</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(二)财政拨款支出决算结构情况</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 xml:space="preserve">年度财政拨款支出 </w:t>
      </w:r>
      <w:r>
        <w:rPr>
          <w:rFonts w:hint="eastAsia" w:ascii="仿宋_GB2312" w:hAnsi="仿宋_GB2312" w:eastAsia="仿宋_GB2312" w:cs="仿宋_GB2312"/>
          <w:sz w:val="32"/>
          <w:szCs w:val="32"/>
          <w:lang w:val="en-US" w:eastAsia="zh-CN"/>
        </w:rPr>
        <w:t>5498.6</w:t>
      </w:r>
      <w:r>
        <w:rPr>
          <w:rFonts w:hint="eastAsia" w:ascii="仿宋_GB2312" w:hAnsi="仿宋_GB2312" w:eastAsia="仿宋_GB2312" w:cs="仿宋_GB2312"/>
          <w:sz w:val="32"/>
          <w:szCs w:val="32"/>
        </w:rPr>
        <w:t>万元，主要用于以下方面:文化旅游体育与传媒(类)支出</w:t>
      </w:r>
      <w:r>
        <w:rPr>
          <w:rFonts w:hint="eastAsia" w:ascii="仿宋_GB2312" w:hAnsi="仿宋_GB2312" w:eastAsia="仿宋_GB2312" w:cs="仿宋_GB2312"/>
          <w:sz w:val="32"/>
          <w:szCs w:val="32"/>
          <w:lang w:val="en-US" w:eastAsia="zh-CN"/>
        </w:rPr>
        <w:t>1488.65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27.07</w:t>
      </w:r>
      <w:r>
        <w:rPr>
          <w:rFonts w:hint="eastAsia" w:ascii="仿宋_GB2312" w:hAnsi="仿宋_GB2312" w:eastAsia="仿宋_GB2312" w:cs="仿宋_GB2312"/>
          <w:sz w:val="32"/>
          <w:szCs w:val="32"/>
        </w:rPr>
        <w:t>%;社会保障和就业(类)支出</w:t>
      </w:r>
      <w:r>
        <w:rPr>
          <w:rFonts w:hint="eastAsia" w:ascii="仿宋_GB2312" w:hAnsi="仿宋_GB2312" w:eastAsia="仿宋_GB2312" w:cs="仿宋_GB2312"/>
          <w:sz w:val="32"/>
          <w:szCs w:val="32"/>
          <w:lang w:val="en-US" w:eastAsia="zh-CN"/>
        </w:rPr>
        <w:t>4.25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0.08</w:t>
      </w:r>
      <w:r>
        <w:rPr>
          <w:rFonts w:hint="eastAsia" w:ascii="仿宋_GB2312" w:hAnsi="仿宋_GB2312" w:eastAsia="仿宋_GB2312" w:cs="仿宋_GB2312"/>
          <w:sz w:val="32"/>
          <w:szCs w:val="32"/>
        </w:rPr>
        <w:t>%;卫生健康(类)支出</w:t>
      </w:r>
      <w:r>
        <w:rPr>
          <w:rFonts w:hint="eastAsia" w:ascii="仿宋_GB2312" w:hAnsi="仿宋_GB2312" w:eastAsia="仿宋_GB2312" w:cs="仿宋_GB2312"/>
          <w:sz w:val="32"/>
          <w:szCs w:val="32"/>
          <w:lang w:val="en-US" w:eastAsia="zh-CN"/>
        </w:rPr>
        <w:t>1.86</w:t>
      </w:r>
      <w:r>
        <w:rPr>
          <w:rFonts w:hint="eastAsia" w:ascii="仿宋_GB2312" w:hAnsi="仿宋_GB2312" w:eastAsia="仿宋_GB2312" w:cs="仿宋_GB2312"/>
          <w:sz w:val="32"/>
          <w:szCs w:val="32"/>
        </w:rPr>
        <w:t xml:space="preserve">万元，占 </w:t>
      </w:r>
      <w:r>
        <w:rPr>
          <w:rFonts w:hint="eastAsia" w:ascii="仿宋_GB2312" w:hAnsi="仿宋_GB2312" w:eastAsia="仿宋_GB2312" w:cs="仿宋_GB2312"/>
          <w:sz w:val="32"/>
          <w:szCs w:val="32"/>
          <w:lang w:val="en-US" w:eastAsia="zh-CN"/>
        </w:rPr>
        <w:t>0.03</w:t>
      </w:r>
      <w:r>
        <w:rPr>
          <w:rFonts w:hint="eastAsia" w:ascii="仿宋_GB2312" w:hAnsi="仿宋_GB2312" w:eastAsia="仿宋_GB2312" w:cs="仿宋_GB2312"/>
          <w:sz w:val="32"/>
          <w:szCs w:val="32"/>
        </w:rPr>
        <w:t xml:space="preserve">%;住房保障(类)支出 </w:t>
      </w:r>
      <w:r>
        <w:rPr>
          <w:rFonts w:hint="eastAsia" w:ascii="仿宋_GB2312" w:hAnsi="仿宋_GB2312" w:eastAsia="仿宋_GB2312" w:cs="仿宋_GB2312"/>
          <w:sz w:val="32"/>
          <w:szCs w:val="32"/>
          <w:lang w:val="en-US" w:eastAsia="zh-CN"/>
        </w:rPr>
        <w:t>3.84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0.07</w:t>
      </w:r>
      <w:r>
        <w:rPr>
          <w:rFonts w:hint="eastAsia" w:ascii="仿宋_GB2312" w:hAnsi="仿宋_GB2312" w:eastAsia="仿宋_GB2312" w:cs="仿宋_GB2312"/>
          <w:sz w:val="32"/>
          <w:szCs w:val="32"/>
        </w:rPr>
        <w:t>%;其他(类)支出</w:t>
      </w:r>
      <w:r>
        <w:rPr>
          <w:rFonts w:hint="eastAsia" w:ascii="仿宋_GB2312" w:hAnsi="仿宋_GB2312" w:eastAsia="仿宋_GB2312" w:cs="仿宋_GB2312"/>
          <w:sz w:val="32"/>
          <w:szCs w:val="32"/>
          <w:lang w:val="en-US" w:eastAsia="zh-CN"/>
        </w:rPr>
        <w:t>4000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72.75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(三)财政拨款支出决算具体情况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年度财政拨款支出年初预</w:t>
      </w:r>
      <w:r>
        <w:rPr>
          <w:rFonts w:hint="eastAsia" w:ascii="仿宋_GB2312" w:hAnsi="仿宋_GB2312" w:eastAsia="仿宋_GB2312" w:cs="仿宋_GB2312"/>
          <w:sz w:val="32"/>
          <w:szCs w:val="32"/>
          <w:lang w:eastAsia="zh-CN"/>
        </w:rPr>
        <w:t>算</w:t>
      </w:r>
      <w:r>
        <w:rPr>
          <w:rFonts w:hint="eastAsia" w:ascii="仿宋_GB2312" w:hAnsi="仿宋_GB2312" w:eastAsia="仿宋_GB2312" w:cs="仿宋_GB2312"/>
          <w:sz w:val="32"/>
          <w:szCs w:val="32"/>
          <w:lang w:val="en-US" w:eastAsia="zh-CN"/>
        </w:rPr>
        <w:t>5498.6</w:t>
      </w:r>
      <w:r>
        <w:rPr>
          <w:rFonts w:hint="eastAsia" w:ascii="仿宋_GB2312" w:hAnsi="仿宋_GB2312" w:eastAsia="仿宋_GB2312" w:cs="仿宋_GB2312"/>
          <w:sz w:val="32"/>
          <w:szCs w:val="32"/>
        </w:rPr>
        <w:t>万元，支出决算</w:t>
      </w:r>
      <w:r>
        <w:rPr>
          <w:rFonts w:hint="eastAsia" w:ascii="仿宋_GB2312" w:hAnsi="仿宋_GB2312" w:eastAsia="仿宋_GB2312" w:cs="仿宋_GB2312"/>
          <w:sz w:val="32"/>
          <w:szCs w:val="32"/>
          <w:lang w:val="en-US" w:eastAsia="zh-CN"/>
        </w:rPr>
        <w:t>5498.6</w:t>
      </w:r>
      <w:r>
        <w:rPr>
          <w:rFonts w:hint="eastAsia" w:ascii="仿宋_GB2312" w:hAnsi="仿宋_GB2312" w:eastAsia="仿宋_GB2312" w:cs="仿宋_GB2312"/>
          <w:sz w:val="32"/>
          <w:szCs w:val="32"/>
        </w:rPr>
        <w:t>万元，完成年初预算</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部门应当根据决算表格数据，按支出功能分类科目说明所有支出完成情况，并说明增减原因。如一般公共服务支出年初预算</w:t>
      </w:r>
      <w:r>
        <w:rPr>
          <w:rFonts w:hint="eastAsia" w:ascii="仿宋_GB2312" w:hAnsi="仿宋_GB2312" w:eastAsia="仿宋_GB2312" w:cs="仿宋_GB2312"/>
          <w:sz w:val="32"/>
          <w:szCs w:val="32"/>
          <w:lang w:val="en-US" w:eastAsia="zh-CN"/>
        </w:rPr>
        <w:t>1498.6</w:t>
      </w:r>
      <w:r>
        <w:rPr>
          <w:rFonts w:hint="eastAsia" w:ascii="仿宋_GB2312" w:hAnsi="仿宋_GB2312" w:eastAsia="仿宋_GB2312" w:cs="仿宋_GB2312"/>
          <w:sz w:val="32"/>
          <w:szCs w:val="32"/>
        </w:rPr>
        <w:t>万元，支出决算</w:t>
      </w:r>
      <w:r>
        <w:rPr>
          <w:rFonts w:hint="eastAsia" w:ascii="仿宋_GB2312" w:hAnsi="仿宋_GB2312" w:eastAsia="仿宋_GB2312" w:cs="仿宋_GB2312"/>
          <w:sz w:val="32"/>
          <w:szCs w:val="32"/>
          <w:lang w:val="en-US" w:eastAsia="zh-CN"/>
        </w:rPr>
        <w:t>1498.6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%，用于</w:t>
      </w:r>
      <w:r>
        <w:rPr>
          <w:rFonts w:hint="eastAsia" w:ascii="仿宋_GB2312" w:hAnsi="仿宋_GB2312" w:eastAsia="仿宋_GB2312" w:cs="仿宋_GB2312"/>
          <w:sz w:val="32"/>
          <w:szCs w:val="32"/>
          <w:lang w:eastAsia="zh-CN"/>
        </w:rPr>
        <w:t>城墙运行、文物安全监测等文物保护工作。</w:t>
      </w:r>
      <w:r>
        <w:rPr>
          <w:rFonts w:hint="eastAsia" w:ascii="仿宋_GB2312" w:hAnsi="仿宋_GB2312" w:eastAsia="仿宋_GB2312" w:cs="仿宋_GB2312"/>
          <w:sz w:val="32"/>
          <w:szCs w:val="32"/>
        </w:rPr>
        <w:t>较上年决算增加</w:t>
      </w:r>
      <w:r>
        <w:rPr>
          <w:rFonts w:hint="eastAsia" w:ascii="仿宋_GB2312" w:hAnsi="仿宋_GB2312" w:eastAsia="仿宋_GB2312" w:cs="仿宋_GB2312"/>
          <w:sz w:val="32"/>
          <w:szCs w:val="32"/>
          <w:lang w:val="en-US" w:eastAsia="zh-CN"/>
        </w:rPr>
        <w:t>1436.52</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2313.75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主要原因2020年决算不包含城墙管理处，事业单位改革合并后城墙管理处与监察大队合并为监测中心。</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六、一般公共预算财政拨款基本支出决算情况说明</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5498.6</w:t>
      </w:r>
      <w:r>
        <w:rPr>
          <w:rFonts w:hint="eastAsia" w:ascii="仿宋_GB2312" w:hAnsi="仿宋_GB2312" w:eastAsia="仿宋_GB2312" w:cs="仿宋_GB2312"/>
          <w:sz w:val="32"/>
          <w:szCs w:val="32"/>
        </w:rPr>
        <w:t>万元，其中:人员经费</w:t>
      </w:r>
      <w:r>
        <w:rPr>
          <w:rFonts w:hint="eastAsia" w:ascii="仿宋_GB2312" w:hAnsi="仿宋_GB2312" w:eastAsia="仿宋_GB2312" w:cs="仿宋_GB2312"/>
          <w:sz w:val="32"/>
          <w:szCs w:val="32"/>
          <w:lang w:val="en-US" w:eastAsia="zh-CN"/>
        </w:rPr>
        <w:t>41.81</w:t>
      </w:r>
      <w:r>
        <w:rPr>
          <w:rFonts w:hint="eastAsia" w:ascii="仿宋_GB2312" w:hAnsi="仿宋_GB2312" w:eastAsia="仿宋_GB2312" w:cs="仿宋_GB2312"/>
          <w:sz w:val="32"/>
          <w:szCs w:val="32"/>
        </w:rPr>
        <w:t>万元，主要包</w:t>
      </w:r>
      <w:r>
        <w:rPr>
          <w:rFonts w:hint="eastAsia" w:ascii="仿宋_GB2312" w:hAnsi="仿宋_GB2312" w:eastAsia="仿宋_GB2312" w:cs="仿宋_GB2312"/>
          <w:sz w:val="32"/>
          <w:szCs w:val="32"/>
          <w:lang w:eastAsia="zh-CN"/>
        </w:rPr>
        <w:t>括基本工资、绩效工资、住房公积金等</w:t>
      </w:r>
      <w:r>
        <w:rPr>
          <w:rFonts w:hint="eastAsia" w:ascii="仿宋_GB2312" w:hAnsi="仿宋_GB2312" w:eastAsia="仿宋_GB2312" w:cs="仿宋_GB2312"/>
          <w:sz w:val="32"/>
          <w:szCs w:val="32"/>
        </w:rPr>
        <w:t>;公用经费</w:t>
      </w:r>
      <w:r>
        <w:rPr>
          <w:rFonts w:hint="eastAsia" w:ascii="仿宋_GB2312" w:hAnsi="仿宋_GB2312" w:eastAsia="仿宋_GB2312" w:cs="仿宋_GB2312"/>
          <w:sz w:val="32"/>
          <w:szCs w:val="32"/>
          <w:lang w:val="en-US" w:eastAsia="zh-CN"/>
        </w:rPr>
        <w:t>1.59</w:t>
      </w:r>
      <w:r>
        <w:rPr>
          <w:rFonts w:hint="eastAsia" w:ascii="仿宋_GB2312" w:hAnsi="仿宋_GB2312" w:eastAsia="仿宋_GB2312" w:cs="仿宋_GB2312"/>
          <w:sz w:val="32"/>
          <w:szCs w:val="32"/>
        </w:rPr>
        <w:t>万元，主要包括</w:t>
      </w:r>
      <w:r>
        <w:rPr>
          <w:rFonts w:hint="eastAsia" w:ascii="仿宋_GB2312" w:hAnsi="仿宋_GB2312" w:eastAsia="仿宋_GB2312" w:cs="仿宋_GB2312"/>
          <w:sz w:val="32"/>
          <w:szCs w:val="32"/>
          <w:lang w:eastAsia="zh-CN"/>
        </w:rPr>
        <w:t>办公费、福利费、工会费。</w:t>
      </w:r>
    </w:p>
    <w:p>
      <w:pPr>
        <w:numPr>
          <w:ilvl w:val="0"/>
          <w:numId w:val="2"/>
        </w:numPr>
        <w:ind w:left="0" w:leftChars="0"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一般公共预算财政拨款“三公”经费支出决算情况说明</w:t>
      </w:r>
    </w:p>
    <w:p>
      <w:pPr>
        <w:numPr>
          <w:ilvl w:val="0"/>
          <w:numId w:val="0"/>
        </w:numPr>
        <w:ind w:left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(一)“三公”经费财政拨款支出决算总体情况说明。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年度本部门无三公经费。</w:t>
      </w:r>
    </w:p>
    <w:p>
      <w:pPr>
        <w:numPr>
          <w:ilvl w:val="0"/>
          <w:numId w:val="3"/>
        </w:numPr>
        <w:ind w:left="320" w:leftChars="0" w:firstLine="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“三公”经费财政拨款支出决算</w:t>
      </w:r>
      <w:r>
        <w:rPr>
          <w:rFonts w:hint="eastAsia" w:ascii="仿宋_GB2312" w:hAnsi="仿宋_GB2312" w:eastAsia="仿宋_GB2312" w:cs="仿宋_GB2312"/>
          <w:b/>
          <w:bCs/>
          <w:sz w:val="32"/>
          <w:szCs w:val="32"/>
          <w:lang w:eastAsia="zh-CN"/>
        </w:rPr>
        <w:t>具</w:t>
      </w:r>
      <w:r>
        <w:rPr>
          <w:rFonts w:hint="eastAsia" w:ascii="仿宋_GB2312" w:hAnsi="仿宋_GB2312" w:eastAsia="仿宋_GB2312" w:cs="仿宋_GB2312"/>
          <w:b/>
          <w:bCs/>
          <w:sz w:val="32"/>
          <w:szCs w:val="32"/>
        </w:rPr>
        <w:t>体情况说明</w:t>
      </w:r>
    </w:p>
    <w:p>
      <w:pPr>
        <w:numPr>
          <w:ilvl w:val="0"/>
          <w:numId w:val="0"/>
        </w:numPr>
        <w:ind w:firstLine="640" w:firstLineChars="20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年度本部门无三公经费。</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八、其他重要事项情况说明</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(一)机关运行经费支出情况说明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本部门无机关运行经费。</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(二)政府采购情况说明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 xml:space="preserve">年度政府采购支出总额 </w:t>
      </w:r>
      <w:r>
        <w:rPr>
          <w:rFonts w:hint="eastAsia" w:ascii="仿宋_GB2312" w:hAnsi="仿宋_GB2312" w:eastAsia="仿宋_GB2312" w:cs="仿宋_GB2312"/>
          <w:sz w:val="32"/>
          <w:szCs w:val="32"/>
          <w:lang w:val="en-US" w:eastAsia="zh-CN"/>
        </w:rPr>
        <w:t>2.41</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0.24</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2.17</w:t>
      </w:r>
      <w:r>
        <w:rPr>
          <w:rFonts w:hint="eastAsia" w:ascii="仿宋_GB2312" w:hAnsi="仿宋_GB2312" w:eastAsia="仿宋_GB2312" w:cs="仿宋_GB2312"/>
          <w:sz w:val="32"/>
          <w:szCs w:val="32"/>
        </w:rPr>
        <w:t>万元。</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(三)国有资产占用情况说明</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w:t>
      </w: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年12月31日，本部门共有车辆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(四)预算绩效情况说明</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(1)预算绩效管理工作开展情况。</w:t>
      </w:r>
      <w:r>
        <w:rPr>
          <w:rFonts w:hint="eastAsia" w:ascii="仿宋_GB2312" w:hAnsi="仿宋_GB2312" w:eastAsia="仿宋_GB2312" w:cs="仿宋_GB2312"/>
          <w:sz w:val="32"/>
          <w:szCs w:val="32"/>
        </w:rPr>
        <w:t>根据预算绩效管理要求，我部门组织对2021年度市级财政预算安排的专项资金类</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个项目支出全面开展绩效自评，涉及预算资金</w:t>
      </w:r>
      <w:r>
        <w:rPr>
          <w:rFonts w:hint="eastAsia" w:ascii="仿宋_GB2312" w:hAnsi="仿宋_GB2312" w:eastAsia="仿宋_GB2312" w:cs="仿宋_GB2312"/>
          <w:sz w:val="32"/>
          <w:szCs w:val="32"/>
          <w:lang w:val="en-US" w:eastAsia="zh-CN"/>
        </w:rPr>
        <w:t>711.21</w:t>
      </w:r>
      <w:r>
        <w:rPr>
          <w:rFonts w:hint="eastAsia" w:ascii="仿宋_GB2312" w:hAnsi="仿宋_GB2312" w:eastAsia="仿宋_GB2312" w:cs="仿宋_GB2312"/>
          <w:sz w:val="32"/>
          <w:szCs w:val="32"/>
        </w:rPr>
        <w:t>万元，占一般公共预算项目支出总额的</w:t>
      </w:r>
      <w:r>
        <w:rPr>
          <w:rFonts w:hint="eastAsia" w:ascii="仿宋_GB2312" w:hAnsi="仿宋_GB2312" w:eastAsia="仿宋_GB2312" w:cs="仿宋_GB2312"/>
          <w:sz w:val="32"/>
          <w:szCs w:val="32"/>
          <w:lang w:val="en-US" w:eastAsia="zh-CN"/>
        </w:rPr>
        <w:t>47.46</w:t>
      </w:r>
      <w:r>
        <w:rPr>
          <w:rFonts w:hint="eastAsia" w:ascii="仿宋_GB2312" w:hAnsi="仿宋_GB2312" w:eastAsia="仿宋_GB2312" w:cs="仿宋_GB2312"/>
          <w:sz w:val="32"/>
          <w:szCs w:val="32"/>
        </w:rPr>
        <w:t>%。组织对2021年度</w:t>
      </w:r>
      <w:r>
        <w:rPr>
          <w:rFonts w:hint="eastAsia" w:ascii="仿宋_GB2312" w:hAnsi="仿宋_GB2312" w:eastAsia="仿宋_GB2312" w:cs="仿宋_GB2312"/>
          <w:sz w:val="32"/>
          <w:szCs w:val="32"/>
          <w:lang w:eastAsia="zh-CN"/>
        </w:rPr>
        <w:t>城墙运行费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文保员安全监测经费、文物安全监测经费</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个预算项目支出开展绩效自评，共涉及一般公共预算支出</w:t>
      </w:r>
      <w:r>
        <w:rPr>
          <w:rFonts w:hint="eastAsia" w:ascii="仿宋_GB2312" w:hAnsi="仿宋_GB2312" w:eastAsia="仿宋_GB2312" w:cs="仿宋_GB2312"/>
          <w:sz w:val="32"/>
          <w:szCs w:val="32"/>
          <w:lang w:val="en-US" w:eastAsia="zh-CN"/>
        </w:rPr>
        <w:t>711.21</w:t>
      </w:r>
      <w:r>
        <w:rPr>
          <w:rFonts w:hint="eastAsia" w:ascii="仿宋_GB2312" w:hAnsi="仿宋_GB2312" w:eastAsia="仿宋_GB2312" w:cs="仿宋_GB2312"/>
          <w:sz w:val="32"/>
          <w:szCs w:val="32"/>
        </w:rPr>
        <w:t>万元，占一般公共预算项目支出总额的</w:t>
      </w:r>
      <w:r>
        <w:rPr>
          <w:rFonts w:hint="eastAsia" w:ascii="仿宋_GB2312" w:hAnsi="仿宋_GB2312" w:eastAsia="仿宋_GB2312" w:cs="仿宋_GB2312"/>
          <w:sz w:val="32"/>
          <w:szCs w:val="32"/>
          <w:lang w:val="en-US" w:eastAsia="zh-CN"/>
        </w:rPr>
        <w:t>47.46</w:t>
      </w:r>
      <w:r>
        <w:rPr>
          <w:rFonts w:hint="eastAsia" w:ascii="仿宋_GB2312" w:hAnsi="仿宋_GB2312" w:eastAsia="仿宋_GB2312" w:cs="仿宋_GB2312"/>
          <w:sz w:val="32"/>
          <w:szCs w:val="32"/>
        </w:rPr>
        <w:t>%。</w:t>
      </w:r>
    </w:p>
    <w:p>
      <w:pPr>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(2)部门决算中项目绩效自评结果。</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a、</w:t>
      </w:r>
      <w:r>
        <w:rPr>
          <w:rFonts w:hint="eastAsia" w:ascii="仿宋_GB2312" w:hAnsi="仿宋_GB2312" w:eastAsia="仿宋_GB2312" w:cs="仿宋_GB2312"/>
          <w:sz w:val="32"/>
          <w:szCs w:val="32"/>
          <w:lang w:eastAsia="zh-CN"/>
        </w:rPr>
        <w:t xml:space="preserve">城墙运行费项目绩效自评综述:根据年初设定的绩效目标，项目自评得分为 </w:t>
      </w:r>
      <w:r>
        <w:rPr>
          <w:rFonts w:hint="eastAsia" w:ascii="仿宋_GB2312" w:hAnsi="仿宋_GB2312" w:eastAsia="仿宋_GB2312" w:cs="仿宋_GB2312"/>
          <w:sz w:val="32"/>
          <w:szCs w:val="32"/>
          <w:lang w:val="en-US" w:eastAsia="zh-CN"/>
        </w:rPr>
        <w:t>7.8</w:t>
      </w:r>
      <w:r>
        <w:rPr>
          <w:rFonts w:hint="eastAsia" w:ascii="仿宋_GB2312" w:hAnsi="仿宋_GB2312" w:eastAsia="仿宋_GB2312" w:cs="仿宋_GB2312"/>
          <w:sz w:val="32"/>
          <w:szCs w:val="32"/>
          <w:lang w:eastAsia="zh-CN"/>
        </w:rPr>
        <w:t xml:space="preserve">分。全年预算数为 </w:t>
      </w:r>
      <w:r>
        <w:rPr>
          <w:rFonts w:hint="eastAsia" w:ascii="仿宋_GB2312" w:hAnsi="仿宋_GB2312" w:eastAsia="仿宋_GB2312" w:cs="仿宋_GB2312"/>
          <w:sz w:val="32"/>
          <w:szCs w:val="32"/>
          <w:lang w:val="en-US" w:eastAsia="zh-CN"/>
        </w:rPr>
        <w:t>887.5</w:t>
      </w:r>
      <w:r>
        <w:rPr>
          <w:rFonts w:hint="eastAsia" w:ascii="仿宋_GB2312" w:hAnsi="仿宋_GB2312" w:eastAsia="仿宋_GB2312" w:cs="仿宋_GB2312"/>
          <w:sz w:val="32"/>
          <w:szCs w:val="32"/>
          <w:lang w:eastAsia="zh-CN"/>
        </w:rPr>
        <w:t xml:space="preserve">万元，执行数为 </w:t>
      </w:r>
      <w:r>
        <w:rPr>
          <w:rFonts w:hint="eastAsia" w:ascii="仿宋_GB2312" w:hAnsi="仿宋_GB2312" w:eastAsia="仿宋_GB2312" w:cs="仿宋_GB2312"/>
          <w:sz w:val="32"/>
          <w:szCs w:val="32"/>
          <w:lang w:val="en-US" w:eastAsia="zh-CN"/>
        </w:rPr>
        <w:t>690.21</w:t>
      </w:r>
      <w:r>
        <w:rPr>
          <w:rFonts w:hint="eastAsia" w:ascii="仿宋_GB2312" w:hAnsi="仿宋_GB2312" w:eastAsia="仿宋_GB2312" w:cs="仿宋_GB2312"/>
          <w:sz w:val="32"/>
          <w:szCs w:val="32"/>
          <w:lang w:eastAsia="zh-CN"/>
        </w:rPr>
        <w:t>万元，完成预算的</w:t>
      </w:r>
      <w:r>
        <w:rPr>
          <w:rFonts w:hint="eastAsia" w:ascii="仿宋_GB2312" w:hAnsi="仿宋_GB2312" w:eastAsia="仿宋_GB2312" w:cs="仿宋_GB2312"/>
          <w:sz w:val="32"/>
          <w:szCs w:val="32"/>
          <w:lang w:val="en-US" w:eastAsia="zh-CN"/>
        </w:rPr>
        <w:t>77.77</w:t>
      </w:r>
      <w:r>
        <w:rPr>
          <w:rFonts w:hint="eastAsia" w:ascii="仿宋_GB2312" w:hAnsi="仿宋_GB2312" w:eastAsia="仿宋_GB2312" w:cs="仿宋_GB2312"/>
          <w:sz w:val="32"/>
          <w:szCs w:val="32"/>
          <w:lang w:eastAsia="zh-CN"/>
        </w:rPr>
        <w:t>%。项目绩效目标完成情况:一是该项目维护文物本体安全稳定状态，维持景区正常运行，有效保护和利用大同古城墙，展示大同市历史风貌与现状，提高知名度，提升城市文化品位，促进旅游业发展，树立大同旅游品牌新形象，全年预算数887.5万元，执行率77.77%，预算因财政拨款不到位未完全执行;二是物业、安保完成全年服务12个月，保证城墙景区正常运行，服务达标，社会满意度高，提高文物利用，优化产业结构，提升文化旅游形象，预算资金执行率达到77.77%，基本完成了年初预算安排。发现的主要问题及原因:财政资金未能足额拨付，导致当年预算未能100%执行完毕。下一步改进措施:在财政资金足额到位的情况尽可能做到科学合理的分配资金，保障各项工作有序开展。</w:t>
      </w:r>
    </w:p>
    <w:tbl>
      <w:tblPr>
        <w:tblStyle w:val="2"/>
        <w:tblW w:w="86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3"/>
        <w:gridCol w:w="431"/>
        <w:gridCol w:w="4"/>
        <w:gridCol w:w="926"/>
        <w:gridCol w:w="247"/>
        <w:gridCol w:w="990"/>
        <w:gridCol w:w="401"/>
        <w:gridCol w:w="1116"/>
        <w:gridCol w:w="1116"/>
        <w:gridCol w:w="548"/>
        <w:gridCol w:w="816"/>
        <w:gridCol w:w="736"/>
        <w:gridCol w:w="8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563" w:hRule="atLeast"/>
        </w:trPr>
        <w:tc>
          <w:tcPr>
            <w:tcW w:w="7543"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563" w:hRule="atLeast"/>
        </w:trPr>
        <w:tc>
          <w:tcPr>
            <w:tcW w:w="493"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32"/>
                <w:szCs w:val="32"/>
                <w:u w:val="none"/>
              </w:rPr>
            </w:pPr>
          </w:p>
        </w:tc>
        <w:tc>
          <w:tcPr>
            <w:tcW w:w="441" w:type="dxa"/>
            <w:gridSpan w:val="2"/>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32"/>
                <w:szCs w:val="32"/>
                <w:u w:val="none"/>
              </w:rPr>
            </w:pPr>
          </w:p>
        </w:tc>
        <w:tc>
          <w:tcPr>
            <w:tcW w:w="3533" w:type="dxa"/>
            <w:gridSpan w:val="5"/>
            <w:tcBorders>
              <w:top w:val="nil"/>
              <w:left w:val="nil"/>
              <w:bottom w:val="nil"/>
              <w:right w:val="nil"/>
            </w:tcBorders>
            <w:shd w:val="clear" w:color="auto" w:fill="auto"/>
            <w:vAlign w:val="center"/>
          </w:tcPr>
          <w:p>
            <w:pPr>
              <w:jc w:val="right"/>
              <w:rPr>
                <w:rFonts w:hint="eastAsia" w:ascii="宋体" w:hAnsi="宋体" w:eastAsia="宋体" w:cs="宋体"/>
                <w:i w:val="0"/>
                <w:iCs w:val="0"/>
                <w:color w:val="000000"/>
                <w:sz w:val="24"/>
                <w:szCs w:val="24"/>
                <w:u w:val="none"/>
              </w:rPr>
            </w:pPr>
          </w:p>
        </w:tc>
        <w:tc>
          <w:tcPr>
            <w:tcW w:w="109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4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0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3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282" w:hRule="atLeast"/>
        </w:trPr>
        <w:tc>
          <w:tcPr>
            <w:tcW w:w="2107"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填列单位（公章）：</w:t>
            </w:r>
          </w:p>
        </w:tc>
        <w:tc>
          <w:tcPr>
            <w:tcW w:w="2360" w:type="dxa"/>
            <w:gridSpan w:val="3"/>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2021年度）</w:t>
            </w:r>
          </w:p>
        </w:tc>
        <w:tc>
          <w:tcPr>
            <w:tcW w:w="109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48"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0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3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386" w:hRule="atLeast"/>
        </w:trPr>
        <w:tc>
          <w:tcPr>
            <w:tcW w:w="9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609"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城墙运行费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853" w:hRule="atLeast"/>
        </w:trPr>
        <w:tc>
          <w:tcPr>
            <w:tcW w:w="9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353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大同市文物局</w:t>
            </w:r>
          </w:p>
        </w:tc>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19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大同市文物安全监测中心（大同市城墙保护中心）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572" w:hRule="atLeast"/>
        </w:trPr>
        <w:tc>
          <w:tcPr>
            <w:tcW w:w="93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项目资金     （万元）</w:t>
            </w:r>
          </w:p>
        </w:tc>
        <w:tc>
          <w:tcPr>
            <w:tcW w:w="11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572" w:hRule="atLeast"/>
        </w:trPr>
        <w:tc>
          <w:tcPr>
            <w:tcW w:w="93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887.5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887.5</w:t>
            </w:r>
          </w:p>
        </w:tc>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690.21</w:t>
            </w: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77.77%</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572" w:hRule="atLeast"/>
        </w:trPr>
        <w:tc>
          <w:tcPr>
            <w:tcW w:w="93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887.5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887.5</w:t>
            </w:r>
          </w:p>
        </w:tc>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690.21</w:t>
            </w: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77.77%</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572" w:hRule="atLeast"/>
        </w:trPr>
        <w:tc>
          <w:tcPr>
            <w:tcW w:w="93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386" w:hRule="atLeast"/>
        </w:trPr>
        <w:tc>
          <w:tcPr>
            <w:tcW w:w="93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334" w:hRule="atLeast"/>
        </w:trPr>
        <w:tc>
          <w:tcPr>
            <w:tcW w:w="493"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3974"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30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1363" w:hRule="atLeast"/>
        </w:trPr>
        <w:tc>
          <w:tcPr>
            <w:tcW w:w="49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974"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预算年度内完成年初预算支出，维护文物本体安全稳定状态，维持景区正常运行。</w:t>
            </w:r>
          </w:p>
        </w:tc>
        <w:tc>
          <w:tcPr>
            <w:tcW w:w="3076" w:type="dxa"/>
            <w:gridSpan w:val="4"/>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未全面完成当年预算安排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1134" w:hRule="atLeast"/>
        </w:trPr>
        <w:tc>
          <w:tcPr>
            <w:tcW w:w="4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4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指标</w:t>
            </w:r>
          </w:p>
        </w:tc>
        <w:tc>
          <w:tcPr>
            <w:tcW w:w="11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292"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11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1</w:t>
            </w:r>
            <w:r>
              <w:rPr>
                <w:rStyle w:val="4"/>
                <w:lang w:val="en-US" w:eastAsia="zh-CN" w:bidi="ar"/>
              </w:rPr>
              <w:t>：物业服务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12个月</w:t>
            </w:r>
          </w:p>
        </w:tc>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12个月</w:t>
            </w: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452"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2</w:t>
            </w:r>
            <w:r>
              <w:rPr>
                <w:rStyle w:val="4"/>
                <w:lang w:val="en-US" w:eastAsia="zh-CN" w:bidi="ar"/>
              </w:rPr>
              <w:t>：安保服务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12个月</w:t>
            </w:r>
          </w:p>
        </w:tc>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12个月</w:t>
            </w: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572"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1</w:t>
            </w:r>
            <w:r>
              <w:rPr>
                <w:rStyle w:val="4"/>
                <w:lang w:val="en-US" w:eastAsia="zh-CN" w:bidi="ar"/>
              </w:rPr>
              <w:t>：工作达标率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达标</w:t>
            </w:r>
          </w:p>
        </w:tc>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达标</w:t>
            </w: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689"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2</w:t>
            </w:r>
            <w:r>
              <w:rPr>
                <w:rStyle w:val="4"/>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572"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1</w:t>
            </w:r>
            <w:r>
              <w:rPr>
                <w:rStyle w:val="4"/>
                <w:lang w:val="en-US" w:eastAsia="zh-CN" w:bidi="ar"/>
              </w:rPr>
              <w:t>：项目结束时间</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2021.12.31</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2021.12.31</w:t>
            </w: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505"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2</w:t>
            </w:r>
            <w:r>
              <w:rPr>
                <w:rStyle w:val="4"/>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853"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1</w:t>
            </w:r>
            <w:r>
              <w:rPr>
                <w:rStyle w:val="4"/>
                <w:lang w:val="en-US" w:eastAsia="zh-CN" w:bidi="ar"/>
              </w:rPr>
              <w:t>：项目支出</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887.5万元</w:t>
            </w:r>
          </w:p>
        </w:tc>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690.21万元</w:t>
            </w: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资金未拨付到位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544"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2</w:t>
            </w:r>
            <w:r>
              <w:rPr>
                <w:rStyle w:val="4"/>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853"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11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1</w:t>
            </w:r>
            <w:r>
              <w:rPr>
                <w:rStyle w:val="4"/>
                <w:lang w:val="en-US" w:eastAsia="zh-CN" w:bidi="ar"/>
              </w:rPr>
              <w:t>：提高文物利用，优化产业结构</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效果显著</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效果显著</w:t>
            </w: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465"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2</w:t>
            </w:r>
            <w:r>
              <w:rPr>
                <w:rStyle w:val="4"/>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572"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1</w:t>
            </w:r>
            <w:r>
              <w:rPr>
                <w:rStyle w:val="4"/>
                <w:lang w:val="en-US" w:eastAsia="zh-CN" w:bidi="ar"/>
              </w:rPr>
              <w:t>：利于提升文化旅游形象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w:t>
            </w: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597"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2</w:t>
            </w:r>
            <w:r>
              <w:rPr>
                <w:rStyle w:val="4"/>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572"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Style w:val="4"/>
                <w:lang w:val="en-US" w:eastAsia="zh-CN" w:bidi="ar"/>
              </w:rPr>
              <w:t>指标</w:t>
            </w:r>
            <w:r>
              <w:rPr>
                <w:rStyle w:val="5"/>
                <w:lang w:val="en-US" w:eastAsia="zh-CN" w:bidi="ar"/>
              </w:rPr>
              <w:t>1</w:t>
            </w:r>
            <w:r>
              <w:rPr>
                <w:rStyle w:val="4"/>
                <w:lang w:val="en-US" w:eastAsia="zh-CN" w:bidi="ar"/>
              </w:rPr>
              <w:t>：推动生态文明建设</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效果显著</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效果显著</w:t>
            </w: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439"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2</w:t>
            </w:r>
            <w:r>
              <w:rPr>
                <w:rStyle w:val="4"/>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572"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1</w:t>
            </w:r>
            <w:r>
              <w:rPr>
                <w:rStyle w:val="4"/>
                <w:lang w:val="en-US" w:eastAsia="zh-CN" w:bidi="ar"/>
              </w:rPr>
              <w:t>：有助于保护城墙本体</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延续性良好</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延续性良好</w:t>
            </w: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853"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2</w:t>
            </w:r>
            <w:r>
              <w:rPr>
                <w:rStyle w:val="4"/>
                <w:lang w:val="en-US" w:eastAsia="zh-CN" w:bidi="ar"/>
              </w:rPr>
              <w:t>：促进古城墙旅游资源的利用</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影响长远</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影响长远</w:t>
            </w: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572"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满意度指标</w:t>
            </w: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1</w:t>
            </w:r>
            <w:r>
              <w:rPr>
                <w:rStyle w:val="4"/>
                <w:lang w:val="en-US" w:eastAsia="zh-CN" w:bidi="ar"/>
              </w:rPr>
              <w:t>：文物部门满意度</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w:t>
            </w: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844"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4"/>
                <w:lang w:val="en-US" w:eastAsia="zh-CN" w:bidi="ar"/>
              </w:rPr>
              <w:t>指标</w:t>
            </w:r>
            <w:r>
              <w:rPr>
                <w:rStyle w:val="5"/>
                <w:lang w:val="en-US" w:eastAsia="zh-CN" w:bidi="ar"/>
              </w:rPr>
              <w:t>2</w:t>
            </w:r>
            <w:r>
              <w:rPr>
                <w:rStyle w:val="4"/>
                <w:lang w:val="en-US" w:eastAsia="zh-CN" w:bidi="ar"/>
              </w:rPr>
              <w:t>：游客满意度</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137" w:type="dxa"/>
          <w:trHeight w:val="501" w:hRule="atLeast"/>
        </w:trPr>
        <w:tc>
          <w:tcPr>
            <w:tcW w:w="5557"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9" w:hRule="atLeast"/>
        </w:trPr>
        <w:tc>
          <w:tcPr>
            <w:tcW w:w="9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项目绩效  分析</w:t>
            </w:r>
          </w:p>
        </w:tc>
        <w:tc>
          <w:tcPr>
            <w:tcW w:w="9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自评结果  分析</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项目实施和预算执行情况及分析</w:t>
            </w:r>
          </w:p>
        </w:tc>
        <w:tc>
          <w:tcPr>
            <w:tcW w:w="55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该项目维护文物本体安全稳定状态，维持景区正常运行，有效保护和利用大同古城墙，展示大同市历史风貌与现状，提高知名度，提升城市文化品位，促进旅游业发展，树立大同旅游品牌新形象，全年预算数887.5万元，执行率77.77%，预算因财政拨款不到位未完全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1" w:hRule="atLeast"/>
        </w:trPr>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产出情况及分析</w:t>
            </w:r>
          </w:p>
        </w:tc>
        <w:tc>
          <w:tcPr>
            <w:tcW w:w="55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物业、安保完成全年服务12个月，保证城墙景区正常运行，服务达标，社会满意度高，提高文物利用，优化产业结构，提升文化旅游形象，预算资金执行率达到77.77%，基本完成了年初预算安排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1" w:hRule="atLeast"/>
        </w:trPr>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效益情况及分析</w:t>
            </w:r>
          </w:p>
        </w:tc>
        <w:tc>
          <w:tcPr>
            <w:tcW w:w="55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通过项目的运行，取得良好的经济及社会效益，达到了预期。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1" w:hRule="atLeast"/>
        </w:trPr>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满意度情况及分析</w:t>
            </w:r>
          </w:p>
        </w:tc>
        <w:tc>
          <w:tcPr>
            <w:tcW w:w="55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上级文物部门与群众满意度较高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32" w:hRule="atLeast"/>
        </w:trPr>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主要经验做法</w:t>
            </w:r>
          </w:p>
        </w:tc>
        <w:tc>
          <w:tcPr>
            <w:tcW w:w="55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项目在实施过程中严格履行预算安排，规范使用资金，实现资金使用效率最优化。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94" w:hRule="atLeast"/>
        </w:trPr>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项目管理中存在的主要问题及原因分析</w:t>
            </w:r>
          </w:p>
        </w:tc>
        <w:tc>
          <w:tcPr>
            <w:tcW w:w="55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财政资金未能足额拨付，导致当年预算未能100%执行完毕。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1" w:hRule="atLeast"/>
        </w:trPr>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下一步改进措施及管理建议</w:t>
            </w:r>
          </w:p>
        </w:tc>
        <w:tc>
          <w:tcPr>
            <w:tcW w:w="55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在财政资金足额到位的情况尽可能做到科学合理的分配资金，保障各项工作有序开展。</w:t>
            </w:r>
          </w:p>
        </w:tc>
      </w:tr>
    </w:tbl>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lang w:eastAsia="zh-CN"/>
        </w:rPr>
        <w:t xml:space="preserve">文保员看护经费项目绩效自评综述:根据年初设定的绩效目标，项目自评得分为 </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分。全年预算数为</w:t>
      </w:r>
      <w:r>
        <w:rPr>
          <w:rFonts w:hint="eastAsia" w:ascii="仿宋_GB2312" w:hAnsi="仿宋_GB2312" w:eastAsia="仿宋_GB2312" w:cs="仿宋_GB2312"/>
          <w:sz w:val="32"/>
          <w:szCs w:val="32"/>
          <w:lang w:val="en-US" w:eastAsia="zh-CN"/>
        </w:rPr>
        <w:t>2.92</w:t>
      </w:r>
      <w:r>
        <w:rPr>
          <w:rFonts w:hint="eastAsia" w:ascii="仿宋_GB2312" w:hAnsi="仿宋_GB2312" w:eastAsia="仿宋_GB2312" w:cs="仿宋_GB2312"/>
          <w:sz w:val="32"/>
          <w:szCs w:val="32"/>
          <w:lang w:eastAsia="zh-CN"/>
        </w:rPr>
        <w:t>万元，执行数为</w:t>
      </w:r>
      <w:r>
        <w:rPr>
          <w:rFonts w:hint="eastAsia" w:ascii="仿宋_GB2312" w:hAnsi="仿宋_GB2312" w:eastAsia="仿宋_GB2312" w:cs="仿宋_GB2312"/>
          <w:sz w:val="32"/>
          <w:szCs w:val="32"/>
          <w:lang w:val="en-US" w:eastAsia="zh-CN"/>
        </w:rPr>
        <w:t>2.92</w:t>
      </w:r>
      <w:r>
        <w:rPr>
          <w:rFonts w:hint="eastAsia" w:ascii="仿宋_GB2312" w:hAnsi="仿宋_GB2312" w:eastAsia="仿宋_GB2312" w:cs="仿宋_GB2312"/>
          <w:sz w:val="32"/>
          <w:szCs w:val="32"/>
          <w:lang w:eastAsia="zh-CN"/>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eastAsia="zh-CN"/>
        </w:rPr>
        <w:t>%。项目绩效目标完成情况:一是该项目及时落实资金，确保文保员工资按时发放到位。预算依据年初安排完全执行;二是预算资金完成率达到100%，完成了年初预算安排。通过项目的运行，取得良好的经济及社会效益，达到了预期。上级文物部门与文保员满意度较高。发现的主要问题及原因:文保员经费金额较低。下一步改进措施:在财政资金足额到位的情况尽可能做到科学合理的分配资金，保障资金落实到位。</w:t>
      </w:r>
    </w:p>
    <w:tbl>
      <w:tblPr>
        <w:tblStyle w:val="2"/>
        <w:tblW w:w="931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3"/>
        <w:gridCol w:w="414"/>
        <w:gridCol w:w="104"/>
        <w:gridCol w:w="893"/>
        <w:gridCol w:w="546"/>
        <w:gridCol w:w="785"/>
        <w:gridCol w:w="918"/>
        <w:gridCol w:w="987"/>
        <w:gridCol w:w="1123"/>
        <w:gridCol w:w="634"/>
        <w:gridCol w:w="1036"/>
        <w:gridCol w:w="879"/>
        <w:gridCol w:w="4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76" w:hRule="atLeast"/>
        </w:trPr>
        <w:tc>
          <w:tcPr>
            <w:tcW w:w="8902"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76" w:hRule="atLeast"/>
        </w:trPr>
        <w:tc>
          <w:tcPr>
            <w:tcW w:w="583"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32"/>
                <w:szCs w:val="32"/>
                <w:u w:val="none"/>
              </w:rPr>
            </w:pPr>
          </w:p>
        </w:tc>
        <w:tc>
          <w:tcPr>
            <w:tcW w:w="518" w:type="dxa"/>
            <w:gridSpan w:val="2"/>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32"/>
                <w:szCs w:val="32"/>
                <w:u w:val="none"/>
              </w:rPr>
            </w:pPr>
          </w:p>
        </w:tc>
        <w:tc>
          <w:tcPr>
            <w:tcW w:w="4129" w:type="dxa"/>
            <w:gridSpan w:val="5"/>
            <w:tcBorders>
              <w:top w:val="nil"/>
              <w:left w:val="nil"/>
              <w:bottom w:val="nil"/>
              <w:right w:val="nil"/>
            </w:tcBorders>
            <w:shd w:val="clear" w:color="auto" w:fill="auto"/>
            <w:vAlign w:val="center"/>
          </w:tcPr>
          <w:p>
            <w:pPr>
              <w:jc w:val="right"/>
              <w:rPr>
                <w:rFonts w:hint="eastAsia" w:ascii="宋体" w:hAnsi="宋体" w:eastAsia="宋体" w:cs="宋体"/>
                <w:i w:val="0"/>
                <w:iCs w:val="0"/>
                <w:color w:val="000000"/>
                <w:sz w:val="24"/>
                <w:szCs w:val="24"/>
                <w:u w:val="none"/>
              </w:rPr>
            </w:pPr>
          </w:p>
        </w:tc>
        <w:tc>
          <w:tcPr>
            <w:tcW w:w="112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63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03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7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338" w:hRule="atLeast"/>
        </w:trPr>
        <w:tc>
          <w:tcPr>
            <w:tcW w:w="2540"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填列单位（公章）：</w:t>
            </w:r>
          </w:p>
        </w:tc>
        <w:tc>
          <w:tcPr>
            <w:tcW w:w="2690" w:type="dxa"/>
            <w:gridSpan w:val="3"/>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2021年度）</w:t>
            </w:r>
          </w:p>
        </w:tc>
        <w:tc>
          <w:tcPr>
            <w:tcW w:w="112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63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03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7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87" w:hRule="atLeast"/>
        </w:trPr>
        <w:tc>
          <w:tcPr>
            <w:tcW w:w="1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801"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提前下达文物看护员经费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1025" w:hRule="atLeast"/>
        </w:trPr>
        <w:tc>
          <w:tcPr>
            <w:tcW w:w="11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12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大同市文物局</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5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大同市文物安全监测中心（大同市城墙保护中心）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89" w:hRule="atLeast"/>
        </w:trPr>
        <w:tc>
          <w:tcPr>
            <w:tcW w:w="110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项目资金     （万元）</w:t>
            </w:r>
          </w:p>
        </w:tc>
        <w:tc>
          <w:tcPr>
            <w:tcW w:w="1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89" w:hRule="atLeast"/>
        </w:trPr>
        <w:tc>
          <w:tcPr>
            <w:tcW w:w="11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2.92</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2.92</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89" w:hRule="atLeast"/>
        </w:trPr>
        <w:tc>
          <w:tcPr>
            <w:tcW w:w="11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2.92</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2.92</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2.92</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89" w:hRule="atLeast"/>
        </w:trPr>
        <w:tc>
          <w:tcPr>
            <w:tcW w:w="11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447" w:hRule="atLeast"/>
        </w:trPr>
        <w:tc>
          <w:tcPr>
            <w:tcW w:w="11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389" w:hRule="atLeast"/>
        </w:trPr>
        <w:tc>
          <w:tcPr>
            <w:tcW w:w="583"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4647"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3672"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1650" w:hRule="atLeast"/>
        </w:trPr>
        <w:tc>
          <w:tcPr>
            <w:tcW w:w="583"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47"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预算年度内完成年初预算支出，对全市文物安全监测，及时发现文物安全隐患，保护文物安全。</w:t>
            </w:r>
          </w:p>
        </w:tc>
        <w:tc>
          <w:tcPr>
            <w:tcW w:w="3672" w:type="dxa"/>
            <w:gridSpan w:val="4"/>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未全面完成当年预算安排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1363" w:hRule="atLeast"/>
        </w:trPr>
        <w:tc>
          <w:tcPr>
            <w:tcW w:w="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5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指标</w:t>
            </w:r>
          </w:p>
        </w:tc>
        <w:tc>
          <w:tcPr>
            <w:tcW w:w="1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89"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143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1</w:t>
            </w:r>
            <w:r>
              <w:rPr>
                <w:rStyle w:val="6"/>
                <w:lang w:val="en-US" w:eastAsia="zh-CN" w:bidi="ar"/>
              </w:rPr>
              <w:t>：文保员人数</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8人</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8人</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519"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2</w:t>
            </w:r>
            <w:r>
              <w:rPr>
                <w:rStyle w:val="6"/>
                <w:lang w:val="en-US" w:eastAsia="zh-CN" w:bidi="ar"/>
              </w:rPr>
              <w:t>：</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89"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1</w:t>
            </w:r>
            <w:r>
              <w:rPr>
                <w:rStyle w:val="6"/>
                <w:lang w:val="en-US" w:eastAsia="zh-CN" w:bidi="ar"/>
              </w:rPr>
              <w:t>：工作达标率</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达标</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达标</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779"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2</w:t>
            </w:r>
            <w:r>
              <w:rPr>
                <w:rStyle w:val="6"/>
                <w:lang w:val="en-US" w:eastAsia="zh-CN" w:bidi="ar"/>
              </w:rPr>
              <w:t>：</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89"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1</w:t>
            </w:r>
            <w:r>
              <w:rPr>
                <w:rStyle w:val="6"/>
                <w:lang w:val="en-US" w:eastAsia="zh-CN" w:bidi="ar"/>
              </w:rPr>
              <w:t>：项目实施周期</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577"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2</w:t>
            </w:r>
            <w:r>
              <w:rPr>
                <w:rStyle w:val="6"/>
                <w:lang w:val="en-US" w:eastAsia="zh-CN" w:bidi="ar"/>
              </w:rPr>
              <w:t>：</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89"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1</w:t>
            </w:r>
            <w:r>
              <w:rPr>
                <w:rStyle w:val="6"/>
                <w:lang w:val="en-US" w:eastAsia="zh-CN" w:bidi="ar"/>
              </w:rPr>
              <w:t>：项目支出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2.92万元</w:t>
            </w: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2.92万元</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20"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2</w:t>
            </w:r>
            <w:r>
              <w:rPr>
                <w:rStyle w:val="6"/>
                <w:lang w:val="en-US" w:eastAsia="zh-CN" w:bidi="ar"/>
              </w:rPr>
              <w:t>：</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1025"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143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1</w:t>
            </w:r>
            <w:r>
              <w:rPr>
                <w:rStyle w:val="6"/>
                <w:lang w:val="en-US" w:eastAsia="zh-CN" w:bidi="ar"/>
              </w:rPr>
              <w:t>：文物安全监测、文物保护</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效果显著</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效果显著</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534"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2</w:t>
            </w:r>
            <w:r>
              <w:rPr>
                <w:rStyle w:val="6"/>
                <w:lang w:val="en-US" w:eastAsia="zh-CN" w:bidi="ar"/>
              </w:rPr>
              <w:t>：</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89"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1</w:t>
            </w:r>
            <w:r>
              <w:rPr>
                <w:rStyle w:val="6"/>
                <w:lang w:val="en-US" w:eastAsia="zh-CN" w:bidi="ar"/>
              </w:rPr>
              <w:t>：利于提升文化旅游形象</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形成地方名片</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形成地方名片</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79"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2</w:t>
            </w:r>
            <w:r>
              <w:rPr>
                <w:rStyle w:val="6"/>
                <w:lang w:val="en-US" w:eastAsia="zh-CN" w:bidi="ar"/>
              </w:rPr>
              <w:t>：</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89"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1</w:t>
            </w:r>
            <w:r>
              <w:rPr>
                <w:rStyle w:val="6"/>
                <w:lang w:val="en-US" w:eastAsia="zh-CN" w:bidi="ar"/>
              </w:rPr>
              <w:t>：推动生态文明建设</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效果显著</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效果显著</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505"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2</w:t>
            </w:r>
            <w:r>
              <w:rPr>
                <w:rStyle w:val="6"/>
                <w:lang w:val="en-US" w:eastAsia="zh-CN" w:bidi="ar"/>
              </w:rPr>
              <w:t>：</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89"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1</w:t>
            </w:r>
            <w:r>
              <w:rPr>
                <w:rStyle w:val="6"/>
                <w:lang w:val="en-US" w:eastAsia="zh-CN" w:bidi="ar"/>
              </w:rPr>
              <w:t>：有助于保护城墙本体</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延续性良好</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延续性良好</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547"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2</w:t>
            </w:r>
            <w:r>
              <w:rPr>
                <w:rStyle w:val="6"/>
                <w:lang w:val="en-US" w:eastAsia="zh-CN" w:bidi="ar"/>
              </w:rPr>
              <w:t>：</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689"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3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满意度指标</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1</w:t>
            </w:r>
            <w:r>
              <w:rPr>
                <w:rStyle w:val="6"/>
                <w:lang w:val="en-US" w:eastAsia="zh-CN" w:bidi="ar"/>
              </w:rPr>
              <w:t>：文物部门满意度</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1012" w:hRule="atLeast"/>
        </w:trPr>
        <w:tc>
          <w:tcPr>
            <w:tcW w:w="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Style w:val="6"/>
                <w:lang w:val="en-US" w:eastAsia="zh-CN" w:bidi="ar"/>
              </w:rPr>
              <w:t>指标</w:t>
            </w:r>
            <w:r>
              <w:rPr>
                <w:rFonts w:hint="default" w:ascii="Arial Narrow" w:hAnsi="Arial Narrow" w:eastAsia="Arial Narrow" w:cs="Arial Narrow"/>
                <w:i w:val="0"/>
                <w:iCs w:val="0"/>
                <w:color w:val="000000"/>
                <w:kern w:val="0"/>
                <w:sz w:val="18"/>
                <w:szCs w:val="18"/>
                <w:u w:val="none"/>
                <w:lang w:val="en-US" w:eastAsia="zh-CN" w:bidi="ar"/>
              </w:rPr>
              <w:t>2</w:t>
            </w:r>
            <w:r>
              <w:rPr>
                <w:rStyle w:val="6"/>
                <w:lang w:val="en-US" w:eastAsia="zh-CN" w:bidi="ar"/>
              </w:rPr>
              <w:t>：游客满意度</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1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15" w:type="dxa"/>
          <w:trHeight w:val="573" w:hRule="atLeast"/>
        </w:trPr>
        <w:tc>
          <w:tcPr>
            <w:tcW w:w="6353"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2" w:hRule="atLeast"/>
        </w:trPr>
        <w:tc>
          <w:tcPr>
            <w:tcW w:w="99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项目绩效  分析</w:t>
            </w:r>
          </w:p>
        </w:tc>
        <w:tc>
          <w:tcPr>
            <w:tcW w:w="99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自评结果  分析</w:t>
            </w: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项目实施和预算执行情况及分析</w:t>
            </w:r>
          </w:p>
        </w:tc>
        <w:tc>
          <w:tcPr>
            <w:tcW w:w="59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该项目及时落实资金，确保文保员工资按时发放到位。预算依据年初安排完全执行。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5" w:hRule="atLeast"/>
        </w:trPr>
        <w:tc>
          <w:tcPr>
            <w:tcW w:w="9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产出情况及分析</w:t>
            </w:r>
          </w:p>
        </w:tc>
        <w:tc>
          <w:tcPr>
            <w:tcW w:w="59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预算资金完成率达到100%，完成了年初预算安排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5" w:hRule="atLeast"/>
        </w:trPr>
        <w:tc>
          <w:tcPr>
            <w:tcW w:w="9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效益情况及分析</w:t>
            </w:r>
          </w:p>
        </w:tc>
        <w:tc>
          <w:tcPr>
            <w:tcW w:w="59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通过项目的运行，取得良好的经济及社会效益，达到了预期。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5" w:hRule="atLeast"/>
        </w:trPr>
        <w:tc>
          <w:tcPr>
            <w:tcW w:w="9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满意度情况及分析</w:t>
            </w:r>
          </w:p>
        </w:tc>
        <w:tc>
          <w:tcPr>
            <w:tcW w:w="59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上级文物部门与文保员满意度较高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7" w:hRule="atLeast"/>
        </w:trPr>
        <w:tc>
          <w:tcPr>
            <w:tcW w:w="9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主要经验做法</w:t>
            </w:r>
          </w:p>
        </w:tc>
        <w:tc>
          <w:tcPr>
            <w:tcW w:w="59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项目在实施过程中规范资金管理，做到专款专用。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6" w:hRule="atLeast"/>
        </w:trPr>
        <w:tc>
          <w:tcPr>
            <w:tcW w:w="9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项目管理中存在的主要问题及原因分析</w:t>
            </w:r>
          </w:p>
        </w:tc>
        <w:tc>
          <w:tcPr>
            <w:tcW w:w="59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文保员经费金额较低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98" w:hRule="atLeast"/>
        </w:trPr>
        <w:tc>
          <w:tcPr>
            <w:tcW w:w="9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下一步改进措施及管理建议</w:t>
            </w:r>
          </w:p>
        </w:tc>
        <w:tc>
          <w:tcPr>
            <w:tcW w:w="59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在财政资金足额到位的情况尽可能做到科学合理的分配资金，保障资金落实到位。</w:t>
            </w:r>
          </w:p>
        </w:tc>
      </w:tr>
    </w:tbl>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c、文物安全监测经费</w:t>
      </w:r>
      <w:r>
        <w:rPr>
          <w:rFonts w:hint="eastAsia" w:ascii="仿宋_GB2312" w:hAnsi="仿宋_GB2312" w:eastAsia="仿宋_GB2312" w:cs="仿宋_GB2312"/>
          <w:sz w:val="32"/>
          <w:szCs w:val="32"/>
          <w:lang w:eastAsia="zh-CN"/>
        </w:rPr>
        <w:t xml:space="preserve">绩效自评综述:根据年初设定的绩效目标，项目自评得分为 </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分。全年预算数为</w:t>
      </w:r>
      <w:r>
        <w:rPr>
          <w:rFonts w:hint="eastAsia" w:ascii="仿宋_GB2312" w:hAnsi="仿宋_GB2312" w:eastAsia="仿宋_GB2312" w:cs="仿宋_GB2312"/>
          <w:sz w:val="32"/>
          <w:szCs w:val="32"/>
          <w:lang w:val="en-US" w:eastAsia="zh-CN"/>
        </w:rPr>
        <w:t>27.5</w:t>
      </w:r>
      <w:r>
        <w:rPr>
          <w:rFonts w:hint="eastAsia" w:ascii="仿宋_GB2312" w:hAnsi="仿宋_GB2312" w:eastAsia="仿宋_GB2312" w:cs="仿宋_GB2312"/>
          <w:sz w:val="32"/>
          <w:szCs w:val="32"/>
          <w:lang w:eastAsia="zh-CN"/>
        </w:rPr>
        <w:t>万元，执行数为</w:t>
      </w:r>
      <w:r>
        <w:rPr>
          <w:rFonts w:hint="eastAsia" w:ascii="仿宋_GB2312" w:hAnsi="仿宋_GB2312" w:eastAsia="仿宋_GB2312" w:cs="仿宋_GB2312"/>
          <w:sz w:val="32"/>
          <w:szCs w:val="32"/>
          <w:lang w:val="en-US" w:eastAsia="zh-CN"/>
        </w:rPr>
        <w:t>18.08</w:t>
      </w:r>
      <w:r>
        <w:rPr>
          <w:rFonts w:hint="eastAsia" w:ascii="仿宋_GB2312" w:hAnsi="仿宋_GB2312" w:eastAsia="仿宋_GB2312" w:cs="仿宋_GB2312"/>
          <w:sz w:val="32"/>
          <w:szCs w:val="32"/>
          <w:lang w:eastAsia="zh-CN"/>
        </w:rPr>
        <w:t>万元，完成预算的</w:t>
      </w:r>
      <w:r>
        <w:rPr>
          <w:rFonts w:hint="eastAsia" w:ascii="仿宋_GB2312" w:hAnsi="仿宋_GB2312" w:eastAsia="仿宋_GB2312" w:cs="仿宋_GB2312"/>
          <w:sz w:val="32"/>
          <w:szCs w:val="32"/>
          <w:lang w:val="en-US" w:eastAsia="zh-CN"/>
        </w:rPr>
        <w:t>65.75</w:t>
      </w:r>
      <w:r>
        <w:rPr>
          <w:rFonts w:hint="eastAsia" w:ascii="仿宋_GB2312" w:hAnsi="仿宋_GB2312" w:eastAsia="仿宋_GB2312" w:cs="仿宋_GB2312"/>
          <w:sz w:val="32"/>
          <w:szCs w:val="32"/>
          <w:lang w:eastAsia="zh-CN"/>
        </w:rPr>
        <w:t>%。项目绩效目标完成情况:一该项目维护文物本体安全稳定状态，维持景区正常运行，有效保护和利用大同古城墙，展示大同市历史风貌与现状，提高知名度，提升城市文化品位，促进旅游业发展，树立大同旅游品牌新形象。预算因财政拨款不到位未完全执行;二是预算资金完成率达到</w:t>
      </w:r>
      <w:r>
        <w:rPr>
          <w:rFonts w:hint="eastAsia" w:ascii="仿宋_GB2312" w:hAnsi="仿宋_GB2312" w:eastAsia="仿宋_GB2312" w:cs="仿宋_GB2312"/>
          <w:sz w:val="32"/>
          <w:szCs w:val="32"/>
          <w:lang w:val="en-US" w:eastAsia="zh-CN"/>
        </w:rPr>
        <w:t>65.75</w:t>
      </w:r>
      <w:r>
        <w:rPr>
          <w:rFonts w:hint="eastAsia" w:ascii="仿宋_GB2312" w:hAnsi="仿宋_GB2312" w:eastAsia="仿宋_GB2312" w:cs="仿宋_GB2312"/>
          <w:sz w:val="32"/>
          <w:szCs w:val="32"/>
          <w:lang w:eastAsia="zh-CN"/>
        </w:rPr>
        <w:t>%，基本完成了年初预算安排。上级文物部门与文保员满意度较高。发现的主要问题及原因:项目整体资金安排与使用仍存在不足，对项目支出运行实践经验仍有欠缺，以及财政资金未能足额拨付，导致当年预算未能100%执行完毕。下一步改进措施:在财政资金足额到位的情况尽可能做到科学合理的分配资金，保障各项工作有序开展。</w:t>
      </w:r>
    </w:p>
    <w:tbl>
      <w:tblPr>
        <w:tblStyle w:val="2"/>
        <w:tblW w:w="93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5"/>
        <w:gridCol w:w="411"/>
        <w:gridCol w:w="115"/>
        <w:gridCol w:w="891"/>
        <w:gridCol w:w="587"/>
        <w:gridCol w:w="755"/>
        <w:gridCol w:w="996"/>
        <w:gridCol w:w="1007"/>
        <w:gridCol w:w="1133"/>
        <w:gridCol w:w="642"/>
        <w:gridCol w:w="821"/>
        <w:gridCol w:w="893"/>
        <w:gridCol w:w="5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685" w:hRule="atLeast"/>
        </w:trPr>
        <w:tc>
          <w:tcPr>
            <w:tcW w:w="8846"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685" w:hRule="atLeast"/>
        </w:trPr>
        <w:tc>
          <w:tcPr>
            <w:tcW w:w="59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32"/>
                <w:szCs w:val="32"/>
                <w:u w:val="none"/>
              </w:rPr>
            </w:pPr>
          </w:p>
        </w:tc>
        <w:tc>
          <w:tcPr>
            <w:tcW w:w="526" w:type="dxa"/>
            <w:gridSpan w:val="2"/>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32"/>
                <w:szCs w:val="32"/>
                <w:u w:val="none"/>
              </w:rPr>
            </w:pPr>
          </w:p>
        </w:tc>
        <w:tc>
          <w:tcPr>
            <w:tcW w:w="4236" w:type="dxa"/>
            <w:gridSpan w:val="5"/>
            <w:tcBorders>
              <w:top w:val="nil"/>
              <w:left w:val="nil"/>
              <w:bottom w:val="nil"/>
              <w:right w:val="nil"/>
            </w:tcBorders>
            <w:shd w:val="clear" w:color="auto" w:fill="auto"/>
            <w:vAlign w:val="center"/>
          </w:tcPr>
          <w:p>
            <w:pPr>
              <w:jc w:val="right"/>
              <w:rPr>
                <w:rFonts w:hint="eastAsia" w:ascii="宋体" w:hAnsi="宋体" w:eastAsia="宋体" w:cs="宋体"/>
                <w:i w:val="0"/>
                <w:iCs w:val="0"/>
                <w:color w:val="000000"/>
                <w:sz w:val="24"/>
                <w:szCs w:val="24"/>
                <w:u w:val="none"/>
              </w:rPr>
            </w:pPr>
          </w:p>
        </w:tc>
        <w:tc>
          <w:tcPr>
            <w:tcW w:w="113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64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2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9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342" w:hRule="atLeast"/>
        </w:trPr>
        <w:tc>
          <w:tcPr>
            <w:tcW w:w="2599"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填列单位（公章）：</w:t>
            </w:r>
          </w:p>
        </w:tc>
        <w:tc>
          <w:tcPr>
            <w:tcW w:w="2758" w:type="dxa"/>
            <w:gridSpan w:val="3"/>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2021年度）</w:t>
            </w:r>
          </w:p>
        </w:tc>
        <w:tc>
          <w:tcPr>
            <w:tcW w:w="113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64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21"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89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434" w:hRule="atLeast"/>
        </w:trPr>
        <w:tc>
          <w:tcPr>
            <w:tcW w:w="1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725"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文物安全监测经费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1038" w:hRule="atLeast"/>
        </w:trPr>
        <w:tc>
          <w:tcPr>
            <w:tcW w:w="1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2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大同市文物局</w:t>
            </w: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3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大同市文物安全监测中心（大同市城墙保护中心）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696" w:hRule="atLeast"/>
        </w:trPr>
        <w:tc>
          <w:tcPr>
            <w:tcW w:w="112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项目资金     （万元）</w:t>
            </w: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434" w:hRule="atLeast"/>
        </w:trPr>
        <w:tc>
          <w:tcPr>
            <w:tcW w:w="112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w:t>
            </w: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18.08</w:t>
            </w: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65.75%</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696" w:hRule="atLeast"/>
        </w:trPr>
        <w:tc>
          <w:tcPr>
            <w:tcW w:w="112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27.5</w:t>
            </w: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18.08</w:t>
            </w: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65.75%</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696" w:hRule="atLeast"/>
        </w:trPr>
        <w:tc>
          <w:tcPr>
            <w:tcW w:w="112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434" w:hRule="atLeast"/>
        </w:trPr>
        <w:tc>
          <w:tcPr>
            <w:tcW w:w="112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376" w:hRule="atLeast"/>
        </w:trPr>
        <w:tc>
          <w:tcPr>
            <w:tcW w:w="595" w:type="dxa"/>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4762"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348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1690" w:hRule="atLeast"/>
        </w:trPr>
        <w:tc>
          <w:tcPr>
            <w:tcW w:w="595" w:type="dxa"/>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762"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预算年度内完成年初预算支出，对全市文物安全监测，及时发现文物安全隐患，保护文物安全。</w:t>
            </w:r>
          </w:p>
        </w:tc>
        <w:tc>
          <w:tcPr>
            <w:tcW w:w="3489" w:type="dxa"/>
            <w:gridSpan w:val="4"/>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未全面完成当年预算安排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1381" w:hRule="atLeast"/>
        </w:trPr>
        <w:tc>
          <w:tcPr>
            <w:tcW w:w="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5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指标</w:t>
            </w: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6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696"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14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1</w:t>
            </w:r>
            <w:r>
              <w:rPr>
                <w:rFonts w:hint="eastAsia" w:ascii="宋体" w:hAnsi="宋体" w:eastAsia="宋体" w:cs="宋体"/>
                <w:i w:val="0"/>
                <w:iCs w:val="0"/>
                <w:color w:val="000000"/>
                <w:kern w:val="0"/>
                <w:sz w:val="18"/>
                <w:szCs w:val="18"/>
                <w:u w:val="none"/>
                <w:lang w:val="en-US" w:eastAsia="zh-CN" w:bidi="ar"/>
              </w:rPr>
              <w:t>：日常巡查，提高文物安全</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507"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2</w:t>
            </w:r>
            <w:r>
              <w:rPr>
                <w:rFonts w:hint="eastAsia" w:ascii="宋体" w:hAnsi="宋体" w:eastAsia="宋体" w:cs="宋体"/>
                <w:i w:val="0"/>
                <w:iCs w:val="0"/>
                <w:color w:val="000000"/>
                <w:kern w:val="0"/>
                <w:sz w:val="18"/>
                <w:szCs w:val="18"/>
                <w:u w:val="none"/>
                <w:lang w:val="en-US" w:eastAsia="zh-CN" w:bidi="ar"/>
              </w:rPr>
              <w:t>：</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103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1</w:t>
            </w:r>
            <w:r>
              <w:rPr>
                <w:rFonts w:hint="eastAsia" w:ascii="宋体" w:hAnsi="宋体" w:eastAsia="宋体" w:cs="宋体"/>
                <w:i w:val="0"/>
                <w:iCs w:val="0"/>
                <w:color w:val="000000"/>
                <w:kern w:val="0"/>
                <w:sz w:val="18"/>
                <w:szCs w:val="18"/>
                <w:u w:val="none"/>
                <w:lang w:val="en-US" w:eastAsia="zh-CN" w:bidi="ar"/>
              </w:rPr>
              <w:t>：资金拨付比例</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65.75%</w:t>
            </w: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资金未拨付到位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766"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2</w:t>
            </w:r>
            <w:r>
              <w:rPr>
                <w:rFonts w:hint="eastAsia" w:ascii="宋体" w:hAnsi="宋体" w:eastAsia="宋体" w:cs="宋体"/>
                <w:i w:val="0"/>
                <w:iCs w:val="0"/>
                <w:color w:val="000000"/>
                <w:kern w:val="0"/>
                <w:sz w:val="18"/>
                <w:szCs w:val="18"/>
                <w:u w:val="none"/>
                <w:lang w:val="en-US" w:eastAsia="zh-CN" w:bidi="ar"/>
              </w:rPr>
              <w:t>：</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696"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1</w:t>
            </w:r>
            <w:r>
              <w:rPr>
                <w:rFonts w:hint="eastAsia" w:ascii="宋体" w:hAnsi="宋体" w:eastAsia="宋体" w:cs="宋体"/>
                <w:i w:val="0"/>
                <w:iCs w:val="0"/>
                <w:color w:val="000000"/>
                <w:kern w:val="0"/>
                <w:sz w:val="18"/>
                <w:szCs w:val="18"/>
                <w:u w:val="none"/>
                <w:lang w:val="en-US" w:eastAsia="zh-CN" w:bidi="ar"/>
              </w:rPr>
              <w:t>：项目实施周期</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565"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2</w:t>
            </w:r>
            <w:r>
              <w:rPr>
                <w:rFonts w:hint="eastAsia" w:ascii="宋体" w:hAnsi="宋体" w:eastAsia="宋体" w:cs="宋体"/>
                <w:i w:val="0"/>
                <w:iCs w:val="0"/>
                <w:color w:val="000000"/>
                <w:kern w:val="0"/>
                <w:sz w:val="18"/>
                <w:szCs w:val="18"/>
                <w:u w:val="none"/>
                <w:lang w:val="en-US" w:eastAsia="zh-CN" w:bidi="ar"/>
              </w:rPr>
              <w:t>：</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103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1</w:t>
            </w:r>
            <w:r>
              <w:rPr>
                <w:rFonts w:hint="eastAsia" w:ascii="宋体" w:hAnsi="宋体" w:eastAsia="宋体" w:cs="宋体"/>
                <w:i w:val="0"/>
                <w:iCs w:val="0"/>
                <w:color w:val="000000"/>
                <w:kern w:val="0"/>
                <w:sz w:val="18"/>
                <w:szCs w:val="18"/>
                <w:u w:val="none"/>
                <w:lang w:val="en-US" w:eastAsia="zh-CN" w:bidi="ar"/>
              </w:rPr>
              <w:t>：项目支出</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27.5万元</w:t>
            </w: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18.08万元</w:t>
            </w: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资金未拨付到位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60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2</w:t>
            </w:r>
            <w:r>
              <w:rPr>
                <w:rFonts w:hint="eastAsia" w:ascii="宋体" w:hAnsi="宋体" w:eastAsia="宋体" w:cs="宋体"/>
                <w:i w:val="0"/>
                <w:iCs w:val="0"/>
                <w:color w:val="000000"/>
                <w:kern w:val="0"/>
                <w:sz w:val="18"/>
                <w:szCs w:val="18"/>
                <w:u w:val="none"/>
                <w:lang w:val="en-US" w:eastAsia="zh-CN" w:bidi="ar"/>
              </w:rPr>
              <w:t>：</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103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14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1</w:t>
            </w:r>
            <w:r>
              <w:rPr>
                <w:rFonts w:hint="eastAsia" w:ascii="宋体" w:hAnsi="宋体" w:eastAsia="宋体" w:cs="宋体"/>
                <w:i w:val="0"/>
                <w:iCs w:val="0"/>
                <w:color w:val="000000"/>
                <w:kern w:val="0"/>
                <w:sz w:val="18"/>
                <w:szCs w:val="18"/>
                <w:u w:val="none"/>
                <w:lang w:val="en-US" w:eastAsia="zh-CN" w:bidi="ar"/>
              </w:rPr>
              <w:t>：提高文物利用，优化产业结构</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效果显著</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效果显著</w:t>
            </w: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521"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2</w:t>
            </w:r>
            <w:r>
              <w:rPr>
                <w:rFonts w:hint="eastAsia" w:ascii="宋体" w:hAnsi="宋体" w:eastAsia="宋体" w:cs="宋体"/>
                <w:i w:val="0"/>
                <w:iCs w:val="0"/>
                <w:color w:val="000000"/>
                <w:kern w:val="0"/>
                <w:sz w:val="18"/>
                <w:szCs w:val="18"/>
                <w:u w:val="none"/>
                <w:lang w:val="en-US" w:eastAsia="zh-CN" w:bidi="ar"/>
              </w:rPr>
              <w:t>：</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696"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1</w:t>
            </w:r>
            <w:r>
              <w:rPr>
                <w:rFonts w:hint="eastAsia" w:ascii="宋体" w:hAnsi="宋体" w:eastAsia="宋体" w:cs="宋体"/>
                <w:i w:val="0"/>
                <w:iCs w:val="0"/>
                <w:color w:val="000000"/>
                <w:kern w:val="0"/>
                <w:sz w:val="18"/>
                <w:szCs w:val="18"/>
                <w:u w:val="none"/>
                <w:lang w:val="en-US" w:eastAsia="zh-CN" w:bidi="ar"/>
              </w:rPr>
              <w:t>：利于提升文化旅游形象</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形成地方名片</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形成地方名片</w:t>
            </w: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665"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2</w:t>
            </w:r>
            <w:r>
              <w:rPr>
                <w:rFonts w:hint="eastAsia" w:ascii="宋体" w:hAnsi="宋体" w:eastAsia="宋体" w:cs="宋体"/>
                <w:i w:val="0"/>
                <w:iCs w:val="0"/>
                <w:color w:val="000000"/>
                <w:kern w:val="0"/>
                <w:sz w:val="18"/>
                <w:szCs w:val="18"/>
                <w:u w:val="none"/>
                <w:lang w:val="en-US" w:eastAsia="zh-CN" w:bidi="ar"/>
              </w:rPr>
              <w:t>：</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696"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1</w:t>
            </w:r>
            <w:r>
              <w:rPr>
                <w:rFonts w:hint="eastAsia" w:ascii="宋体" w:hAnsi="宋体" w:eastAsia="宋体" w:cs="宋体"/>
                <w:i w:val="0"/>
                <w:iCs w:val="0"/>
                <w:color w:val="000000"/>
                <w:kern w:val="0"/>
                <w:sz w:val="18"/>
                <w:szCs w:val="18"/>
                <w:u w:val="none"/>
                <w:lang w:val="en-US" w:eastAsia="zh-CN" w:bidi="ar"/>
              </w:rPr>
              <w:t>：推动生态文明建设</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效果显著</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效果显著</w:t>
            </w: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493"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2</w:t>
            </w:r>
            <w:r>
              <w:rPr>
                <w:rFonts w:hint="eastAsia" w:ascii="宋体" w:hAnsi="宋体" w:eastAsia="宋体" w:cs="宋体"/>
                <w:i w:val="0"/>
                <w:iCs w:val="0"/>
                <w:color w:val="000000"/>
                <w:kern w:val="0"/>
                <w:sz w:val="18"/>
                <w:szCs w:val="18"/>
                <w:u w:val="none"/>
                <w:lang w:val="en-US" w:eastAsia="zh-CN" w:bidi="ar"/>
              </w:rPr>
              <w:t>：</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696"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1</w:t>
            </w:r>
            <w:r>
              <w:rPr>
                <w:rFonts w:hint="eastAsia" w:ascii="宋体" w:hAnsi="宋体" w:eastAsia="宋体" w:cs="宋体"/>
                <w:i w:val="0"/>
                <w:iCs w:val="0"/>
                <w:color w:val="000000"/>
                <w:kern w:val="0"/>
                <w:sz w:val="18"/>
                <w:szCs w:val="18"/>
                <w:u w:val="none"/>
                <w:lang w:val="en-US" w:eastAsia="zh-CN" w:bidi="ar"/>
              </w:rPr>
              <w:t>：有助于保护城墙本体</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延续性良好</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延续性良好</w:t>
            </w: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696"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2</w:t>
            </w:r>
            <w:r>
              <w:rPr>
                <w:rFonts w:hint="eastAsia" w:ascii="宋体" w:hAnsi="宋体" w:eastAsia="宋体" w:cs="宋体"/>
                <w:i w:val="0"/>
                <w:iCs w:val="0"/>
                <w:color w:val="000000"/>
                <w:kern w:val="0"/>
                <w:sz w:val="18"/>
                <w:szCs w:val="18"/>
                <w:u w:val="none"/>
                <w:lang w:val="en-US" w:eastAsia="zh-CN" w:bidi="ar"/>
              </w:rPr>
              <w:t>：促进古城墙旅游资源的利用</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影响长远</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影响长远</w:t>
            </w: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696"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满意度指标</w:t>
            </w: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1</w:t>
            </w:r>
            <w:r>
              <w:rPr>
                <w:rFonts w:hint="eastAsia" w:ascii="宋体" w:hAnsi="宋体" w:eastAsia="宋体" w:cs="宋体"/>
                <w:i w:val="0"/>
                <w:iCs w:val="0"/>
                <w:color w:val="000000"/>
                <w:kern w:val="0"/>
                <w:sz w:val="18"/>
                <w:szCs w:val="18"/>
                <w:u w:val="none"/>
                <w:lang w:val="en-US" w:eastAsia="zh-CN" w:bidi="ar"/>
              </w:rPr>
              <w:t>：文物部门满意度</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1027"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Narrow" w:hAnsi="Arial Narrow" w:eastAsia="Arial Narrow" w:cs="Arial Narrow"/>
                <w:i w:val="0"/>
                <w:iCs w:val="0"/>
                <w:color w:val="000000"/>
                <w:sz w:val="18"/>
                <w:szCs w:val="18"/>
                <w:u w:val="none"/>
              </w:rPr>
            </w:pPr>
            <w:r>
              <w:rPr>
                <w:rFonts w:hint="default" w:ascii="Arial Narrow" w:hAnsi="Arial Narrow" w:eastAsia="Arial Narrow" w:cs="Arial Narrow"/>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指标</w:t>
            </w:r>
            <w:r>
              <w:rPr>
                <w:rStyle w:val="7"/>
                <w:lang w:val="en-US" w:eastAsia="zh-CN" w:bidi="ar"/>
              </w:rPr>
              <w:t>2</w:t>
            </w:r>
            <w:r>
              <w:rPr>
                <w:rFonts w:hint="eastAsia" w:ascii="宋体" w:hAnsi="宋体" w:eastAsia="宋体" w:cs="宋体"/>
                <w:i w:val="0"/>
                <w:iCs w:val="0"/>
                <w:color w:val="000000"/>
                <w:kern w:val="0"/>
                <w:sz w:val="18"/>
                <w:szCs w:val="18"/>
                <w:u w:val="none"/>
                <w:lang w:val="en-US" w:eastAsia="zh-CN" w:bidi="ar"/>
              </w:rPr>
              <w:t>：游客满意度</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551" w:type="dxa"/>
          <w:trHeight w:val="560" w:hRule="atLeast"/>
        </w:trPr>
        <w:tc>
          <w:tcPr>
            <w:tcW w:w="6490"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6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8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9" w:hRule="atLeast"/>
        </w:trPr>
        <w:tc>
          <w:tcPr>
            <w:tcW w:w="10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项目绩效  分析</w:t>
            </w:r>
          </w:p>
        </w:tc>
        <w:tc>
          <w:tcPr>
            <w:tcW w:w="10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自评结果  分析</w:t>
            </w: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项目实施和预算执行情况及分析</w:t>
            </w:r>
          </w:p>
        </w:tc>
        <w:tc>
          <w:tcPr>
            <w:tcW w:w="604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该项目维护文物本体安全稳定状态，维持景区正常运行，有效保护和利用大同古城墙，展示大同市历史风貌与现状，提高知名度，提升城市文化品位，促进旅游业发展，树立大同旅游品牌新形象。预算因财政拨款不到位未完全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7" w:hRule="atLeast"/>
        </w:trPr>
        <w:tc>
          <w:tcPr>
            <w:tcW w:w="10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产出情况及分析</w:t>
            </w:r>
          </w:p>
        </w:tc>
        <w:tc>
          <w:tcPr>
            <w:tcW w:w="604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预算资金完成率达到65.75%，基本完成了年初预算安排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7" w:hRule="atLeast"/>
        </w:trPr>
        <w:tc>
          <w:tcPr>
            <w:tcW w:w="10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效益情况及分析</w:t>
            </w:r>
          </w:p>
        </w:tc>
        <w:tc>
          <w:tcPr>
            <w:tcW w:w="604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通过项目的运行，取得良好的经济及社会效益，达到了预期。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7" w:hRule="atLeast"/>
        </w:trPr>
        <w:tc>
          <w:tcPr>
            <w:tcW w:w="10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满意度情况及分析</w:t>
            </w:r>
          </w:p>
        </w:tc>
        <w:tc>
          <w:tcPr>
            <w:tcW w:w="604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上级文物部门与群众满意度较高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30" w:hRule="atLeast"/>
        </w:trPr>
        <w:tc>
          <w:tcPr>
            <w:tcW w:w="10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主要经验做法</w:t>
            </w:r>
          </w:p>
        </w:tc>
        <w:tc>
          <w:tcPr>
            <w:tcW w:w="604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项目在实施过程中严格履行预算安排，规范使用资金，实现资金使用效率最优化。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05" w:hRule="atLeast"/>
        </w:trPr>
        <w:tc>
          <w:tcPr>
            <w:tcW w:w="10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项目管理中存在的主要问题及原因分析</w:t>
            </w:r>
          </w:p>
        </w:tc>
        <w:tc>
          <w:tcPr>
            <w:tcW w:w="604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项目整体资金安排与使用仍存在不足，对项目支出运行实践经验仍有欠缺，以及财政资金未能足额拨付，导致当年预算未能100%执行完毕。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0" w:hRule="atLeast"/>
        </w:trPr>
        <w:tc>
          <w:tcPr>
            <w:tcW w:w="10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下一步改进措施及管理建议</w:t>
            </w:r>
          </w:p>
        </w:tc>
        <w:tc>
          <w:tcPr>
            <w:tcW w:w="604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在财政资金足额到位的情况尽可能做到科学合理的分配资金，保障各项工作有序开展。</w:t>
            </w:r>
          </w:p>
        </w:tc>
      </w:tr>
    </w:tbl>
    <w:p>
      <w:pPr>
        <w:rPr>
          <w:rFonts w:hint="default" w:ascii="仿宋_GB2312" w:hAnsi="仿宋_GB2312" w:eastAsia="仿宋_GB2312" w:cs="仿宋_GB2312"/>
          <w:sz w:val="32"/>
          <w:szCs w:val="32"/>
          <w:lang w:val="en-US" w:eastAsia="zh-CN"/>
        </w:rPr>
      </w:pPr>
    </w:p>
    <w:p>
      <w:pPr>
        <w:numPr>
          <w:ilvl w:val="0"/>
          <w:numId w:val="4"/>
        </w:numPr>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部门评价项目绩效评价结果。</w:t>
      </w:r>
    </w:p>
    <w:p>
      <w:pPr>
        <w:numPr>
          <w:ilvl w:val="0"/>
          <w:numId w:val="0"/>
        </w:numPr>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sz w:val="32"/>
          <w:szCs w:val="32"/>
          <w:lang w:val="en-US" w:eastAsia="zh-CN"/>
        </w:rPr>
        <w:t>本年没有进行第三方重点评价。</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(五)其他需要说明的事项第四部分名词解释</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部门应当按照部门预算管理要求，对本部门涉及的专业名词进行解释。</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一、财政拨款收入:</w:t>
      </w:r>
      <w:r>
        <w:rPr>
          <w:rFonts w:hint="eastAsia" w:ascii="仿宋_GB2312" w:hAnsi="仿宋_GB2312" w:eastAsia="仿宋_GB2312" w:cs="仿宋_GB2312"/>
          <w:sz w:val="32"/>
          <w:szCs w:val="32"/>
        </w:rPr>
        <w:t>指单位从同级财政部门取得的财政预算资金。</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二、事业收入:</w:t>
      </w:r>
      <w:r>
        <w:rPr>
          <w:rFonts w:hint="eastAsia" w:ascii="仿宋_GB2312" w:hAnsi="仿宋_GB2312" w:eastAsia="仿宋_GB2312" w:cs="仿宋_GB2312"/>
          <w:sz w:val="32"/>
          <w:szCs w:val="32"/>
        </w:rPr>
        <w:t>指事业单位开展专业业务活动及辅助活动取得的收入。</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三、经营收入:</w:t>
      </w:r>
      <w:r>
        <w:rPr>
          <w:rFonts w:hint="eastAsia" w:ascii="仿宋_GB2312" w:hAnsi="仿宋_GB2312" w:eastAsia="仿宋_GB2312" w:cs="仿宋_GB2312"/>
          <w:sz w:val="32"/>
          <w:szCs w:val="32"/>
        </w:rPr>
        <w:t>指事业单位在专业业务活动及其辅助活动之外开展非独立核算经营活动取得的收入。</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四、其他收入:</w:t>
      </w:r>
      <w:r>
        <w:rPr>
          <w:rFonts w:hint="eastAsia" w:ascii="仿宋_GB2312" w:hAnsi="仿宋_GB2312" w:eastAsia="仿宋_GB2312" w:cs="仿宋_GB2312"/>
          <w:sz w:val="32"/>
          <w:szCs w:val="32"/>
        </w:rPr>
        <w:t>指单位取得的除上述收入以外的各项收入。主要是事业单位固定资产出租收入、存款利息收入等。</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五、使用非财政拨款结余:</w:t>
      </w:r>
      <w:r>
        <w:rPr>
          <w:rFonts w:hint="eastAsia" w:ascii="仿宋_GB2312" w:hAnsi="仿宋_GB2312" w:eastAsia="仿宋_GB2312" w:cs="仿宋_GB2312"/>
          <w:sz w:val="32"/>
          <w:szCs w:val="32"/>
        </w:rPr>
        <w:t>指事业单位使用以前年度积累的非财政拨款结余弥补当年收支差额的金额。</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六、年初结转和结余:</w:t>
      </w:r>
      <w:r>
        <w:rPr>
          <w:rFonts w:hint="eastAsia" w:ascii="仿宋_GB2312" w:hAnsi="仿宋_GB2312" w:eastAsia="仿宋_GB2312" w:cs="仿宋_GB2312"/>
          <w:sz w:val="32"/>
          <w:szCs w:val="32"/>
        </w:rPr>
        <w:t>指单位以前年度尚未完成、结转到本年仍按原规定用途继续使用的资金，或项目已完成等产生的结余资金。</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七、结余分配:</w:t>
      </w:r>
      <w:r>
        <w:rPr>
          <w:rFonts w:hint="eastAsia" w:ascii="仿宋_GB2312" w:hAnsi="仿宋_GB2312" w:eastAsia="仿宋_GB2312" w:cs="仿宋_GB2312"/>
          <w:sz w:val="32"/>
          <w:szCs w:val="32"/>
        </w:rPr>
        <w:t>指事业单位按照会计制度规定缴纳的所得税、提取的专用结余以及转入非财政拨款结余的金额等。</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八、年末结转和结余:</w:t>
      </w:r>
      <w:r>
        <w:rPr>
          <w:rFonts w:hint="eastAsia" w:ascii="仿宋_GB2312" w:hAnsi="仿宋_GB2312" w:eastAsia="仿宋_GB2312" w:cs="仿宋_GB2312"/>
          <w:sz w:val="32"/>
          <w:szCs w:val="32"/>
        </w:rPr>
        <w:t>指单位按有关规定结转到下年或以后年度继续使用的资金，或项目已完成等产生的结余资金。</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九、基本支出:</w:t>
      </w:r>
      <w:r>
        <w:rPr>
          <w:rFonts w:hint="eastAsia" w:ascii="仿宋_GB2312" w:hAnsi="仿宋_GB2312" w:eastAsia="仿宋_GB2312" w:cs="仿宋_GB2312"/>
          <w:sz w:val="32"/>
          <w:szCs w:val="32"/>
        </w:rPr>
        <w:t>指为保障机构正常运转、完成日常工作任务而发生的人员支出和公用支出。</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十、项目支出:</w:t>
      </w:r>
      <w:r>
        <w:rPr>
          <w:rFonts w:hint="eastAsia" w:ascii="仿宋_GB2312" w:hAnsi="仿宋_GB2312" w:eastAsia="仿宋_GB2312" w:cs="仿宋_GB2312"/>
          <w:sz w:val="32"/>
          <w:szCs w:val="32"/>
        </w:rPr>
        <w:t>指在基本支出之外为完成特定行政任务和事业发展目标所发生的支出。</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十一、“三公”经费:</w:t>
      </w:r>
      <w:r>
        <w:rPr>
          <w:rFonts w:hint="eastAsia" w:ascii="仿宋_GB2312" w:hAnsi="仿宋_GB2312" w:eastAsia="仿宋_GB2312" w:cs="仿宋_GB2312"/>
          <w:sz w:val="3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十二、机关运行经费:</w:t>
      </w:r>
      <w:r>
        <w:rPr>
          <w:rFonts w:hint="eastAsia" w:ascii="仿宋_GB2312" w:hAnsi="仿宋_GB2312" w:eastAsia="仿宋_GB2312" w:cs="仿宋_GB2312"/>
          <w:sz w:val="32"/>
          <w:szCs w:val="32"/>
        </w:rPr>
        <w:t>指行政单位和参照公务员法管理的事业单位使用一般公共预算安排的基本支出中的日常公用经费支出。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第五部分 附件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各单位需要其他说明的事项可在附件中添加。</w:t>
      </w: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Narrow">
    <w:panose1 w:val="020B0606020202030204"/>
    <w:charset w:val="00"/>
    <w:family w:val="auto"/>
    <w:pitch w:val="default"/>
    <w:sig w:usb0="00000287" w:usb1="00000800" w:usb2="00000000" w:usb3="00000000" w:csb0="2000009F" w:csb1="DFD70000"/>
  </w:font>
  <w:font w:name="仿宋_GB2312">
    <w:panose1 w:val="02010609030101010101"/>
    <w:charset w:val="86"/>
    <w:family w:val="auto"/>
    <w:pitch w:val="default"/>
    <w:sig w:usb0="00000001" w:usb1="080E0000" w:usb2="00000000" w:usb3="00000000" w:csb0="00040000" w:csb1="00000000"/>
  </w:font>
  <w:font w:name="SimSun-ExtB">
    <w:panose1 w:val="02010609060101010101"/>
    <w:charset w:val="86"/>
    <w:family w:val="modern"/>
    <w:pitch w:val="default"/>
    <w:sig w:usb0="00000001" w:usb1="02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553AFB"/>
    <w:multiLevelType w:val="singleLevel"/>
    <w:tmpl w:val="88553AFB"/>
    <w:lvl w:ilvl="0" w:tentative="0">
      <w:start w:val="2"/>
      <w:numFmt w:val="chineseCounting"/>
      <w:suff w:val="nothing"/>
      <w:lvlText w:val="（%1）"/>
      <w:lvlJc w:val="left"/>
      <w:pPr>
        <w:ind w:left="320" w:leftChars="0" w:firstLine="0" w:firstLineChars="0"/>
      </w:pPr>
      <w:rPr>
        <w:rFonts w:hint="eastAsia"/>
      </w:rPr>
    </w:lvl>
  </w:abstractNum>
  <w:abstractNum w:abstractNumId="1">
    <w:nsid w:val="978F3150"/>
    <w:multiLevelType w:val="singleLevel"/>
    <w:tmpl w:val="978F3150"/>
    <w:lvl w:ilvl="0" w:tentative="0">
      <w:start w:val="2"/>
      <w:numFmt w:val="chineseCounting"/>
      <w:suff w:val="nothing"/>
      <w:lvlText w:val="%1、"/>
      <w:lvlJc w:val="left"/>
      <w:rPr>
        <w:rFonts w:hint="eastAsia"/>
      </w:rPr>
    </w:lvl>
  </w:abstractNum>
  <w:abstractNum w:abstractNumId="2">
    <w:nsid w:val="A43BCDE6"/>
    <w:multiLevelType w:val="singleLevel"/>
    <w:tmpl w:val="A43BCDE6"/>
    <w:lvl w:ilvl="0" w:tentative="0">
      <w:start w:val="5"/>
      <w:numFmt w:val="chineseCounting"/>
      <w:suff w:val="nothing"/>
      <w:lvlText w:val="%1、"/>
      <w:lvlJc w:val="left"/>
      <w:rPr>
        <w:rFonts w:hint="eastAsia"/>
      </w:rPr>
    </w:lvl>
  </w:abstractNum>
  <w:abstractNum w:abstractNumId="3">
    <w:nsid w:val="552C68F2"/>
    <w:multiLevelType w:val="singleLevel"/>
    <w:tmpl w:val="552C68F2"/>
    <w:lvl w:ilvl="0" w:tentative="0">
      <w:start w:val="3"/>
      <w:numFmt w:val="decimal"/>
      <w:lvlText w:val="(%1)"/>
      <w:lvlJc w:val="left"/>
      <w:pPr>
        <w:tabs>
          <w:tab w:val="left" w:pos="312"/>
        </w:tabs>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4ZTJlZDVjZTlhYTRlZDRhYmM0NzQwYmQwYzhiNmMifQ=="/>
  </w:docVars>
  <w:rsids>
    <w:rsidRoot w:val="00000000"/>
    <w:rsid w:val="00757B9E"/>
    <w:rsid w:val="00D479B0"/>
    <w:rsid w:val="012E3726"/>
    <w:rsid w:val="013B3D8E"/>
    <w:rsid w:val="014557C2"/>
    <w:rsid w:val="01916C5A"/>
    <w:rsid w:val="02447828"/>
    <w:rsid w:val="024E06A7"/>
    <w:rsid w:val="02C0440A"/>
    <w:rsid w:val="036021E7"/>
    <w:rsid w:val="03A80647"/>
    <w:rsid w:val="045F303F"/>
    <w:rsid w:val="04671920"/>
    <w:rsid w:val="04B0389B"/>
    <w:rsid w:val="04D70DAB"/>
    <w:rsid w:val="04DE21B6"/>
    <w:rsid w:val="04E31B4D"/>
    <w:rsid w:val="05031C1C"/>
    <w:rsid w:val="0571302A"/>
    <w:rsid w:val="0644429B"/>
    <w:rsid w:val="065B7836"/>
    <w:rsid w:val="075E138C"/>
    <w:rsid w:val="077C5CB6"/>
    <w:rsid w:val="09654833"/>
    <w:rsid w:val="09854515"/>
    <w:rsid w:val="0A60366D"/>
    <w:rsid w:val="0A726EFC"/>
    <w:rsid w:val="0A894972"/>
    <w:rsid w:val="0AE41BA8"/>
    <w:rsid w:val="0AEE0C79"/>
    <w:rsid w:val="0B294D6C"/>
    <w:rsid w:val="0C8E44C1"/>
    <w:rsid w:val="0C942E80"/>
    <w:rsid w:val="0CDC175D"/>
    <w:rsid w:val="0CF34325"/>
    <w:rsid w:val="0CF449BB"/>
    <w:rsid w:val="0CFF716D"/>
    <w:rsid w:val="0DB5782C"/>
    <w:rsid w:val="0E010CC3"/>
    <w:rsid w:val="0E2D3866"/>
    <w:rsid w:val="0E476571"/>
    <w:rsid w:val="0E66752F"/>
    <w:rsid w:val="0EA37FCC"/>
    <w:rsid w:val="0EBA6EB9"/>
    <w:rsid w:val="0F0D5446"/>
    <w:rsid w:val="0FA8725B"/>
    <w:rsid w:val="0FCB3337"/>
    <w:rsid w:val="102445DE"/>
    <w:rsid w:val="1045758D"/>
    <w:rsid w:val="1081237E"/>
    <w:rsid w:val="10FB7C4C"/>
    <w:rsid w:val="10FC0B37"/>
    <w:rsid w:val="112C42A9"/>
    <w:rsid w:val="11333889"/>
    <w:rsid w:val="130A23C8"/>
    <w:rsid w:val="132C233E"/>
    <w:rsid w:val="139D4167"/>
    <w:rsid w:val="13F60B0E"/>
    <w:rsid w:val="140D5483"/>
    <w:rsid w:val="143811B7"/>
    <w:rsid w:val="143D5922"/>
    <w:rsid w:val="14587163"/>
    <w:rsid w:val="146C271F"/>
    <w:rsid w:val="14885C9A"/>
    <w:rsid w:val="153D734A"/>
    <w:rsid w:val="157D1577"/>
    <w:rsid w:val="15800CE9"/>
    <w:rsid w:val="15846E38"/>
    <w:rsid w:val="15B84EEB"/>
    <w:rsid w:val="15C667B6"/>
    <w:rsid w:val="15E50ECA"/>
    <w:rsid w:val="15FD4466"/>
    <w:rsid w:val="16191026"/>
    <w:rsid w:val="162C6D58"/>
    <w:rsid w:val="16B20DAC"/>
    <w:rsid w:val="173E0E11"/>
    <w:rsid w:val="17BA3FD5"/>
    <w:rsid w:val="18185587"/>
    <w:rsid w:val="18253800"/>
    <w:rsid w:val="18430023"/>
    <w:rsid w:val="18A17407"/>
    <w:rsid w:val="18DA45EA"/>
    <w:rsid w:val="192561AE"/>
    <w:rsid w:val="19397563"/>
    <w:rsid w:val="1A09162B"/>
    <w:rsid w:val="1AA44EB0"/>
    <w:rsid w:val="1B1A6B4A"/>
    <w:rsid w:val="1B4B7A22"/>
    <w:rsid w:val="1BCE0F40"/>
    <w:rsid w:val="1BE06867"/>
    <w:rsid w:val="1C66081D"/>
    <w:rsid w:val="1D412E8A"/>
    <w:rsid w:val="1D9F155F"/>
    <w:rsid w:val="1F093E7B"/>
    <w:rsid w:val="1F2B71AF"/>
    <w:rsid w:val="1F483FE8"/>
    <w:rsid w:val="1FA4044B"/>
    <w:rsid w:val="1FFB1C0A"/>
    <w:rsid w:val="20051BF8"/>
    <w:rsid w:val="2031091D"/>
    <w:rsid w:val="20407429"/>
    <w:rsid w:val="20515ADA"/>
    <w:rsid w:val="20BD3E04"/>
    <w:rsid w:val="21093CBF"/>
    <w:rsid w:val="210C1A01"/>
    <w:rsid w:val="21AD6D40"/>
    <w:rsid w:val="227C0FAA"/>
    <w:rsid w:val="22A77C33"/>
    <w:rsid w:val="22F36DE9"/>
    <w:rsid w:val="23737B15"/>
    <w:rsid w:val="23A10B26"/>
    <w:rsid w:val="23DF3869"/>
    <w:rsid w:val="23E704BC"/>
    <w:rsid w:val="2436153C"/>
    <w:rsid w:val="24CF7DCE"/>
    <w:rsid w:val="24FB4B6D"/>
    <w:rsid w:val="25742D1E"/>
    <w:rsid w:val="262C23E2"/>
    <w:rsid w:val="27667E20"/>
    <w:rsid w:val="27B95FD3"/>
    <w:rsid w:val="28541D39"/>
    <w:rsid w:val="285C6DCA"/>
    <w:rsid w:val="28C3509B"/>
    <w:rsid w:val="28D64DCE"/>
    <w:rsid w:val="29567CBD"/>
    <w:rsid w:val="296E4909"/>
    <w:rsid w:val="299F1664"/>
    <w:rsid w:val="29E057D9"/>
    <w:rsid w:val="2AA116A1"/>
    <w:rsid w:val="2AE34604"/>
    <w:rsid w:val="2B7B467E"/>
    <w:rsid w:val="2C0D0EEF"/>
    <w:rsid w:val="2C4D184B"/>
    <w:rsid w:val="2C5C383D"/>
    <w:rsid w:val="2CA3146B"/>
    <w:rsid w:val="2D0D234A"/>
    <w:rsid w:val="2D2F71A3"/>
    <w:rsid w:val="2D4F41C3"/>
    <w:rsid w:val="2D8828F9"/>
    <w:rsid w:val="2DED3CC6"/>
    <w:rsid w:val="2E1E7FBF"/>
    <w:rsid w:val="2E7270C5"/>
    <w:rsid w:val="2EB628DA"/>
    <w:rsid w:val="2F212B1B"/>
    <w:rsid w:val="30C419B0"/>
    <w:rsid w:val="30D1743A"/>
    <w:rsid w:val="310821E5"/>
    <w:rsid w:val="317A4765"/>
    <w:rsid w:val="318F6462"/>
    <w:rsid w:val="31B934DF"/>
    <w:rsid w:val="31D71BB7"/>
    <w:rsid w:val="321866D2"/>
    <w:rsid w:val="325D030E"/>
    <w:rsid w:val="327555D2"/>
    <w:rsid w:val="33826F8A"/>
    <w:rsid w:val="33EB3EE5"/>
    <w:rsid w:val="340824FC"/>
    <w:rsid w:val="340D366E"/>
    <w:rsid w:val="34423AB8"/>
    <w:rsid w:val="34793602"/>
    <w:rsid w:val="34F32864"/>
    <w:rsid w:val="354B26A0"/>
    <w:rsid w:val="35700877"/>
    <w:rsid w:val="3583008C"/>
    <w:rsid w:val="36014EA7"/>
    <w:rsid w:val="363C648D"/>
    <w:rsid w:val="364C167F"/>
    <w:rsid w:val="367E6AA5"/>
    <w:rsid w:val="368545F9"/>
    <w:rsid w:val="369167D9"/>
    <w:rsid w:val="36BE445D"/>
    <w:rsid w:val="372B3B94"/>
    <w:rsid w:val="374E1569"/>
    <w:rsid w:val="37582BCA"/>
    <w:rsid w:val="37677539"/>
    <w:rsid w:val="37DA5F5D"/>
    <w:rsid w:val="37F36185"/>
    <w:rsid w:val="387111F1"/>
    <w:rsid w:val="38DD7AB3"/>
    <w:rsid w:val="39EC3CC0"/>
    <w:rsid w:val="3A310E26"/>
    <w:rsid w:val="3A7B3A28"/>
    <w:rsid w:val="3B42010B"/>
    <w:rsid w:val="3B936B4F"/>
    <w:rsid w:val="3BBC60A6"/>
    <w:rsid w:val="3BE9676F"/>
    <w:rsid w:val="3BFF41E4"/>
    <w:rsid w:val="3C0E61D6"/>
    <w:rsid w:val="3C4A1903"/>
    <w:rsid w:val="3C6F4AD6"/>
    <w:rsid w:val="3C983B5D"/>
    <w:rsid w:val="3CF4186F"/>
    <w:rsid w:val="3D037D04"/>
    <w:rsid w:val="3D592046"/>
    <w:rsid w:val="3D934BE4"/>
    <w:rsid w:val="3E895FE7"/>
    <w:rsid w:val="3F1E7077"/>
    <w:rsid w:val="3F2D1069"/>
    <w:rsid w:val="3F3354D2"/>
    <w:rsid w:val="3F400D9C"/>
    <w:rsid w:val="3F6B5DD6"/>
    <w:rsid w:val="3F8425EF"/>
    <w:rsid w:val="3FC512A1"/>
    <w:rsid w:val="3FE0432D"/>
    <w:rsid w:val="3FEE25A6"/>
    <w:rsid w:val="40452EED"/>
    <w:rsid w:val="40966E0B"/>
    <w:rsid w:val="41C9151C"/>
    <w:rsid w:val="421351F9"/>
    <w:rsid w:val="42227333"/>
    <w:rsid w:val="42287632"/>
    <w:rsid w:val="423702A4"/>
    <w:rsid w:val="427C658F"/>
    <w:rsid w:val="429C09DF"/>
    <w:rsid w:val="42E828C1"/>
    <w:rsid w:val="43CC2BFE"/>
    <w:rsid w:val="43D61CCF"/>
    <w:rsid w:val="44305883"/>
    <w:rsid w:val="44EE0607"/>
    <w:rsid w:val="451E0480"/>
    <w:rsid w:val="45796DB6"/>
    <w:rsid w:val="45D92980"/>
    <w:rsid w:val="460A2104"/>
    <w:rsid w:val="46730C99"/>
    <w:rsid w:val="46A41372"/>
    <w:rsid w:val="47723ABC"/>
    <w:rsid w:val="47781149"/>
    <w:rsid w:val="479B4E39"/>
    <w:rsid w:val="47A125F4"/>
    <w:rsid w:val="47A21051"/>
    <w:rsid w:val="480242CF"/>
    <w:rsid w:val="48052B82"/>
    <w:rsid w:val="48414A19"/>
    <w:rsid w:val="48835FA5"/>
    <w:rsid w:val="48AC2FFE"/>
    <w:rsid w:val="48DF33D4"/>
    <w:rsid w:val="490C7F41"/>
    <w:rsid w:val="49EF3AEA"/>
    <w:rsid w:val="4A192915"/>
    <w:rsid w:val="4AB10DA0"/>
    <w:rsid w:val="4BC845F3"/>
    <w:rsid w:val="4C367EB1"/>
    <w:rsid w:val="4C453E95"/>
    <w:rsid w:val="4CAD0AB1"/>
    <w:rsid w:val="4CAF57B3"/>
    <w:rsid w:val="4CBE1552"/>
    <w:rsid w:val="4CF626D0"/>
    <w:rsid w:val="4CFD3CED"/>
    <w:rsid w:val="4D7169A0"/>
    <w:rsid w:val="4D976E15"/>
    <w:rsid w:val="4DB27309"/>
    <w:rsid w:val="4E464341"/>
    <w:rsid w:val="4E8465FF"/>
    <w:rsid w:val="4F94217C"/>
    <w:rsid w:val="4FB2206C"/>
    <w:rsid w:val="50283120"/>
    <w:rsid w:val="50411A70"/>
    <w:rsid w:val="504D3319"/>
    <w:rsid w:val="50F47C38"/>
    <w:rsid w:val="52102E37"/>
    <w:rsid w:val="5292702A"/>
    <w:rsid w:val="52C61160"/>
    <w:rsid w:val="53F70BF3"/>
    <w:rsid w:val="53FF49A6"/>
    <w:rsid w:val="54076151"/>
    <w:rsid w:val="54A4437E"/>
    <w:rsid w:val="54B702A9"/>
    <w:rsid w:val="551563C4"/>
    <w:rsid w:val="5518427A"/>
    <w:rsid w:val="554C0043"/>
    <w:rsid w:val="554C3B9F"/>
    <w:rsid w:val="556F3D31"/>
    <w:rsid w:val="56063496"/>
    <w:rsid w:val="561C5140"/>
    <w:rsid w:val="56C87B9D"/>
    <w:rsid w:val="577B4C0F"/>
    <w:rsid w:val="579E08FE"/>
    <w:rsid w:val="57E00F16"/>
    <w:rsid w:val="582460E1"/>
    <w:rsid w:val="5838277D"/>
    <w:rsid w:val="58931AE5"/>
    <w:rsid w:val="589F538E"/>
    <w:rsid w:val="58E6255C"/>
    <w:rsid w:val="5A5D23AA"/>
    <w:rsid w:val="5AFC7E15"/>
    <w:rsid w:val="5B433C96"/>
    <w:rsid w:val="5B975D90"/>
    <w:rsid w:val="5BCE7A03"/>
    <w:rsid w:val="5BD668B8"/>
    <w:rsid w:val="5CCB7A9F"/>
    <w:rsid w:val="5CD86660"/>
    <w:rsid w:val="5CDD5FC5"/>
    <w:rsid w:val="5D296EBB"/>
    <w:rsid w:val="5D887448"/>
    <w:rsid w:val="5D8B722E"/>
    <w:rsid w:val="5DD93833"/>
    <w:rsid w:val="5E297A57"/>
    <w:rsid w:val="5E3F3128"/>
    <w:rsid w:val="5F200B07"/>
    <w:rsid w:val="5F9A7BFD"/>
    <w:rsid w:val="5FE5531C"/>
    <w:rsid w:val="60093E6D"/>
    <w:rsid w:val="60116111"/>
    <w:rsid w:val="60727A4E"/>
    <w:rsid w:val="60DD2497"/>
    <w:rsid w:val="60EE0200"/>
    <w:rsid w:val="611F3C02"/>
    <w:rsid w:val="61535E2D"/>
    <w:rsid w:val="61E12E07"/>
    <w:rsid w:val="61F37874"/>
    <w:rsid w:val="62E739E8"/>
    <w:rsid w:val="62F12229"/>
    <w:rsid w:val="639F57E1"/>
    <w:rsid w:val="63C12453"/>
    <w:rsid w:val="64025D70"/>
    <w:rsid w:val="6416663C"/>
    <w:rsid w:val="64637915"/>
    <w:rsid w:val="647C184E"/>
    <w:rsid w:val="64F37E7F"/>
    <w:rsid w:val="64FD3107"/>
    <w:rsid w:val="6532281F"/>
    <w:rsid w:val="6558033E"/>
    <w:rsid w:val="65852441"/>
    <w:rsid w:val="660E4EA0"/>
    <w:rsid w:val="66317F98"/>
    <w:rsid w:val="6639016F"/>
    <w:rsid w:val="663F505A"/>
    <w:rsid w:val="667E2026"/>
    <w:rsid w:val="66877BBD"/>
    <w:rsid w:val="66A03D4A"/>
    <w:rsid w:val="66BC48FC"/>
    <w:rsid w:val="66D76AB5"/>
    <w:rsid w:val="67852F40"/>
    <w:rsid w:val="6789068E"/>
    <w:rsid w:val="67D619EE"/>
    <w:rsid w:val="67D628E1"/>
    <w:rsid w:val="67E21013"/>
    <w:rsid w:val="684938C5"/>
    <w:rsid w:val="68CA1553"/>
    <w:rsid w:val="68EF0FB9"/>
    <w:rsid w:val="690F0837"/>
    <w:rsid w:val="695E2DCF"/>
    <w:rsid w:val="696E6382"/>
    <w:rsid w:val="69B87CBC"/>
    <w:rsid w:val="69E14DA6"/>
    <w:rsid w:val="69EE1271"/>
    <w:rsid w:val="6A474C51"/>
    <w:rsid w:val="6A650A85"/>
    <w:rsid w:val="6B777044"/>
    <w:rsid w:val="6B923E7E"/>
    <w:rsid w:val="6BB65DBE"/>
    <w:rsid w:val="6BB838E4"/>
    <w:rsid w:val="6C054650"/>
    <w:rsid w:val="6C0C1E82"/>
    <w:rsid w:val="6CBC5656"/>
    <w:rsid w:val="6CD56938"/>
    <w:rsid w:val="6D176D30"/>
    <w:rsid w:val="6DD040EF"/>
    <w:rsid w:val="6E9E1708"/>
    <w:rsid w:val="6F195402"/>
    <w:rsid w:val="6F3C65DA"/>
    <w:rsid w:val="6FB22D40"/>
    <w:rsid w:val="70131A31"/>
    <w:rsid w:val="701803EE"/>
    <w:rsid w:val="70A95EF1"/>
    <w:rsid w:val="70C63256"/>
    <w:rsid w:val="70D266D0"/>
    <w:rsid w:val="710D66E6"/>
    <w:rsid w:val="71187E45"/>
    <w:rsid w:val="71386A31"/>
    <w:rsid w:val="71791D68"/>
    <w:rsid w:val="718D136F"/>
    <w:rsid w:val="71A00ED1"/>
    <w:rsid w:val="721D26F3"/>
    <w:rsid w:val="7249173A"/>
    <w:rsid w:val="726E73F3"/>
    <w:rsid w:val="72B76997"/>
    <w:rsid w:val="72BA43E6"/>
    <w:rsid w:val="72C76B03"/>
    <w:rsid w:val="72CC7D9E"/>
    <w:rsid w:val="731004AA"/>
    <w:rsid w:val="73936E39"/>
    <w:rsid w:val="73CA3419"/>
    <w:rsid w:val="740778AB"/>
    <w:rsid w:val="746565D3"/>
    <w:rsid w:val="74820F33"/>
    <w:rsid w:val="74DF3CDB"/>
    <w:rsid w:val="75104791"/>
    <w:rsid w:val="75734D20"/>
    <w:rsid w:val="759401C8"/>
    <w:rsid w:val="75A1363B"/>
    <w:rsid w:val="76A2766B"/>
    <w:rsid w:val="76E71522"/>
    <w:rsid w:val="773D3837"/>
    <w:rsid w:val="77EF540C"/>
    <w:rsid w:val="7840713B"/>
    <w:rsid w:val="78505037"/>
    <w:rsid w:val="78D072B7"/>
    <w:rsid w:val="78D12489"/>
    <w:rsid w:val="793B5B55"/>
    <w:rsid w:val="794650CB"/>
    <w:rsid w:val="798B088A"/>
    <w:rsid w:val="79CD2C51"/>
    <w:rsid w:val="7AC878BC"/>
    <w:rsid w:val="7B784958"/>
    <w:rsid w:val="7BD0061C"/>
    <w:rsid w:val="7BEC1388"/>
    <w:rsid w:val="7BED27A7"/>
    <w:rsid w:val="7C002F14"/>
    <w:rsid w:val="7C246D74"/>
    <w:rsid w:val="7C936203"/>
    <w:rsid w:val="7CB668B5"/>
    <w:rsid w:val="7CF62D57"/>
    <w:rsid w:val="7D3A5216"/>
    <w:rsid w:val="7D44147C"/>
    <w:rsid w:val="7D711B45"/>
    <w:rsid w:val="7D8555F0"/>
    <w:rsid w:val="7DE467BB"/>
    <w:rsid w:val="7EBC7738"/>
    <w:rsid w:val="7EF82C92"/>
    <w:rsid w:val="7F262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81"/>
    <w:basedOn w:val="3"/>
    <w:uiPriority w:val="0"/>
    <w:rPr>
      <w:rFonts w:hint="eastAsia" w:ascii="宋体" w:hAnsi="宋体" w:eastAsia="宋体" w:cs="宋体"/>
      <w:color w:val="000000"/>
      <w:sz w:val="18"/>
      <w:szCs w:val="18"/>
      <w:u w:val="none"/>
    </w:rPr>
  </w:style>
  <w:style w:type="character" w:customStyle="1" w:styleId="5">
    <w:name w:val="font61"/>
    <w:basedOn w:val="3"/>
    <w:uiPriority w:val="0"/>
    <w:rPr>
      <w:rFonts w:hint="default" w:ascii="Arial Narrow" w:hAnsi="Arial Narrow" w:eastAsia="Arial Narrow" w:cs="Arial Narrow"/>
      <w:color w:val="000000"/>
      <w:sz w:val="18"/>
      <w:szCs w:val="18"/>
      <w:u w:val="none"/>
    </w:rPr>
  </w:style>
  <w:style w:type="character" w:customStyle="1" w:styleId="6">
    <w:name w:val="font71"/>
    <w:basedOn w:val="3"/>
    <w:uiPriority w:val="0"/>
    <w:rPr>
      <w:rFonts w:hint="eastAsia" w:ascii="宋体" w:hAnsi="宋体" w:eastAsia="宋体" w:cs="宋体"/>
      <w:color w:val="000000"/>
      <w:sz w:val="18"/>
      <w:szCs w:val="18"/>
      <w:u w:val="none"/>
    </w:rPr>
  </w:style>
  <w:style w:type="character" w:customStyle="1" w:styleId="7">
    <w:name w:val="font41"/>
    <w:basedOn w:val="3"/>
    <w:uiPriority w:val="0"/>
    <w:rPr>
      <w:rFonts w:hint="default" w:ascii="Arial Narrow" w:hAnsi="Arial Narrow" w:eastAsia="Arial Narrow" w:cs="Arial Narrow"/>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7233</Words>
  <Characters>8113</Characters>
  <Lines>0</Lines>
  <Paragraphs>0</Paragraphs>
  <TotalTime>2</TotalTime>
  <ScaleCrop>false</ScaleCrop>
  <LinksUpToDate>false</LinksUpToDate>
  <CharactersWithSpaces>8253</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2022-07-28T02:15:00Z</dcterms:created>
  <dc:creator>cwh</dc:creator>
  <cp:lastModifiedBy>cwh</cp:lastModifiedBy>
  <dcterms:modified xsi:type="dcterms:W3CDTF">2022-07-28T08:55:11Z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266542CF88DB41D2BE227C43C48E9984</vt:lpwstr>
  </property>
</Properties>
</file>