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1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80"/>
        <w:gridCol w:w="1089"/>
        <w:gridCol w:w="531"/>
        <w:gridCol w:w="900"/>
        <w:gridCol w:w="538"/>
        <w:gridCol w:w="722"/>
        <w:gridCol w:w="615"/>
        <w:gridCol w:w="463"/>
        <w:gridCol w:w="182"/>
        <w:gridCol w:w="360"/>
        <w:gridCol w:w="450"/>
        <w:gridCol w:w="786"/>
        <w:gridCol w:w="1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91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项目支出绩效目标申报表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191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  201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66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申请单位（盖章）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大同市种猪场</w:t>
            </w:r>
          </w:p>
        </w:tc>
        <w:tc>
          <w:tcPr>
            <w:tcW w:w="35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申请日期：201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项目名称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公益二类事业单位政府购买服务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大同市农业农村局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实施单位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大同市种猪场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项目负责人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石建中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5180258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项目类别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□ A类项目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□ B类项目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C类项目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起止时间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201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    至    201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项目概况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马身猪是列入国家遗传资源保护名录的濒危猪种，保护及利用它的优良基因对全国的养猪业发展具有重要的意义。大同市种猪场主要从事马身猪保护工作。</w:t>
            </w:r>
          </w:p>
          <w:p>
            <w:pPr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资金大部分用于发放所有员工工资、养老保险、失业保险、医疗保险和职业年金。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项目立项情况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设立依据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同财预【2018】48号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如何支持大同经济发展转型及部门事业发展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致力于马身猪保护工作，保障部门日常工作的开展，保障单位行使管理职能的发挥。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保证项目顺利实施的制度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及资金管理办法</w:t>
            </w:r>
          </w:p>
        </w:tc>
        <w:tc>
          <w:tcPr>
            <w:tcW w:w="6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严格按照财务管理制度执行，并建立专账，专款专用。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项目资金申请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（万元）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资金总额：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财政拨款：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项目实施进度计划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项目实施内容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开始时间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1、按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月发放员工工资、养老保险、失业保险、医疗保险和职业年金。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2019 年1月 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2019年 12 月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项目绩效目标</w:t>
            </w:r>
          </w:p>
        </w:tc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总目标</w:t>
            </w:r>
          </w:p>
        </w:tc>
        <w:tc>
          <w:tcPr>
            <w:tcW w:w="683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 w:firstLineChars="20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保障本单位人员经费和工作开展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，使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马身猪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这一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列入国家遗传资源保护名录的濒危猪种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得到有效地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保护及利用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8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分解目标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指标内容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实施程度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日常工作完成情况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日常工作保障率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日常工作开展周期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4、部门履职能力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其他需说明的问题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主管部门审核意见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财政部门审核意见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91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填报单位负责人（签名）：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石建中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填报人：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高志斌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联系电话：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13994335053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</w:t>
            </w: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80FEA"/>
    <w:rsid w:val="0F835E8E"/>
    <w:rsid w:val="46C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11619</dc:creator>
  <cp:lastModifiedBy>翊嗔</cp:lastModifiedBy>
  <dcterms:modified xsi:type="dcterms:W3CDTF">2019-03-06T02:29:13Z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