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sz w:val="20"/>
        </w:rPr>
      </w:pPr>
      <w:r>
        <w:pict>
          <v:shape id="_x0000_s1026" o:spid="_x0000_s1026" o:spt="202" type="#_x0000_t202" style="position:absolute;left:0pt;margin-left:304.65pt;margin-top:790.3pt;height:15.7pt;width:6.6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14" w:lineRule="exact"/>
                    <w:ind w:left="0" w:right="0" w:firstLine="0"/>
                    <w:jc w:val="left"/>
                    <w:rPr>
                      <w:rFonts w:ascii="Segoe Print"/>
                      <w:sz w:val="18"/>
                    </w:rPr>
                  </w:pPr>
                  <w:r>
                    <w:rPr>
                      <w:rFonts w:ascii="Segoe Print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3340735</wp:posOffset>
            </wp:positionV>
            <wp:extent cx="7556500" cy="7352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352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5"/>
        <w:rPr>
          <w:rFonts w:ascii="Times New Roman"/>
          <w:sz w:val="26"/>
        </w:rPr>
      </w:pPr>
    </w:p>
    <w:p>
      <w:pPr>
        <w:spacing w:before="0" w:line="1195" w:lineRule="exact"/>
        <w:ind w:left="0" w:right="478" w:firstLine="0"/>
        <w:jc w:val="center"/>
        <w:rPr>
          <w:rFonts w:hint="eastAsia" w:eastAsia="宋体"/>
          <w:b/>
          <w:sz w:val="96"/>
          <w:lang w:eastAsia="zh-CN"/>
        </w:rPr>
      </w:pPr>
      <w:r>
        <w:rPr>
          <w:b/>
          <w:color w:val="16992C"/>
          <w:sz w:val="96"/>
        </w:rPr>
        <w:t>大同市能源</w:t>
      </w:r>
      <w:r>
        <w:rPr>
          <w:rFonts w:hint="eastAsia"/>
          <w:b/>
          <w:color w:val="16992C"/>
          <w:sz w:val="96"/>
          <w:lang w:eastAsia="zh-CN"/>
        </w:rPr>
        <w:t>发展中心</w:t>
      </w:r>
    </w:p>
    <w:p>
      <w:pPr>
        <w:spacing w:before="15"/>
        <w:ind w:left="0" w:right="464" w:firstLine="0"/>
        <w:jc w:val="center"/>
        <w:rPr>
          <w:sz w:val="96"/>
        </w:rPr>
        <w:sectPr>
          <w:headerReference r:id="rId5" w:type="default"/>
          <w:footerReference r:id="rId6" w:type="default"/>
          <w:type w:val="continuous"/>
          <w:pgSz w:w="11900" w:h="16840"/>
          <w:pgMar w:top="1600" w:right="20" w:bottom="0" w:left="260" w:header="720" w:footer="720" w:gutter="0"/>
          <w:pgNumType w:fmt="decimal"/>
          <w:cols w:space="720" w:num="1"/>
        </w:sectPr>
      </w:pPr>
      <w:r>
        <w:rPr>
          <w:b/>
          <w:color w:val="16992C"/>
          <w:sz w:val="96"/>
        </w:rPr>
        <w:t>20</w:t>
      </w:r>
      <w:r>
        <w:rPr>
          <w:rFonts w:hint="eastAsia"/>
          <w:b/>
          <w:color w:val="16992C"/>
          <w:sz w:val="96"/>
          <w:lang w:val="en-US" w:eastAsia="zh-CN"/>
        </w:rPr>
        <w:t>21</w:t>
      </w:r>
      <w:r>
        <w:rPr>
          <w:b/>
          <w:color w:val="16992C"/>
          <w:sz w:val="96"/>
        </w:rPr>
        <w:t>年度预算</w:t>
      </w:r>
    </w:p>
    <w:p>
      <w:pPr>
        <w:spacing w:after="0"/>
      </w:pPr>
      <w:bookmarkStart w:id="0" w:name="目录"/>
      <w:bookmarkEnd w:id="0"/>
      <w:bookmarkStart w:id="1" w:name="第一部分  概况3"/>
      <w:bookmarkEnd w:id="1"/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  <w:r>
        <w:pict>
          <v:group id="_x0000_s1062" o:spid="_x0000_s1062" o:spt="203" style="position:absolute;left:0pt;margin-left:0pt;margin-top:0pt;height:842pt;width:595pt;mso-position-horizontal-relative:page;mso-position-vertical-relative:page;z-index:-251654144;mso-width-relative:page;mso-height-relative:page;" coordsize="11900,16840">
            <o:lock v:ext="edit"/>
            <v:shape id="_x0000_s1063" o:spid="_x0000_s1063" o:spt="75" type="#_x0000_t75" style="position:absolute;left:1800;top:15455;height:19;width:8271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64" o:spid="_x0000_s1064" o:spt="75" type="#_x0000_t75" style="position:absolute;left:1819;top:1118;height:265;width:8237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65" o:spid="_x0000_s1065" o:spt="75" type="#_x0000_t75" style="position:absolute;left:0;top:0;height:16840;width:11900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</v:group>
        </w:pic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pStyle w:val="6"/>
        <w:spacing w:before="1"/>
        <w:rPr>
          <w:rFonts w:ascii="Times New Roman"/>
          <w:sz w:val="19"/>
        </w:rPr>
      </w:pPr>
    </w:p>
    <w:p>
      <w:pPr>
        <w:pStyle w:val="3"/>
        <w:spacing w:line="579" w:lineRule="exact"/>
        <w:ind w:left="2020"/>
      </w:pPr>
      <w:r>
        <w:rPr>
          <w:rFonts w:hint="eastAsia" w:ascii="Meiryo UI" w:eastAsia="Meiryo UI"/>
          <w:w w:val="105"/>
        </w:rPr>
        <w:t>⼀</w:t>
      </w:r>
      <w:r>
        <w:rPr>
          <w:w w:val="105"/>
        </w:rPr>
        <w:t>、本</w:t>
      </w:r>
      <w:r>
        <w:rPr>
          <w:rFonts w:hint="eastAsia"/>
          <w:w w:val="105"/>
          <w:lang w:eastAsia="zh-CN"/>
        </w:rPr>
        <w:t>单位</w:t>
      </w:r>
      <w:r>
        <w:rPr>
          <w:w w:val="105"/>
        </w:rPr>
        <w:t>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（一）贯彻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国家和省能源发展的方针政策、法律法规和市委、市政府的决策部署，为开展能源革命综合改革，实现能源行业高质量转型发展提供技术支持、决策支持。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（二）围绕能源革命综合改革，组织开展能源生产和消费革命战略、供给体系、用能模式、科技创新、体制改革和能源领域全局性、战略性、前瞻性、长期性问题的研究，提出相关政策建议。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（三）研究分析国内外能源行业发展趋势。跟踪、研究、培育能源新产业、新业态、新模式。引进、推广能源新技术、新工艺、新装备。开展能源领域技术交流合作。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（四）开展能源行业经济运行态势分析，动态跟踪监测能源领域信息数据，提出发展预测和政策建议。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（五）研究和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协助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编制能源发展规划和行业专项发展规划。开展能源行业规范、规程、标准研究，为能源行业管理提供技术和服务保障。承担能源行业国家标准的推广应用工作。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开展节能法律法规、政策规定的宣传普及，参与节能标准的研究拟定工作。负责全市节能工作的监测监控工作，对重点耗能企业实施即时节能监测，定时公报或通报能耗情况，对企业节能情况进行跟踪指导和服务。为节能工作行政决策提供科学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七）研究我市新能源产业布局，为我市新能源产业重大决策及制定新能源产业政策提供咨询、建议；做好我市新能源、可再生能源、农村电网、农村能源和光伏发电等新能源产业的技术服务工作；承担新能源产业发展和全市“能源革命”的推介、服务、宣传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（八）承担上级主管部门交办的其他任务。</w:t>
      </w:r>
    </w:p>
    <w:p>
      <w:pPr>
        <w:spacing w:before="0" w:line="407" w:lineRule="exact"/>
        <w:ind w:left="2060" w:right="0" w:firstLine="0"/>
        <w:jc w:val="left"/>
        <w:rPr>
          <w:sz w:val="32"/>
        </w:rPr>
        <w:sectPr>
          <w:headerReference r:id="rId7" w:type="default"/>
          <w:footerReference r:id="rId8" w:type="default"/>
          <w:pgSz w:w="11900" w:h="16840"/>
          <w:pgMar w:top="1360" w:right="20" w:bottom="1380" w:left="260" w:header="1173" w:footer="1184" w:gutter="0"/>
          <w:pgNumType w:fmt="decimal"/>
          <w:cols w:space="720" w:num="1"/>
        </w:sectPr>
      </w:pPr>
    </w:p>
    <w:p>
      <w:pPr>
        <w:spacing w:before="0" w:line="340" w:lineRule="auto"/>
        <w:ind w:left="1420" w:right="1239" w:firstLine="640"/>
        <w:jc w:val="both"/>
        <w:rPr>
          <w:sz w:val="32"/>
        </w:rPr>
      </w:pPr>
    </w:p>
    <w:p>
      <w:pPr>
        <w:spacing w:after="0" w:line="340" w:lineRule="auto"/>
        <w:jc w:val="both"/>
        <w:rPr>
          <w:sz w:val="32"/>
        </w:rPr>
      </w:pPr>
    </w:p>
    <w:p>
      <w:pPr>
        <w:spacing w:before="25"/>
        <w:ind w:left="2099" w:right="0" w:firstLine="0"/>
        <w:jc w:val="left"/>
        <w:rPr>
          <w:sz w:val="36"/>
        </w:rPr>
      </w:pPr>
      <w:r>
        <w:rPr>
          <w:rFonts w:hint="eastAsia" w:ascii="Meiryo UI" w:eastAsia="Meiryo UI"/>
          <w:w w:val="105"/>
          <w:sz w:val="36"/>
        </w:rPr>
        <w:t>⼆</w:t>
      </w:r>
      <w:r>
        <w:rPr>
          <w:w w:val="105"/>
          <w:sz w:val="36"/>
        </w:rPr>
        <w:t>、机构设置情况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设下列内设机构（正科级）：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办公室。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负责处理中心日常工作运转。负责文秘、会务、机要、档案、印鉴、接待、保密、安全保卫、政务公开、政务信息报送等日常工作。负责中心财务管理、固定资产管理、内部审计、后勤保障等工作。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（二）人事科（党建办公室）。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党群工作和干部人事、机构编制、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劳资、职称、培训、考核、统计年报、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退休人员管理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党的建设、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纪检工作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和群团工作。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（三）发展研究科。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对能源行业政策、法律法规和发展趋势及能源生产消费战略、供给体系、用能模式、科技创新、体制改革研究，为编制能源行业发展规划提供依据；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电力、新能源和可再生能源行业的发展进行研究，为编制电力、新能源和可再生能源行业专项发展规划提供依据，为电力市场化改革和电能服务产业培育等工作提供服务；对全市电力企业、非电力生产企业自备电厂、新能源和可再生能源行业的安全监管情况进行分析研究，从政策和技术方面向有关职能监管部门提出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（四）能源监测科。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能源行业经济运行态势分析，动态跟踪监测能源领域信息数据。开展能源行业产、运、销、价运行走势分析，提出发展预测和政策建议。对全市用能行业及重点用能企业信息化数据进行采集研究，对能源管理体系和能耗在线监测系统运行情况进行跟踪监测，对重点用能企业的能耗限额标准执行情况进行现场监测，为行业主管部门实施行政决策提供技术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（五）技术创新科。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开展能源行业新技术、新工艺、新装备的引进推广应用和技术交流，提出阶段性技术发展建议。为长输管网输送和储气设施等全产业链建设提供相关技术服务；为油气行业管理和管道建设保护提供技术支持；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掌握新能源产业发展的最新政策，研究国内外新能源产业发展动态，收集整理新能源产业发展相关信息；做好市能源局安排的新能源产业国际、省际、市际合作事宜；研究我市新能源产业布局，为我市新能源产业重大决策及制定新能源产业政策提供咨询、建议；做好我市新能源、可再生能源、农村电网、农村能源和光伏发电等新能源产业的技术服务工作；承担新能源产业发展和全市“能源革命”的推介、服务、宣传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（六）节能降耗科。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节能法律法规、政策规定的宣传普及和相关能耗限额标准的贯彻实施。对重点耗能企业节能情况进行跟踪指导服务；对全市重点耗能企业实施节能监测和节能评估，向节能行政主管部门提供节能分析报告；开展节能降耗工作的对外交流及节能新技术、新工艺、新装备的引进、推广和应用；为节能监察工作提供技术和服务保障。</w:t>
      </w:r>
    </w:p>
    <w:p>
      <w:pPr>
        <w:spacing w:after="0" w:line="340" w:lineRule="auto"/>
        <w:jc w:val="both"/>
      </w:pPr>
    </w:p>
    <w:p>
      <w:pPr>
        <w:bidi w:val="0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rPr>
          <w:lang w:val="zh-CN" w:eastAsia="zh-CN"/>
        </w:rPr>
      </w:pPr>
    </w:p>
    <w:p>
      <w:pPr>
        <w:pStyle w:val="6"/>
        <w:spacing w:before="62" w:line="328" w:lineRule="auto"/>
        <w:ind w:left="1540" w:right="5597"/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ab/>
      </w:r>
    </w:p>
    <w:p>
      <w:pPr>
        <w:pStyle w:val="6"/>
        <w:spacing w:before="62" w:line="328" w:lineRule="auto"/>
        <w:ind w:left="1540" w:right="5597"/>
        <w:rPr>
          <w:rFonts w:hint="eastAsia"/>
          <w:lang w:val="zh-CN" w:eastAsia="zh-CN"/>
        </w:rPr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tabs>
          <w:tab w:val="left" w:pos="2515"/>
        </w:tabs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</w:pPr>
      <w:r>
        <w:rPr>
          <w:rFonts w:hint="eastAsia" w:cs="宋体"/>
          <w:sz w:val="22"/>
          <w:szCs w:val="22"/>
          <w:lang w:val="zh-CN" w:eastAsia="zh-CN" w:bidi="zh-CN"/>
        </w:rPr>
        <w:tab/>
      </w:r>
    </w:p>
    <w:p>
      <w:pPr>
        <w:spacing w:after="0"/>
        <w:rPr>
          <w:rFonts w:hint="eastAsia" w:ascii="Times New Roman" w:eastAsia="宋体"/>
          <w:sz w:val="17"/>
          <w:lang w:eastAsia="zh-CN"/>
        </w:rPr>
      </w:pPr>
      <w:r>
        <w:rPr>
          <w:sz w:val="17"/>
        </w:rPr>
        <w:pict>
          <v:shape id="文本框 10" o:spid="_x0000_s1066" o:spt="202" type="#_x0000_t202" style="position:absolute;left:0pt;margin-left:90.7pt;margin-top:237pt;height:231.15pt;width:311.35pt;z-index:251665408;mso-width-relative:page;mso-height-relative:page;" filled="f" stroked="f" coordsize="21600,21600" o:gfxdata="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Kck/92wAAAA0BAAAPAAAAAAAA&#10;AAEAIAAAACIAAABkcnMvZG93bnJldi54bWxQSwECFAAUAAAACACHTuJA3oOvdtYBAACMAwAADgAA&#10;AAAAAAABACAAAAAqAQAAZHJzL2Uyb0RvYy54bWxQSwUGAAAAAAYABgBZAQAAcgUAAAAA&#10;">
            <v:path/>
            <v:fill on="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b/>
                      <w:bCs/>
                      <w:sz w:val="56"/>
                      <w:szCs w:val="56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56"/>
                      <w:szCs w:val="56"/>
                      <w:lang w:eastAsia="zh-CN"/>
                    </w:rPr>
                    <w:t>第二部分</w:t>
                  </w:r>
                </w:p>
                <w:p>
                  <w:pPr>
                    <w:rPr>
                      <w:rFonts w:hint="eastAsia"/>
                      <w:b/>
                      <w:bCs/>
                      <w:sz w:val="56"/>
                      <w:szCs w:val="56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56"/>
                      <w:szCs w:val="56"/>
                      <w:lang w:eastAsia="zh-CN"/>
                    </w:rPr>
                    <w:t>部门预算报表</w:t>
                  </w:r>
                </w:p>
              </w:txbxContent>
            </v:textbox>
          </v:shape>
        </w:pict>
      </w:r>
      <w:r>
        <w:rPr>
          <w:rFonts w:hint="eastAsia" w:ascii="Times New Roman" w:eastAsia="宋体"/>
          <w:sz w:val="17"/>
          <w:lang w:eastAsia="zh-CN"/>
        </w:rPr>
        <w:drawing>
          <wp:inline distT="0" distB="0" distL="114300" distR="114300">
            <wp:extent cx="6539865" cy="7971155"/>
            <wp:effectExtent l="0" t="0" r="635" b="444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539865" cy="797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hint="eastAsia" w:ascii="Times New Roman" w:eastAsia="宋体"/>
          <w:sz w:val="17"/>
          <w:lang w:eastAsia="zh-CN"/>
        </w:rPr>
      </w:pPr>
    </w:p>
    <w:p>
      <w:pPr>
        <w:spacing w:after="0"/>
        <w:rPr>
          <w:rFonts w:hint="eastAsia" w:ascii="Times New Roman" w:eastAsia="宋体"/>
          <w:sz w:val="17"/>
          <w:lang w:eastAsia="zh-CN"/>
        </w:rPr>
      </w:pPr>
    </w:p>
    <w:p>
      <w:pPr>
        <w:spacing w:after="0"/>
        <w:rPr>
          <w:rFonts w:hint="eastAsia" w:ascii="Times New Roman" w:eastAsia="宋体"/>
          <w:sz w:val="17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6"/>
          <w:szCs w:val="16"/>
          <w:lang w:val="en-US" w:eastAsia="zh-CN" w:bidi="ar"/>
        </w:rPr>
        <w:t xml:space="preserve">  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 w:bidi="zh-CN"/>
        </w:rPr>
        <w:t xml:space="preserve"> 表一：2021年财政拨款收支总表。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 w:bidi="zh-CN"/>
        </w:rPr>
        <w:t>    </w:t>
      </w:r>
      <w:r>
        <w:rPr>
          <w:rFonts w:hint="eastAsia" w:ascii="宋体" w:hAnsi="宋体" w:eastAsia="仿宋" w:cs="宋体"/>
          <w:sz w:val="32"/>
          <w:szCs w:val="32"/>
          <w:lang w:val="en-US" w:eastAsia="zh-CN" w:bidi="zh-CN"/>
        </w:rPr>
        <w:t xml:space="preserve"> 表二：2021年一般预算支出预算表。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 w:bidi="zh-CN"/>
        </w:rPr>
        <w:t xml:space="preserve">     表三：2021年一般公共预算安排基本支出分经济科目表。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 w:bidi="zh-CN"/>
        </w:rPr>
        <w:t xml:space="preserve">     表四：2021年一般公共预算安排基本支出分政府经济科目表。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 w:bidi="zh-CN"/>
        </w:rPr>
        <w:t xml:space="preserve">     表五：2021年一般公共预算“三公”经费支出情况统计表。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 w:bidi="zh-CN"/>
        </w:rPr>
        <w:t xml:space="preserve">     表六-1：2021年政府性基金预算收入表。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 w:bidi="zh-CN"/>
        </w:rPr>
        <w:t xml:space="preserve">     表六-2：2021年政府性基金预算支出预算表。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 w:bidi="zh-CN"/>
        </w:rPr>
        <w:t xml:space="preserve">     表七：2021年国有资本经营预算支出表。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 w:bidi="zh-CN"/>
        </w:rPr>
        <w:t xml:space="preserve">     表八：2021年预算收支总表。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 w:bidi="zh-CN"/>
        </w:rPr>
        <w:t xml:space="preserve">     表九：2021年预算收入总表。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 w:bidi="zh-CN"/>
        </w:rPr>
        <w:t xml:space="preserve">     表十：2021年预算支出总表。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 w:bidi="zh-CN"/>
        </w:rPr>
        <w:t xml:space="preserve">     表十一：2021年机关运行经费预算财政拨款情况统计表。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 w:bidi="zh-CN"/>
        </w:rPr>
        <w:t xml:space="preserve">     表十二：2021年政府采购预算明细表。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 w:bidi="zh-CN"/>
        </w:rPr>
        <w:t xml:space="preserve">     表十三：2021年项目支出绩效目标表。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en-US" w:eastAsia="zh-CN" w:bidi="zh-CN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 w:bidi="zh-CN"/>
        </w:rPr>
        <w:t xml:space="preserve">     表十四：2021年部门整体支出绩效目标表。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仿宋" w:cs="宋体"/>
          <w:sz w:val="32"/>
          <w:szCs w:val="32"/>
          <w:lang w:val="en-US" w:eastAsia="zh-CN" w:bidi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eastAsia="仿宋" w:cs="宋体"/>
          <w:sz w:val="32"/>
          <w:szCs w:val="32"/>
          <w:lang w:val="en-US" w:eastAsia="zh-CN" w:bidi="zh-CN"/>
        </w:rPr>
      </w:pPr>
      <w:r>
        <w:rPr>
          <w:rFonts w:hint="eastAsia" w:eastAsia="仿宋" w:cs="宋体"/>
          <w:sz w:val="32"/>
          <w:szCs w:val="32"/>
          <w:lang w:val="en-US" w:eastAsia="zh-CN" w:bidi="zh-CN"/>
        </w:rPr>
        <w:t xml:space="preserve">          附件：1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560" w:firstLineChars="800"/>
        <w:jc w:val="left"/>
        <w:rPr>
          <w:rFonts w:hint="eastAsia" w:eastAsia="仿宋" w:cs="宋体"/>
          <w:sz w:val="32"/>
          <w:szCs w:val="32"/>
          <w:lang w:val="en-US" w:eastAsia="zh-CN" w:bidi="zh-CN"/>
        </w:rPr>
      </w:pPr>
      <w:r>
        <w:rPr>
          <w:rFonts w:hint="eastAsia" w:eastAsia="仿宋" w:cs="宋体"/>
          <w:sz w:val="32"/>
          <w:szCs w:val="32"/>
          <w:lang w:val="en-US" w:eastAsia="zh-CN" w:bidi="zh-CN"/>
        </w:rPr>
        <w:t xml:space="preserve">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560" w:firstLineChars="800"/>
        <w:jc w:val="left"/>
        <w:rPr>
          <w:rFonts w:hint="eastAsia" w:eastAsia="仿宋" w:cs="宋体"/>
          <w:sz w:val="32"/>
          <w:szCs w:val="32"/>
          <w:lang w:val="en-US" w:eastAsia="zh-CN" w:bidi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600" w:firstLineChars="500"/>
        <w:jc w:val="left"/>
        <w:rPr>
          <w:rFonts w:hint="eastAsia" w:cs="宋体"/>
          <w:sz w:val="32"/>
          <w:szCs w:val="32"/>
          <w:lang w:val="en-US" w:eastAsia="zh-CN" w:bidi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600" w:firstLineChars="500"/>
        <w:jc w:val="left"/>
        <w:rPr>
          <w:rFonts w:hint="default" w:cs="宋体"/>
          <w:sz w:val="32"/>
          <w:szCs w:val="32"/>
          <w:lang w:val="en-US" w:eastAsia="zh-CN" w:bidi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560" w:firstLineChars="800"/>
        <w:jc w:val="left"/>
        <w:rPr>
          <w:rFonts w:hint="eastAsia" w:cs="宋体"/>
          <w:sz w:val="32"/>
          <w:szCs w:val="32"/>
          <w:lang w:val="en-US" w:eastAsia="zh-CN" w:bidi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560" w:firstLineChars="800"/>
        <w:jc w:val="left"/>
        <w:rPr>
          <w:rFonts w:hint="eastAsia" w:cs="宋体"/>
          <w:sz w:val="32"/>
          <w:szCs w:val="32"/>
          <w:lang w:val="en-US" w:eastAsia="zh-CN" w:bidi="zh-CN"/>
        </w:rPr>
      </w:pPr>
      <w:r>
        <w:rPr>
          <w:rFonts w:hint="eastAsia" w:cs="宋体"/>
          <w:sz w:val="32"/>
          <w:szCs w:val="32"/>
          <w:lang w:val="en-US" w:eastAsia="zh-CN" w:bidi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xcel.Sheet.8" ShapeID="_x0000_i1025" DrawAspect="Icon" ObjectID="_1468075725" r:id="rId25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 w:bidi="zh-CN"/>
        </w:rPr>
        <w:t xml:space="preserve">      </w:t>
      </w:r>
    </w:p>
    <w:p>
      <w:pPr>
        <w:spacing w:after="0"/>
        <w:rPr>
          <w:rFonts w:hint="eastAsia" w:ascii="Times New Roman" w:eastAsia="宋体"/>
          <w:sz w:val="32"/>
          <w:szCs w:val="32"/>
          <w:lang w:eastAsia="zh-CN"/>
        </w:rPr>
      </w:pPr>
    </w:p>
    <w:p>
      <w:pPr>
        <w:spacing w:after="0"/>
        <w:rPr>
          <w:rFonts w:hint="eastAsia" w:ascii="Times New Roman" w:eastAsia="宋体"/>
          <w:sz w:val="17"/>
          <w:lang w:eastAsia="zh-CN"/>
        </w:rPr>
      </w:pPr>
    </w:p>
    <w:p>
      <w:pPr>
        <w:spacing w:after="0"/>
        <w:rPr>
          <w:rFonts w:hint="eastAsia" w:ascii="Times New Roman" w:eastAsia="宋体"/>
          <w:sz w:val="17"/>
          <w:lang w:eastAsia="zh-CN"/>
        </w:rPr>
      </w:pPr>
    </w:p>
    <w:p>
      <w:pPr>
        <w:spacing w:after="0"/>
        <w:rPr>
          <w:rFonts w:hint="eastAsia" w:ascii="Times New Roman" w:eastAsia="宋体"/>
          <w:sz w:val="17"/>
          <w:lang w:eastAsia="zh-CN"/>
        </w:rPr>
      </w:pPr>
    </w:p>
    <w:p>
      <w:pPr>
        <w:spacing w:after="0"/>
        <w:rPr>
          <w:rFonts w:hint="eastAsia" w:ascii="Times New Roman" w:eastAsia="宋体"/>
          <w:sz w:val="17"/>
          <w:lang w:eastAsia="zh-CN"/>
        </w:rPr>
      </w:pPr>
    </w:p>
    <w:p>
      <w:pPr>
        <w:spacing w:after="0"/>
        <w:rPr>
          <w:rFonts w:hint="eastAsia" w:ascii="Times New Roman" w:eastAsia="宋体"/>
          <w:sz w:val="17"/>
          <w:lang w:eastAsia="zh-CN"/>
        </w:rPr>
        <w:sectPr>
          <w:headerReference r:id="rId9" w:type="default"/>
          <w:footerReference r:id="rId10" w:type="default"/>
          <w:pgSz w:w="11900" w:h="16840"/>
          <w:pgMar w:top="1600" w:right="20" w:bottom="1580" w:left="260" w:header="0" w:footer="1395" w:gutter="0"/>
          <w:pgNumType w:fmt="decimal"/>
          <w:cols w:space="720" w:num="1"/>
        </w:sectPr>
      </w:pPr>
      <w:r>
        <w:rPr>
          <w:sz w:val="17"/>
        </w:rPr>
        <w:pict>
          <v:shape id="_x0000_s1067" o:spid="_x0000_s1067" o:spt="202" type="#_x0000_t202" style="position:absolute;left:0pt;margin-left:90.7pt;margin-top:255.75pt;height:231.15pt;width:311.35pt;z-index:251666432;mso-width-relative:page;mso-height-relative:page;" filled="f" stroked="f" coordsize="21600,21600" o:gfxdata="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Kck/92wAAAA0BAAAPAAAAAAAA&#10;AAEAIAAAACIAAABkcnMvZG93bnJldi54bWxQSwECFAAUAAAACACHTuJA3oOvdtYBAACMAwAADgAA&#10;AAAAAAABACAAAAAqAQAAZHJzL2Uyb0RvYy54bWxQSwUGAAAAAAYABgBZAQAAcgUAAAAA&#10;">
            <v:path/>
            <v:fill on="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b/>
                      <w:bCs/>
                      <w:sz w:val="56"/>
                      <w:szCs w:val="56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56"/>
                      <w:szCs w:val="56"/>
                      <w:lang w:eastAsia="zh-CN"/>
                    </w:rPr>
                    <w:t>第三部分</w:t>
                  </w:r>
                </w:p>
                <w:p>
                  <w:pPr>
                    <w:rPr>
                      <w:rFonts w:hint="eastAsia"/>
                      <w:b/>
                      <w:bCs/>
                      <w:sz w:val="56"/>
                      <w:szCs w:val="56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56"/>
                      <w:szCs w:val="56"/>
                      <w:lang w:eastAsia="zh-CN"/>
                    </w:rPr>
                    <w:t>部门预算情况说明</w:t>
                  </w:r>
                </w:p>
              </w:txbxContent>
            </v:textbox>
          </v:shape>
        </w:pict>
      </w:r>
      <w:r>
        <w:rPr>
          <w:rFonts w:hint="eastAsia" w:ascii="Times New Roman" w:eastAsia="宋体"/>
          <w:sz w:val="17"/>
          <w:lang w:eastAsia="zh-CN"/>
        </w:rPr>
        <w:drawing>
          <wp:inline distT="0" distB="0" distL="114300" distR="114300">
            <wp:extent cx="6539865" cy="7971155"/>
            <wp:effectExtent l="0" t="0" r="635" b="444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539865" cy="797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4"/>
        <w:rPr>
          <w:rFonts w:ascii="Times New Roman"/>
          <w:sz w:val="17"/>
        </w:rPr>
      </w:pPr>
    </w:p>
    <w:p>
      <w:pPr>
        <w:pStyle w:val="6"/>
        <w:spacing w:before="10"/>
        <w:rPr>
          <w:rFonts w:ascii="Times New Roman"/>
          <w:sz w:val="14"/>
        </w:rPr>
      </w:pPr>
    </w:p>
    <w:p>
      <w:pPr>
        <w:spacing w:before="24"/>
        <w:ind w:left="1420" w:right="0" w:firstLine="0"/>
        <w:jc w:val="left"/>
        <w:rPr>
          <w:rFonts w:hint="eastAsia" w:ascii="Meiryo UI" w:eastAsia="Meiryo UI"/>
          <w:sz w:val="36"/>
        </w:rPr>
      </w:pPr>
      <w:bookmarkStart w:id="2" w:name="（一）预算收支情况"/>
      <w:bookmarkEnd w:id="2"/>
      <w:bookmarkStart w:id="3" w:name="⼀、2019 年度部门预算收⽀情况"/>
      <w:bookmarkEnd w:id="3"/>
    </w:p>
    <w:p>
      <w:pPr>
        <w:spacing w:before="24"/>
        <w:ind w:left="1420" w:right="0" w:firstLine="0"/>
        <w:jc w:val="left"/>
        <w:rPr>
          <w:sz w:val="36"/>
        </w:rPr>
      </w:pPr>
      <w:r>
        <w:rPr>
          <w:rFonts w:hint="eastAsia" w:ascii="Meiryo UI" w:eastAsia="Meiryo UI"/>
          <w:sz w:val="36"/>
        </w:rPr>
        <w:t>⼀</w:t>
      </w:r>
      <w:r>
        <w:rPr>
          <w:sz w:val="36"/>
        </w:rPr>
        <w:t>、</w:t>
      </w:r>
      <w:r>
        <w:rPr>
          <w:rFonts w:hint="eastAsia"/>
          <w:sz w:val="36"/>
          <w:lang w:val="en-US" w:eastAsia="zh-CN"/>
        </w:rPr>
        <w:t>2021</w:t>
      </w:r>
      <w:r>
        <w:rPr>
          <w:sz w:val="36"/>
        </w:rPr>
        <w:t>年度</w:t>
      </w:r>
      <w:r>
        <w:rPr>
          <w:rFonts w:hint="eastAsia"/>
          <w:sz w:val="36"/>
          <w:lang w:eastAsia="zh-CN"/>
        </w:rPr>
        <w:t>单位</w:t>
      </w:r>
      <w:r>
        <w:rPr>
          <w:sz w:val="36"/>
        </w:rPr>
        <w:t>预算收</w:t>
      </w:r>
      <w:r>
        <w:rPr>
          <w:rFonts w:hint="eastAsia" w:asciiTheme="minorEastAsia" w:hAnsiTheme="minorEastAsia" w:eastAsiaTheme="minorEastAsia" w:cstheme="minorEastAsia"/>
          <w:sz w:val="36"/>
        </w:rPr>
        <w:t>⽀情况</w:t>
      </w:r>
    </w:p>
    <w:p>
      <w:pPr>
        <w:pStyle w:val="5"/>
        <w:spacing w:before="38"/>
        <w:ind w:left="0" w:leftChars="0" w:firstLine="1280" w:firstLineChars="400"/>
        <w:rPr>
          <w:rFonts w:eastAsia="仿宋"/>
          <w:sz w:val="32"/>
        </w:rPr>
      </w:pPr>
      <w:r>
        <w:rPr>
          <w:rFonts w:eastAsia="仿宋"/>
          <w:sz w:val="32"/>
        </w:rPr>
        <w:t>（一）预算收支情况</w:t>
      </w:r>
    </w:p>
    <w:p>
      <w:pPr>
        <w:pStyle w:val="6"/>
        <w:spacing w:before="119" w:line="276" w:lineRule="auto"/>
        <w:ind w:left="1420" w:right="1791" w:firstLine="604"/>
        <w:jc w:val="both"/>
        <w:rPr>
          <w:rFonts w:hint="eastAsia" w:eastAsia="仿宋"/>
          <w:sz w:val="32"/>
          <w:lang w:eastAsia="zh-CN"/>
        </w:rPr>
      </w:pPr>
      <w:r>
        <w:rPr>
          <w:rFonts w:eastAsia="仿宋"/>
          <w:sz w:val="32"/>
        </w:rPr>
        <w:t>大同市能源</w:t>
      </w:r>
      <w:r>
        <w:rPr>
          <w:rFonts w:hint="eastAsia" w:eastAsia="仿宋"/>
          <w:sz w:val="32"/>
          <w:lang w:eastAsia="zh-CN"/>
        </w:rPr>
        <w:t>发展中心</w:t>
      </w:r>
      <w:r>
        <w:rPr>
          <w:rFonts w:hint="eastAsia" w:eastAsia="仿宋"/>
          <w:sz w:val="32"/>
          <w:lang w:val="en-US" w:eastAsia="zh-CN"/>
        </w:rPr>
        <w:t>2021</w:t>
      </w:r>
      <w:r>
        <w:rPr>
          <w:rFonts w:eastAsia="仿宋"/>
          <w:sz w:val="32"/>
        </w:rPr>
        <w:t>年</w:t>
      </w:r>
      <w:r>
        <w:rPr>
          <w:rFonts w:hint="eastAsia" w:eastAsia="仿宋"/>
          <w:sz w:val="32"/>
          <w:lang w:eastAsia="zh-CN"/>
        </w:rPr>
        <w:t>预算收入</w:t>
      </w:r>
      <w:r>
        <w:rPr>
          <w:rFonts w:hint="eastAsia" w:eastAsia="仿宋"/>
          <w:sz w:val="32"/>
          <w:lang w:val="en-US" w:eastAsia="zh-CN"/>
        </w:rPr>
        <w:t>321.4</w:t>
      </w:r>
      <w:r>
        <w:rPr>
          <w:rFonts w:eastAsia="仿宋"/>
          <w:sz w:val="32"/>
        </w:rPr>
        <w:t>万元</w:t>
      </w:r>
      <w:r>
        <w:rPr>
          <w:rFonts w:hint="eastAsia" w:eastAsia="仿宋"/>
          <w:sz w:val="32"/>
          <w:lang w:eastAsia="zh-CN"/>
        </w:rPr>
        <w:t>，</w:t>
      </w:r>
      <w:r>
        <w:rPr>
          <w:rFonts w:eastAsia="仿宋"/>
          <w:sz w:val="32"/>
        </w:rPr>
        <w:t>比</w:t>
      </w:r>
      <w:r>
        <w:rPr>
          <w:rFonts w:hint="eastAsia" w:eastAsia="仿宋"/>
          <w:sz w:val="32"/>
          <w:lang w:val="en-US" w:eastAsia="zh-CN"/>
        </w:rPr>
        <w:t>2020</w:t>
      </w:r>
      <w:r>
        <w:rPr>
          <w:rFonts w:eastAsia="仿宋"/>
          <w:sz w:val="32"/>
        </w:rPr>
        <w:t>年</w:t>
      </w:r>
      <w:r>
        <w:rPr>
          <w:rFonts w:hint="eastAsia" w:eastAsia="仿宋"/>
          <w:sz w:val="32"/>
          <w:lang w:eastAsia="zh-CN"/>
        </w:rPr>
        <w:t>略有增</w:t>
      </w:r>
      <w:r>
        <w:rPr>
          <w:rFonts w:hint="eastAsia" w:eastAsia="仿宋"/>
          <w:sz w:val="32"/>
          <w:lang w:val="en-US" w:eastAsia="zh-CN"/>
        </w:rPr>
        <w:t>加</w:t>
      </w:r>
      <w:r>
        <w:rPr>
          <w:rFonts w:hint="eastAsia" w:eastAsia="仿宋"/>
          <w:sz w:val="32"/>
          <w:lang w:eastAsia="zh-CN"/>
        </w:rPr>
        <w:t>。</w:t>
      </w:r>
    </w:p>
    <w:p>
      <w:pPr>
        <w:spacing w:after="0"/>
        <w:rPr>
          <w:rFonts w:eastAsia="仿宋"/>
          <w:sz w:val="32"/>
        </w:rPr>
      </w:pPr>
    </w:p>
    <w:p>
      <w:pPr>
        <w:pStyle w:val="5"/>
        <w:spacing w:before="55"/>
        <w:ind w:left="0" w:leftChars="0" w:firstLine="1280" w:firstLineChars="400"/>
        <w:rPr>
          <w:rFonts w:eastAsia="仿宋"/>
          <w:sz w:val="32"/>
        </w:rPr>
      </w:pPr>
      <w:r>
        <w:rPr>
          <w:rFonts w:eastAsia="仿宋"/>
          <w:sz w:val="32"/>
        </w:rPr>
        <w:t>（二）一般公共预算支出情况</w:t>
      </w:r>
    </w:p>
    <w:p>
      <w:pPr>
        <w:pStyle w:val="6"/>
        <w:spacing w:before="119" w:line="276" w:lineRule="auto"/>
        <w:ind w:left="1420" w:right="1791" w:firstLine="604"/>
        <w:jc w:val="both"/>
        <w:rPr>
          <w:rFonts w:hint="eastAsia" w:eastAsia="仿宋"/>
          <w:sz w:val="32"/>
          <w:lang w:eastAsia="zh-CN"/>
        </w:rPr>
      </w:pPr>
      <w:r>
        <w:rPr>
          <w:rFonts w:eastAsia="仿宋"/>
          <w:sz w:val="32"/>
        </w:rPr>
        <w:t>大同市能源</w:t>
      </w:r>
      <w:r>
        <w:rPr>
          <w:rFonts w:hint="eastAsia" w:eastAsia="仿宋"/>
          <w:sz w:val="32"/>
          <w:lang w:eastAsia="zh-CN"/>
        </w:rPr>
        <w:t>发展中心</w:t>
      </w:r>
      <w:r>
        <w:rPr>
          <w:rFonts w:hint="eastAsia" w:eastAsia="仿宋"/>
          <w:sz w:val="32"/>
          <w:lang w:val="en-US" w:eastAsia="zh-CN"/>
        </w:rPr>
        <w:t>2021</w:t>
      </w:r>
      <w:r>
        <w:rPr>
          <w:rFonts w:eastAsia="仿宋"/>
          <w:sz w:val="32"/>
        </w:rPr>
        <w:t>年</w:t>
      </w:r>
      <w:r>
        <w:rPr>
          <w:rFonts w:hint="eastAsia" w:eastAsia="仿宋"/>
          <w:sz w:val="32"/>
          <w:lang w:eastAsia="zh-CN"/>
        </w:rPr>
        <w:t>一般公共预算支出</w:t>
      </w:r>
      <w:r>
        <w:rPr>
          <w:rFonts w:hint="eastAsia" w:eastAsia="仿宋"/>
          <w:sz w:val="32"/>
          <w:lang w:val="en-US" w:eastAsia="zh-CN"/>
        </w:rPr>
        <w:t>321.4</w:t>
      </w:r>
      <w:r>
        <w:rPr>
          <w:rFonts w:eastAsia="仿宋"/>
          <w:sz w:val="32"/>
        </w:rPr>
        <w:t>万元，比</w:t>
      </w:r>
      <w:r>
        <w:rPr>
          <w:rFonts w:hint="eastAsia" w:eastAsia="仿宋"/>
          <w:sz w:val="32"/>
          <w:lang w:val="en-US" w:eastAsia="zh-CN"/>
        </w:rPr>
        <w:t>2020年增加的主要因素是人员工资增加</w:t>
      </w:r>
      <w:r>
        <w:rPr>
          <w:rFonts w:hint="eastAsia" w:eastAsia="仿宋"/>
          <w:sz w:val="32"/>
          <w:lang w:eastAsia="zh-CN"/>
        </w:rPr>
        <w:t>。</w:t>
      </w:r>
    </w:p>
    <w:p>
      <w:pPr>
        <w:spacing w:after="0"/>
        <w:rPr>
          <w:rFonts w:eastAsia="仿宋"/>
          <w:sz w:val="32"/>
        </w:rPr>
      </w:pPr>
    </w:p>
    <w:p>
      <w:pPr>
        <w:pStyle w:val="5"/>
        <w:spacing w:before="30"/>
        <w:rPr>
          <w:rFonts w:eastAsia="仿宋"/>
          <w:sz w:val="32"/>
        </w:rPr>
      </w:pPr>
      <w:r>
        <w:rPr>
          <w:rFonts w:eastAsia="仿宋"/>
          <w:sz w:val="32"/>
        </w:rPr>
        <w:t>一般公共预算当年拨款结构情况</w:t>
      </w:r>
    </w:p>
    <w:p>
      <w:pPr>
        <w:pStyle w:val="6"/>
        <w:spacing w:before="139" w:line="338" w:lineRule="auto"/>
        <w:ind w:left="1420" w:right="1289" w:firstLine="604"/>
        <w:jc w:val="both"/>
        <w:rPr>
          <w:rFonts w:eastAsia="仿宋"/>
          <w:sz w:val="32"/>
        </w:rPr>
      </w:pPr>
      <w:r>
        <w:rPr>
          <w:rFonts w:eastAsia="仿宋"/>
          <w:spacing w:val="9"/>
          <w:sz w:val="32"/>
        </w:rPr>
        <w:t>1．</w:t>
      </w:r>
      <w:r>
        <w:rPr>
          <w:rFonts w:hint="eastAsia" w:eastAsia="仿宋"/>
          <w:spacing w:val="9"/>
          <w:sz w:val="32"/>
          <w:lang w:val="en-US" w:eastAsia="zh-CN"/>
        </w:rPr>
        <w:t>2021</w:t>
      </w:r>
      <w:r>
        <w:rPr>
          <w:rFonts w:eastAsia="仿宋"/>
          <w:spacing w:val="23"/>
          <w:sz w:val="32"/>
        </w:rPr>
        <w:t>年基本支出</w:t>
      </w:r>
      <w:r>
        <w:rPr>
          <w:rFonts w:hint="eastAsia" w:eastAsia="仿宋"/>
          <w:spacing w:val="7"/>
          <w:sz w:val="32"/>
          <w:lang w:val="en-US" w:eastAsia="zh-CN"/>
        </w:rPr>
        <w:t>298.7</w:t>
      </w:r>
      <w:r>
        <w:rPr>
          <w:rFonts w:eastAsia="仿宋"/>
          <w:spacing w:val="24"/>
          <w:sz w:val="32"/>
        </w:rPr>
        <w:t>万元</w:t>
      </w:r>
      <w:r>
        <w:rPr>
          <w:rFonts w:eastAsia="仿宋"/>
          <w:spacing w:val="18"/>
          <w:sz w:val="32"/>
        </w:rPr>
        <w:t>，基本支出系按现有人员工资标准和公用经费定额标准核定，增加的主要原因是人员工资及社保缴费、福利费增加。其中：人员</w:t>
      </w:r>
      <w:r>
        <w:rPr>
          <w:rFonts w:eastAsia="仿宋"/>
          <w:spacing w:val="26"/>
          <w:sz w:val="32"/>
        </w:rPr>
        <w:t>经费</w:t>
      </w:r>
      <w:r>
        <w:rPr>
          <w:rFonts w:hint="eastAsia" w:eastAsia="仿宋"/>
          <w:spacing w:val="26"/>
          <w:sz w:val="32"/>
          <w:lang w:val="en-US" w:eastAsia="zh-CN"/>
        </w:rPr>
        <w:t>278.13</w:t>
      </w:r>
      <w:r>
        <w:rPr>
          <w:rFonts w:eastAsia="仿宋"/>
          <w:spacing w:val="18"/>
          <w:sz w:val="32"/>
        </w:rPr>
        <w:t>万元，主要包括基本工资、津贴补贴、奖金、绩效工资、机关事业单位基本养老保险缴费、城镇职工基本医疗保险缴费、职业年金缴费、其他社会保障缴费、住房公积金、离休费、退休费、生活补助、奖励</w:t>
      </w:r>
      <w:r>
        <w:rPr>
          <w:rFonts w:eastAsia="仿宋"/>
          <w:spacing w:val="21"/>
          <w:sz w:val="32"/>
        </w:rPr>
        <w:t>金；公用经费</w:t>
      </w:r>
      <w:r>
        <w:rPr>
          <w:rFonts w:hint="eastAsia" w:eastAsia="仿宋"/>
          <w:spacing w:val="21"/>
          <w:sz w:val="32"/>
          <w:lang w:val="en-US" w:eastAsia="zh-CN"/>
        </w:rPr>
        <w:t>20.7</w:t>
      </w:r>
      <w:r>
        <w:rPr>
          <w:rFonts w:eastAsia="仿宋"/>
          <w:spacing w:val="18"/>
          <w:sz w:val="32"/>
        </w:rPr>
        <w:t>万元，主要包括办公费、印刷费、水电费、</w:t>
      </w:r>
      <w:r>
        <w:rPr>
          <w:rFonts w:eastAsia="仿宋"/>
          <w:spacing w:val="19"/>
          <w:sz w:val="32"/>
        </w:rPr>
        <w:t>邮电费、取暖费、物业管理费、差旅费、维修（</w:t>
      </w:r>
      <w:r>
        <w:rPr>
          <w:rFonts w:eastAsia="仿宋"/>
          <w:spacing w:val="21"/>
          <w:sz w:val="32"/>
        </w:rPr>
        <w:t>护）</w:t>
      </w:r>
      <w:r>
        <w:rPr>
          <w:rFonts w:eastAsia="仿宋"/>
          <w:spacing w:val="16"/>
          <w:sz w:val="32"/>
        </w:rPr>
        <w:t>费、会议费、</w:t>
      </w:r>
      <w:r>
        <w:rPr>
          <w:rFonts w:eastAsia="仿宋"/>
          <w:spacing w:val="18"/>
          <w:sz w:val="32"/>
        </w:rPr>
        <w:t>培训费、公务接待费、劳务费、工会经费、福利费、公务用车运行维护费、其他交通费用、其他商品和服务支出、办公设备购置。</w:t>
      </w:r>
    </w:p>
    <w:p>
      <w:pPr>
        <w:pStyle w:val="6"/>
        <w:spacing w:before="119" w:line="276" w:lineRule="auto"/>
        <w:ind w:left="1420" w:right="1791" w:firstLine="604"/>
        <w:jc w:val="both"/>
        <w:rPr>
          <w:rFonts w:eastAsia="仿宋"/>
          <w:sz w:val="32"/>
        </w:rPr>
      </w:pPr>
      <w:r>
        <w:rPr>
          <w:rFonts w:eastAsia="仿宋"/>
          <w:sz w:val="32"/>
        </w:rPr>
        <w:t>2．</w:t>
      </w:r>
      <w:r>
        <w:rPr>
          <w:rFonts w:hint="eastAsia" w:eastAsia="仿宋"/>
          <w:sz w:val="32"/>
          <w:lang w:val="en-US" w:eastAsia="zh-CN"/>
        </w:rPr>
        <w:t>2021</w:t>
      </w:r>
      <w:r>
        <w:rPr>
          <w:rFonts w:eastAsia="仿宋"/>
          <w:sz w:val="32"/>
        </w:rPr>
        <w:t>年项目支出</w:t>
      </w:r>
      <w:r>
        <w:rPr>
          <w:rFonts w:hint="eastAsia" w:eastAsia="仿宋"/>
          <w:sz w:val="32"/>
          <w:lang w:val="en-US" w:eastAsia="zh-CN"/>
        </w:rPr>
        <w:t>22.7</w:t>
      </w:r>
      <w:r>
        <w:rPr>
          <w:rFonts w:eastAsia="仿宋"/>
          <w:sz w:val="32"/>
        </w:rPr>
        <w:t>万元，主要用于</w:t>
      </w:r>
      <w:r>
        <w:rPr>
          <w:rFonts w:eastAsia="仿宋"/>
          <w:w w:val="95"/>
          <w:sz w:val="32"/>
        </w:rPr>
        <w:t>驻村帮扶工作人员经费、</w:t>
      </w:r>
      <w:r>
        <w:rPr>
          <w:rFonts w:hint="eastAsia" w:eastAsia="仿宋"/>
          <w:w w:val="95"/>
          <w:sz w:val="32"/>
          <w:lang w:eastAsia="zh-CN"/>
        </w:rPr>
        <w:t>节能监测</w:t>
      </w:r>
      <w:r>
        <w:rPr>
          <w:rFonts w:eastAsia="仿宋"/>
          <w:w w:val="95"/>
          <w:sz w:val="32"/>
        </w:rPr>
        <w:t>经</w:t>
      </w:r>
      <w:r>
        <w:rPr>
          <w:rFonts w:eastAsia="仿宋"/>
          <w:sz w:val="32"/>
        </w:rPr>
        <w:t>费等支出。</w:t>
      </w:r>
    </w:p>
    <w:p>
      <w:pPr>
        <w:pStyle w:val="6"/>
        <w:ind w:left="1614"/>
        <w:rPr>
          <w:rFonts w:eastAsia="仿宋"/>
          <w:sz w:val="32"/>
        </w:rPr>
      </w:pPr>
    </w:p>
    <w:p>
      <w:pPr>
        <w:spacing w:after="0"/>
        <w:rPr>
          <w:rFonts w:eastAsia="仿宋"/>
          <w:sz w:val="32"/>
        </w:rPr>
        <w:sectPr>
          <w:headerReference r:id="rId11" w:type="default"/>
          <w:footerReference r:id="rId12" w:type="default"/>
          <w:pgSz w:w="11900" w:h="16840"/>
          <w:pgMar w:top="1340" w:right="20" w:bottom="280" w:left="260" w:header="0" w:footer="0" w:gutter="0"/>
          <w:pgNumType w:fmt="decimal"/>
          <w:cols w:space="720" w:num="1"/>
        </w:sectPr>
      </w:pPr>
    </w:p>
    <w:p>
      <w:pPr>
        <w:pStyle w:val="5"/>
        <w:spacing w:before="58"/>
        <w:ind w:left="1540"/>
      </w:pPr>
      <w:bookmarkStart w:id="4" w:name="（三）政府性基金预算情况"/>
      <w:bookmarkEnd w:id="4"/>
      <w:r>
        <w:t>（三）政府性基金预算情况</w:t>
      </w:r>
    </w:p>
    <w:p>
      <w:pPr>
        <w:pStyle w:val="6"/>
        <w:spacing w:before="187"/>
        <w:ind w:left="2024"/>
      </w:pPr>
      <w:r>
        <w:rPr>
          <w:rFonts w:eastAsia="仿宋"/>
          <w:sz w:val="32"/>
        </w:rPr>
        <w:t>大同市能源</w:t>
      </w:r>
      <w:r>
        <w:rPr>
          <w:rFonts w:hint="eastAsia" w:eastAsia="仿宋"/>
          <w:sz w:val="32"/>
          <w:lang w:eastAsia="zh-CN"/>
        </w:rPr>
        <w:t>发展中心</w:t>
      </w:r>
      <w:r>
        <w:rPr>
          <w:rFonts w:hint="eastAsia" w:eastAsia="仿宋"/>
          <w:sz w:val="32"/>
          <w:lang w:val="en-US" w:eastAsia="zh-CN"/>
        </w:rPr>
        <w:t>2021</w:t>
      </w:r>
      <w:r>
        <w:rPr>
          <w:rFonts w:eastAsia="仿宋"/>
          <w:sz w:val="32"/>
        </w:rPr>
        <w:t>年没有使用政府性基金预算拨款安排的支出</w:t>
      </w:r>
      <w:r>
        <w:t>。</w:t>
      </w:r>
    </w:p>
    <w:p>
      <w:pPr>
        <w:pStyle w:val="3"/>
        <w:spacing w:before="22"/>
        <w:rPr>
          <w:w w:val="105"/>
        </w:rPr>
      </w:pPr>
      <w:bookmarkStart w:id="5" w:name="⼆、“三公”经费情况"/>
      <w:bookmarkEnd w:id="5"/>
      <w:r>
        <w:rPr>
          <w:rFonts w:hint="eastAsia"/>
          <w:w w:val="105"/>
          <w:lang w:val="zh-CN" w:eastAsia="zh-CN"/>
        </w:rPr>
        <w:t>二、</w:t>
      </w:r>
      <w:r>
        <w:rPr>
          <w:w w:val="105"/>
          <w:lang w:val="zh-CN" w:eastAsia="zh-CN"/>
        </w:rPr>
        <w:t>“三公”经费情况</w:t>
      </w:r>
    </w:p>
    <w:p>
      <w:pPr>
        <w:pStyle w:val="6"/>
        <w:spacing w:before="119" w:line="276" w:lineRule="auto"/>
        <w:ind w:left="1420" w:right="1791" w:firstLine="604"/>
        <w:jc w:val="both"/>
        <w:rPr>
          <w:rFonts w:ascii="仿宋" w:hAnsi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2021</w:t>
      </w:r>
      <w:r>
        <w:rPr>
          <w:rFonts w:ascii="仿宋" w:hAnsi="仿宋" w:eastAsia="仿宋"/>
          <w:sz w:val="32"/>
        </w:rPr>
        <w:t>年一般公共预算安排的“三公”经费预算</w:t>
      </w:r>
      <w:r>
        <w:rPr>
          <w:rFonts w:hint="eastAsia" w:ascii="仿宋" w:hAnsi="仿宋" w:eastAsia="仿宋"/>
          <w:sz w:val="32"/>
          <w:lang w:val="en-US" w:eastAsia="zh-CN"/>
        </w:rPr>
        <w:t>3.2</w:t>
      </w:r>
      <w:r>
        <w:rPr>
          <w:rFonts w:ascii="仿宋" w:hAnsi="仿宋" w:eastAsia="仿宋"/>
          <w:sz w:val="32"/>
        </w:rPr>
        <w:t>万元，</w:t>
      </w:r>
      <w:r>
        <w:rPr>
          <w:rFonts w:hint="eastAsia" w:ascii="仿宋" w:hAnsi="仿宋" w:eastAsia="仿宋"/>
          <w:sz w:val="32"/>
          <w:lang w:eastAsia="zh-CN"/>
        </w:rPr>
        <w:t>比</w:t>
      </w:r>
      <w:r>
        <w:rPr>
          <w:rFonts w:ascii="仿宋" w:hAnsi="仿宋" w:eastAsia="仿宋"/>
          <w:sz w:val="32"/>
        </w:rPr>
        <w:t>上年预算</w:t>
      </w:r>
      <w:r>
        <w:rPr>
          <w:rFonts w:hint="eastAsia" w:ascii="仿宋" w:hAnsi="仿宋" w:eastAsia="仿宋"/>
          <w:sz w:val="32"/>
          <w:lang w:eastAsia="zh-CN"/>
        </w:rPr>
        <w:t>减少</w:t>
      </w:r>
      <w:r>
        <w:rPr>
          <w:rFonts w:hint="eastAsia" w:ascii="仿宋" w:hAnsi="仿宋" w:eastAsia="仿宋"/>
          <w:sz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lang w:eastAsia="zh-CN"/>
        </w:rPr>
        <w:t>。</w:t>
      </w:r>
      <w:r>
        <w:rPr>
          <w:rFonts w:ascii="仿宋" w:hAnsi="仿宋" w:eastAsia="仿宋"/>
          <w:sz w:val="32"/>
        </w:rPr>
        <w:t>其中：因公出国（境）费用</w:t>
      </w:r>
      <w:r>
        <w:rPr>
          <w:rFonts w:hint="eastAsia" w:ascii="仿宋" w:hAnsi="仿宋" w:eastAsia="仿宋"/>
          <w:sz w:val="32"/>
          <w:lang w:val="en-US" w:eastAsia="zh-CN"/>
        </w:rPr>
        <w:t>0</w:t>
      </w:r>
      <w:r>
        <w:rPr>
          <w:rFonts w:ascii="仿宋" w:hAnsi="仿宋" w:eastAsia="仿宋"/>
          <w:sz w:val="32"/>
        </w:rPr>
        <w:t>万元，和上年预算相同；公务接待费0万元，和上年预算相同；公务用车运行维护费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3.2</w:t>
      </w:r>
      <w:r>
        <w:rPr>
          <w:rFonts w:ascii="仿宋" w:hAnsi="仿宋" w:eastAsia="仿宋"/>
          <w:sz w:val="32"/>
        </w:rPr>
        <w:t>万元</w:t>
      </w:r>
      <w:r>
        <w:rPr>
          <w:rFonts w:hint="eastAsia" w:ascii="仿宋" w:hAnsi="仿宋" w:eastAsia="仿宋"/>
          <w:sz w:val="32"/>
          <w:lang w:eastAsia="zh-CN"/>
        </w:rPr>
        <w:t>，和上年相同</w:t>
      </w:r>
      <w:r>
        <w:rPr>
          <w:rFonts w:ascii="仿宋" w:hAnsi="仿宋" w:eastAsia="仿宋"/>
          <w:sz w:val="32"/>
        </w:rPr>
        <w:t>。公务用车购置费0</w:t>
      </w:r>
      <w:r>
        <w:rPr>
          <w:rFonts w:hint="eastAsia" w:ascii="仿宋" w:hAnsi="仿宋" w:eastAsia="仿宋"/>
          <w:sz w:val="32"/>
          <w:lang w:eastAsia="zh-CN"/>
        </w:rPr>
        <w:t>万</w:t>
      </w:r>
      <w:r>
        <w:rPr>
          <w:rFonts w:ascii="仿宋" w:hAnsi="仿宋" w:eastAsia="仿宋"/>
          <w:sz w:val="32"/>
        </w:rPr>
        <w:t>元，和上年相同。</w:t>
      </w:r>
    </w:p>
    <w:p>
      <w:pPr>
        <w:pStyle w:val="3"/>
        <w:spacing w:before="0" w:line="523" w:lineRule="exact"/>
      </w:pPr>
      <w:r>
        <w:rPr>
          <w:w w:val="105"/>
        </w:rPr>
        <w:t>三、</w:t>
      </w:r>
      <w:r>
        <w:rPr>
          <w:rFonts w:hint="eastAsia"/>
          <w:w w:val="105"/>
          <w:lang w:eastAsia="zh-CN"/>
        </w:rPr>
        <w:t>商品服务支出</w:t>
      </w:r>
      <w:r>
        <w:rPr>
          <w:rFonts w:ascii="宋体" w:hAnsi="宋体" w:eastAsia="宋体" w:cs="宋体"/>
          <w:sz w:val="32"/>
          <w:szCs w:val="32"/>
          <w:lang w:val="zh-CN" w:eastAsia="zh-CN" w:bidi="zh-CN"/>
        </w:rPr>
        <w:t>情况</w:t>
      </w:r>
    </w:p>
    <w:p>
      <w:pPr>
        <w:pStyle w:val="6"/>
        <w:spacing w:before="64" w:line="285" w:lineRule="auto"/>
        <w:ind w:left="1420" w:right="1797" w:firstLine="604"/>
        <w:jc w:val="both"/>
        <w:rPr>
          <w:rFonts w:hint="eastAsia" w:eastAsia="仿宋" w:cs="仿宋"/>
          <w:sz w:val="32"/>
          <w:szCs w:val="32"/>
          <w:lang w:eastAsia="zh-CN"/>
        </w:rPr>
      </w:pPr>
      <w:r>
        <w:rPr>
          <w:rFonts w:eastAsia="仿宋" w:cs="仿宋"/>
          <w:sz w:val="32"/>
          <w:szCs w:val="32"/>
        </w:rPr>
        <w:t>大同市能源</w:t>
      </w:r>
      <w:r>
        <w:rPr>
          <w:rFonts w:hint="eastAsia" w:eastAsia="仿宋" w:cs="仿宋"/>
          <w:sz w:val="32"/>
          <w:szCs w:val="32"/>
          <w:lang w:eastAsia="zh-CN"/>
        </w:rPr>
        <w:t>发展中心</w:t>
      </w:r>
      <w:r>
        <w:rPr>
          <w:rFonts w:hint="eastAsia" w:eastAsia="仿宋" w:cs="仿宋"/>
          <w:sz w:val="32"/>
          <w:szCs w:val="32"/>
          <w:lang w:val="en-US" w:eastAsia="zh-CN"/>
        </w:rPr>
        <w:t>2021</w:t>
      </w:r>
      <w:r>
        <w:rPr>
          <w:rFonts w:eastAsia="仿宋" w:cs="仿宋"/>
          <w:sz w:val="32"/>
          <w:szCs w:val="32"/>
        </w:rPr>
        <w:t>年局经费财政拨款预算</w:t>
      </w:r>
      <w:r>
        <w:rPr>
          <w:rFonts w:hint="eastAsia" w:eastAsia="仿宋" w:cs="仿宋"/>
          <w:sz w:val="32"/>
          <w:szCs w:val="32"/>
          <w:lang w:val="en-US" w:eastAsia="zh-CN"/>
        </w:rPr>
        <w:t>20.57</w:t>
      </w:r>
      <w:r>
        <w:rPr>
          <w:rFonts w:eastAsia="仿宋" w:cs="仿宋"/>
          <w:sz w:val="32"/>
          <w:szCs w:val="32"/>
        </w:rPr>
        <w:t>万</w:t>
      </w:r>
      <w:r>
        <w:rPr>
          <w:rFonts w:hint="eastAsia" w:eastAsia="仿宋" w:cs="仿宋"/>
          <w:sz w:val="32"/>
          <w:szCs w:val="32"/>
          <w:lang w:eastAsia="zh-CN"/>
        </w:rPr>
        <w:t>元。</w:t>
      </w:r>
    </w:p>
    <w:p>
      <w:pPr>
        <w:pStyle w:val="3"/>
        <w:spacing w:before="22"/>
        <w:rPr>
          <w:rFonts w:hint="eastAsia"/>
          <w:w w:val="105"/>
          <w:lang w:val="zh-CN" w:eastAsia="zh-CN"/>
        </w:rPr>
      </w:pPr>
      <w:bookmarkStart w:id="6" w:name="_TOC_250003"/>
      <w:bookmarkEnd w:id="6"/>
      <w:r>
        <w:rPr>
          <w:rFonts w:hint="eastAsia"/>
          <w:w w:val="105"/>
          <w:lang w:val="zh-CN" w:eastAsia="zh-CN"/>
        </w:rPr>
        <w:t>四、政府采购情况</w:t>
      </w:r>
    </w:p>
    <w:p>
      <w:pPr>
        <w:pStyle w:val="6"/>
        <w:spacing w:before="123" w:line="244" w:lineRule="auto"/>
        <w:ind w:left="1420" w:right="1428" w:firstLine="604"/>
      </w:pPr>
      <w:r>
        <w:rPr>
          <w:rFonts w:hint="eastAsia" w:eastAsia="仿宋"/>
          <w:sz w:val="32"/>
          <w:lang w:val="en-US" w:eastAsia="zh-CN"/>
        </w:rPr>
        <w:t>2021</w:t>
      </w:r>
      <w:r>
        <w:rPr>
          <w:rFonts w:eastAsia="仿宋"/>
          <w:sz w:val="32"/>
        </w:rPr>
        <w:t>年大同市能源</w:t>
      </w:r>
      <w:r>
        <w:rPr>
          <w:rFonts w:hint="eastAsia" w:eastAsia="仿宋"/>
          <w:sz w:val="32"/>
          <w:lang w:eastAsia="zh-CN"/>
        </w:rPr>
        <w:t>发展中心</w:t>
      </w:r>
      <w:r>
        <w:rPr>
          <w:rFonts w:eastAsia="仿宋"/>
          <w:sz w:val="32"/>
        </w:rPr>
        <w:t>政府采购预算总额</w:t>
      </w:r>
      <w:r>
        <w:rPr>
          <w:rFonts w:hint="eastAsia" w:eastAsia="仿宋"/>
          <w:sz w:val="32"/>
          <w:lang w:val="en-US" w:eastAsia="zh-CN"/>
        </w:rPr>
        <w:t>7.6</w:t>
      </w:r>
      <w:r>
        <w:rPr>
          <w:rFonts w:eastAsia="仿宋"/>
          <w:sz w:val="32"/>
        </w:rPr>
        <w:t>万元， 其中：政府采购货物预算</w:t>
      </w:r>
      <w:r>
        <w:rPr>
          <w:rFonts w:hint="eastAsia" w:eastAsia="仿宋"/>
          <w:sz w:val="32"/>
          <w:lang w:val="en-US" w:eastAsia="zh-CN"/>
        </w:rPr>
        <w:t>7.6</w:t>
      </w:r>
      <w:r>
        <w:rPr>
          <w:rFonts w:eastAsia="仿宋"/>
          <w:sz w:val="32"/>
        </w:rPr>
        <w:t>万元，政府采购服务预算</w:t>
      </w:r>
      <w:r>
        <w:rPr>
          <w:rFonts w:hint="eastAsia" w:eastAsia="仿宋"/>
          <w:sz w:val="32"/>
          <w:lang w:val="en-US" w:eastAsia="zh-CN"/>
        </w:rPr>
        <w:t>0</w:t>
      </w:r>
      <w:r>
        <w:rPr>
          <w:rFonts w:eastAsia="仿宋"/>
          <w:sz w:val="32"/>
        </w:rPr>
        <w:t>万元。</w:t>
      </w:r>
    </w:p>
    <w:p>
      <w:pPr>
        <w:pStyle w:val="3"/>
        <w:spacing w:before="114"/>
      </w:pPr>
      <w:bookmarkStart w:id="7" w:name="_TOC_250002"/>
      <w:bookmarkEnd w:id="7"/>
      <w:r>
        <w:rPr>
          <w:rFonts w:hint="eastAsia"/>
          <w:w w:val="105"/>
          <w:lang w:val="zh-CN" w:eastAsia="zh-CN"/>
        </w:rPr>
        <w:t>五、绩效管理情况</w:t>
      </w:r>
    </w:p>
    <w:p>
      <w:pPr>
        <w:pStyle w:val="5"/>
        <w:numPr>
          <w:ilvl w:val="0"/>
          <w:numId w:val="2"/>
        </w:numPr>
        <w:tabs>
          <w:tab w:val="left" w:pos="1761"/>
        </w:tabs>
        <w:spacing w:before="117" w:after="0" w:line="240" w:lineRule="auto"/>
        <w:ind w:left="1760" w:right="0" w:hanging="341"/>
        <w:jc w:val="left"/>
      </w:pPr>
      <w:bookmarkStart w:id="8" w:name="1.绩效管理情况"/>
      <w:bookmarkEnd w:id="8"/>
      <w:bookmarkStart w:id="9" w:name="1.绩效管理情况"/>
      <w:bookmarkEnd w:id="9"/>
      <w:r>
        <w:rPr>
          <w:spacing w:val="17"/>
        </w:rPr>
        <w:t>绩效管理情况</w:t>
      </w:r>
    </w:p>
    <w:p>
      <w:pPr>
        <w:pStyle w:val="6"/>
        <w:tabs>
          <w:tab w:val="left" w:pos="9051"/>
        </w:tabs>
        <w:spacing w:before="112" w:line="288" w:lineRule="auto"/>
        <w:ind w:left="1420" w:right="1797" w:firstLine="604"/>
        <w:rPr>
          <w:rFonts w:eastAsia="仿宋"/>
          <w:sz w:val="32"/>
        </w:rPr>
      </w:pPr>
      <w:r>
        <w:rPr>
          <w:rFonts w:hint="eastAsia" w:eastAsia="仿宋"/>
          <w:spacing w:val="6"/>
          <w:sz w:val="32"/>
          <w:lang w:val="en-US" w:eastAsia="zh-CN"/>
        </w:rPr>
        <w:t>2021</w:t>
      </w:r>
      <w:r>
        <w:rPr>
          <w:rFonts w:eastAsia="仿宋"/>
          <w:spacing w:val="38"/>
          <w:sz w:val="32"/>
        </w:rPr>
        <w:t>年大同市能源</w:t>
      </w:r>
      <w:r>
        <w:rPr>
          <w:rFonts w:hint="eastAsia" w:eastAsia="仿宋"/>
          <w:spacing w:val="38"/>
          <w:sz w:val="32"/>
          <w:lang w:eastAsia="zh-CN"/>
        </w:rPr>
        <w:t>发展中心</w:t>
      </w:r>
      <w:r>
        <w:rPr>
          <w:rFonts w:eastAsia="仿宋"/>
          <w:spacing w:val="38"/>
          <w:sz w:val="32"/>
        </w:rPr>
        <w:t>实施绩效目标管理的项</w:t>
      </w:r>
      <w:r>
        <w:rPr>
          <w:rFonts w:eastAsia="仿宋"/>
          <w:sz w:val="32"/>
        </w:rPr>
        <w:t>目</w:t>
      </w:r>
      <w:r>
        <w:rPr>
          <w:rFonts w:hint="eastAsia" w:eastAsia="仿宋"/>
          <w:sz w:val="32"/>
          <w:lang w:val="en-US" w:eastAsia="zh-CN"/>
        </w:rPr>
        <w:t>4</w:t>
      </w:r>
      <w:r>
        <w:rPr>
          <w:rFonts w:eastAsia="仿宋"/>
          <w:spacing w:val="38"/>
          <w:sz w:val="32"/>
        </w:rPr>
        <w:t>个</w:t>
      </w:r>
      <w:r>
        <w:rPr>
          <w:rFonts w:hint="eastAsia" w:eastAsia="仿宋"/>
          <w:spacing w:val="38"/>
          <w:sz w:val="32"/>
          <w:lang w:val="en-US" w:eastAsia="zh-CN"/>
        </w:rPr>
        <w:t>,</w:t>
      </w:r>
      <w:r>
        <w:rPr>
          <w:rFonts w:eastAsia="仿宋"/>
          <w:spacing w:val="21"/>
          <w:sz w:val="32"/>
        </w:rPr>
        <w:t>涉</w:t>
      </w:r>
      <w:r>
        <w:rPr>
          <w:rFonts w:eastAsia="仿宋"/>
          <w:spacing w:val="23"/>
          <w:sz w:val="32"/>
        </w:rPr>
        <w:t>及</w:t>
      </w:r>
      <w:r>
        <w:rPr>
          <w:rFonts w:eastAsia="仿宋"/>
          <w:spacing w:val="21"/>
          <w:sz w:val="32"/>
        </w:rPr>
        <w:t>一</w:t>
      </w:r>
      <w:r>
        <w:rPr>
          <w:rFonts w:eastAsia="仿宋"/>
          <w:spacing w:val="23"/>
          <w:sz w:val="32"/>
        </w:rPr>
        <w:t>般</w:t>
      </w:r>
      <w:r>
        <w:rPr>
          <w:rFonts w:eastAsia="仿宋"/>
          <w:spacing w:val="21"/>
          <w:sz w:val="32"/>
        </w:rPr>
        <w:t>公</w:t>
      </w:r>
      <w:r>
        <w:rPr>
          <w:rFonts w:eastAsia="仿宋"/>
          <w:spacing w:val="23"/>
          <w:sz w:val="32"/>
        </w:rPr>
        <w:t>共</w:t>
      </w:r>
      <w:r>
        <w:rPr>
          <w:rFonts w:eastAsia="仿宋"/>
          <w:spacing w:val="21"/>
          <w:sz w:val="32"/>
        </w:rPr>
        <w:t>预</w:t>
      </w:r>
      <w:r>
        <w:rPr>
          <w:rFonts w:eastAsia="仿宋"/>
          <w:spacing w:val="23"/>
          <w:sz w:val="32"/>
        </w:rPr>
        <w:t>算，</w:t>
      </w:r>
      <w:r>
        <w:rPr>
          <w:rFonts w:eastAsia="仿宋"/>
          <w:spacing w:val="21"/>
          <w:sz w:val="32"/>
        </w:rPr>
        <w:t>当</w:t>
      </w:r>
      <w:r>
        <w:rPr>
          <w:rFonts w:eastAsia="仿宋"/>
          <w:spacing w:val="23"/>
          <w:sz w:val="32"/>
        </w:rPr>
        <w:t>年</w:t>
      </w:r>
      <w:r>
        <w:rPr>
          <w:rFonts w:eastAsia="仿宋"/>
          <w:spacing w:val="21"/>
          <w:sz w:val="32"/>
        </w:rPr>
        <w:t>拨</w:t>
      </w:r>
      <w:r>
        <w:rPr>
          <w:rFonts w:eastAsia="仿宋"/>
          <w:sz w:val="32"/>
        </w:rPr>
        <w:t>款</w:t>
      </w:r>
      <w:r>
        <w:rPr>
          <w:rFonts w:hint="eastAsia" w:eastAsia="仿宋"/>
          <w:sz w:val="32"/>
          <w:lang w:val="en-US" w:eastAsia="zh-CN"/>
        </w:rPr>
        <w:t>22.7</w:t>
      </w:r>
      <w:r>
        <w:rPr>
          <w:rFonts w:eastAsia="仿宋"/>
          <w:spacing w:val="21"/>
          <w:sz w:val="32"/>
        </w:rPr>
        <w:t>万</w:t>
      </w:r>
      <w:r>
        <w:rPr>
          <w:rFonts w:eastAsia="仿宋"/>
          <w:spacing w:val="23"/>
          <w:sz w:val="32"/>
        </w:rPr>
        <w:t>元</w:t>
      </w:r>
      <w:r>
        <w:rPr>
          <w:rFonts w:eastAsia="仿宋"/>
          <w:sz w:val="32"/>
        </w:rPr>
        <w:t>。</w:t>
      </w:r>
    </w:p>
    <w:p>
      <w:pPr>
        <w:pStyle w:val="5"/>
        <w:numPr>
          <w:ilvl w:val="0"/>
          <w:numId w:val="2"/>
        </w:numPr>
        <w:tabs>
          <w:tab w:val="left" w:pos="1761"/>
        </w:tabs>
        <w:spacing w:before="102" w:after="0" w:line="240" w:lineRule="auto"/>
        <w:ind w:left="1760" w:right="0" w:hanging="341"/>
        <w:jc w:val="left"/>
      </w:pPr>
      <w:bookmarkStart w:id="10" w:name="2.绩效目标情况"/>
      <w:bookmarkEnd w:id="10"/>
      <w:bookmarkStart w:id="11" w:name="2.绩效目标情况"/>
      <w:bookmarkEnd w:id="11"/>
      <w:r>
        <w:rPr>
          <w:spacing w:val="17"/>
        </w:rPr>
        <w:t>绩效目标情况</w:t>
      </w:r>
    </w:p>
    <w:p>
      <w:pPr>
        <w:pStyle w:val="6"/>
        <w:spacing w:before="189" w:line="285" w:lineRule="auto"/>
        <w:ind w:left="1420" w:right="1826" w:firstLine="576"/>
        <w:jc w:val="both"/>
        <w:rPr>
          <w:rFonts w:hint="eastAsia" w:eastAsia="宋体"/>
          <w:lang w:eastAsia="zh-CN"/>
        </w:rPr>
      </w:pPr>
      <w:r>
        <w:rPr>
          <w:rFonts w:eastAsia="仿宋"/>
          <w:w w:val="95"/>
          <w:sz w:val="32"/>
        </w:rPr>
        <w:t>在实施绩效目标管理的项目中，资金较大的项目有项目名称为</w:t>
      </w:r>
      <w:r>
        <w:rPr>
          <w:rFonts w:hint="eastAsia" w:eastAsia="仿宋"/>
          <w:w w:val="95"/>
          <w:sz w:val="32"/>
          <w:lang w:eastAsia="zh-CN"/>
        </w:rPr>
        <w:t>开办费</w:t>
      </w:r>
      <w:r>
        <w:rPr>
          <w:rFonts w:eastAsia="仿宋"/>
          <w:w w:val="95"/>
          <w:sz w:val="32"/>
        </w:rPr>
        <w:t>，</w:t>
      </w:r>
      <w:r>
        <w:rPr>
          <w:rFonts w:hint="eastAsia" w:eastAsia="仿宋"/>
          <w:w w:val="95"/>
          <w:sz w:val="32"/>
          <w:lang w:eastAsia="zh-CN"/>
        </w:rPr>
        <w:t>金额为</w:t>
      </w:r>
      <w:r>
        <w:rPr>
          <w:rFonts w:hint="eastAsia" w:eastAsia="仿宋"/>
          <w:w w:val="95"/>
          <w:sz w:val="32"/>
          <w:lang w:val="en-US" w:eastAsia="zh-CN"/>
        </w:rPr>
        <w:t>6.8万元。</w:t>
      </w:r>
      <w:r>
        <w:rPr>
          <w:rFonts w:hint="eastAsia" w:eastAsia="仿宋"/>
          <w:w w:val="95"/>
          <w:sz w:val="32"/>
          <w:lang w:eastAsia="zh-CN"/>
        </w:rPr>
        <w:t>主要用于划归来的大同市新能源产业发展中心购置办公桌椅等，保障正常日常办公。</w:t>
      </w:r>
    </w:p>
    <w:p>
      <w:pPr>
        <w:pStyle w:val="3"/>
        <w:spacing w:before="22"/>
      </w:pPr>
      <w:bookmarkStart w:id="12" w:name="_TOC_250001"/>
      <w:bookmarkEnd w:id="12"/>
      <w:r>
        <w:rPr>
          <w:w w:val="105"/>
        </w:rPr>
        <w:t>六、国有资产占有使用情况</w:t>
      </w:r>
    </w:p>
    <w:p>
      <w:pPr>
        <w:pStyle w:val="5"/>
        <w:numPr>
          <w:ilvl w:val="0"/>
          <w:numId w:val="0"/>
        </w:numPr>
        <w:tabs>
          <w:tab w:val="left" w:pos="1761"/>
        </w:tabs>
        <w:spacing w:before="117" w:after="0" w:line="240" w:lineRule="auto"/>
        <w:ind w:left="1419" w:leftChars="0" w:right="0" w:rightChars="0"/>
        <w:jc w:val="left"/>
        <w:rPr>
          <w:spacing w:val="17"/>
        </w:rPr>
      </w:pPr>
      <w:bookmarkStart w:id="13" w:name="1.车辆情况"/>
      <w:bookmarkEnd w:id="13"/>
      <w:bookmarkStart w:id="14" w:name="1.车辆情况"/>
      <w:bookmarkEnd w:id="14"/>
      <w:r>
        <w:rPr>
          <w:rFonts w:hint="eastAsia"/>
          <w:spacing w:val="17"/>
          <w:lang w:val="en-US" w:eastAsia="zh-CN"/>
        </w:rPr>
        <w:t>1.</w:t>
      </w:r>
      <w:r>
        <w:rPr>
          <w:spacing w:val="17"/>
        </w:rPr>
        <w:t>车</w:t>
      </w:r>
      <w:r>
        <w:rPr>
          <w:rFonts w:hint="eastAsia"/>
          <w:spacing w:val="17"/>
          <w:lang w:val="zh-CN" w:eastAsia="zh-CN"/>
        </w:rPr>
        <w:t>辆情况</w:t>
      </w:r>
    </w:p>
    <w:p>
      <w:pPr>
        <w:pStyle w:val="6"/>
        <w:spacing w:before="112" w:line="285" w:lineRule="auto"/>
        <w:ind w:left="1420" w:right="1735" w:firstLine="604"/>
        <w:jc w:val="both"/>
        <w:rPr>
          <w:rFonts w:eastAsia="仿宋"/>
          <w:sz w:val="32"/>
        </w:rPr>
      </w:pPr>
      <w:r>
        <w:rPr>
          <w:rFonts w:eastAsia="仿宋"/>
          <w:w w:val="95"/>
          <w:sz w:val="32"/>
        </w:rPr>
        <w:t>公务用车制度改革后单位核定保留</w:t>
      </w:r>
      <w:r>
        <w:rPr>
          <w:rFonts w:hint="eastAsia" w:eastAsia="仿宋"/>
          <w:w w:val="95"/>
          <w:sz w:val="32"/>
          <w:lang w:eastAsia="zh-CN"/>
        </w:rPr>
        <w:t>公务用车</w:t>
      </w:r>
      <w:r>
        <w:rPr>
          <w:rFonts w:hint="eastAsia" w:eastAsia="仿宋"/>
          <w:w w:val="95"/>
          <w:sz w:val="32"/>
          <w:lang w:val="en-US" w:eastAsia="zh-CN"/>
        </w:rPr>
        <w:t>1辆。</w:t>
      </w:r>
    </w:p>
    <w:p>
      <w:pPr>
        <w:pStyle w:val="5"/>
        <w:numPr>
          <w:ilvl w:val="0"/>
          <w:numId w:val="0"/>
        </w:numPr>
        <w:tabs>
          <w:tab w:val="left" w:pos="1761"/>
        </w:tabs>
        <w:spacing w:before="117" w:after="0" w:line="240" w:lineRule="auto"/>
        <w:ind w:left="1419" w:leftChars="0" w:right="0" w:rightChars="0"/>
        <w:jc w:val="left"/>
        <w:rPr>
          <w:rFonts w:hint="eastAsia"/>
          <w:spacing w:val="17"/>
          <w:lang w:val="zh-CN" w:eastAsia="zh-CN"/>
        </w:rPr>
      </w:pPr>
      <w:bookmarkStart w:id="15" w:name="2.房屋情况"/>
      <w:bookmarkEnd w:id="15"/>
      <w:bookmarkStart w:id="16" w:name="2.房屋情况"/>
      <w:bookmarkEnd w:id="16"/>
      <w:r>
        <w:rPr>
          <w:rFonts w:hint="eastAsia"/>
          <w:spacing w:val="17"/>
          <w:lang w:val="en-US" w:eastAsia="zh-CN"/>
        </w:rPr>
        <w:t>2.</w:t>
      </w:r>
      <w:r>
        <w:rPr>
          <w:rFonts w:hint="eastAsia"/>
          <w:spacing w:val="17"/>
          <w:lang w:val="zh-CN" w:eastAsia="zh-CN"/>
        </w:rPr>
        <w:t>房屋情况</w:t>
      </w:r>
    </w:p>
    <w:p>
      <w:pPr>
        <w:rPr>
          <w:rFonts w:hint="eastAsia" w:eastAsia="仿宋"/>
          <w:spacing w:val="17"/>
          <w:sz w:val="32"/>
          <w:szCs w:val="28"/>
          <w:lang w:val="en-US" w:eastAsia="zh-CN"/>
        </w:rPr>
      </w:pPr>
      <w:r>
        <w:rPr>
          <w:rFonts w:hint="eastAsia"/>
          <w:spacing w:val="15"/>
          <w:sz w:val="28"/>
          <w:szCs w:val="28"/>
          <w:lang w:val="en-US" w:eastAsia="zh-CN"/>
        </w:rPr>
        <w:t xml:space="preserve">            </w:t>
      </w:r>
      <w:r>
        <w:rPr>
          <w:rFonts w:hint="eastAsia" w:eastAsia="仿宋"/>
          <w:spacing w:val="15"/>
          <w:sz w:val="32"/>
          <w:szCs w:val="28"/>
          <w:lang w:val="en-US" w:eastAsia="zh-CN"/>
        </w:rPr>
        <w:t xml:space="preserve"> </w:t>
      </w:r>
      <w:r>
        <w:rPr>
          <w:rFonts w:hint="eastAsia" w:eastAsia="仿宋"/>
          <w:spacing w:val="17"/>
          <w:sz w:val="32"/>
          <w:szCs w:val="28"/>
          <w:lang w:val="en-US" w:eastAsia="zh-CN"/>
        </w:rPr>
        <w:t>大同市能源发展中心现有房屋情况为建筑面积100平米，</w:t>
      </w:r>
    </w:p>
    <w:p>
      <w:pPr>
        <w:ind w:firstLine="1770" w:firstLineChars="500"/>
        <w:rPr>
          <w:rFonts w:eastAsia="仿宋"/>
          <w:spacing w:val="17"/>
          <w:sz w:val="32"/>
          <w:szCs w:val="28"/>
        </w:rPr>
      </w:pPr>
      <w:r>
        <w:rPr>
          <w:rFonts w:hint="eastAsia" w:eastAsia="仿宋"/>
          <w:spacing w:val="17"/>
          <w:sz w:val="32"/>
          <w:szCs w:val="28"/>
          <w:lang w:val="en-US" w:eastAsia="zh-CN"/>
        </w:rPr>
        <w:t>属于机关事务管理局统一分配用房，无产权。</w:t>
      </w:r>
    </w:p>
    <w:p>
      <w:pPr>
        <w:pStyle w:val="5"/>
        <w:numPr>
          <w:ilvl w:val="0"/>
          <w:numId w:val="2"/>
        </w:numPr>
        <w:tabs>
          <w:tab w:val="left" w:pos="1761"/>
        </w:tabs>
        <w:spacing w:before="117" w:after="0" w:line="240" w:lineRule="auto"/>
        <w:ind w:left="1760" w:right="0" w:hanging="341"/>
        <w:jc w:val="left"/>
        <w:rPr>
          <w:rFonts w:hint="eastAsia"/>
          <w:spacing w:val="17"/>
          <w:lang w:val="zh-CN" w:eastAsia="zh-CN"/>
        </w:rPr>
      </w:pPr>
      <w:bookmarkStart w:id="17" w:name="3.其他国有资产占有使用情况"/>
      <w:bookmarkEnd w:id="17"/>
      <w:bookmarkStart w:id="18" w:name="3.其他国有资产占有使用情况"/>
      <w:bookmarkEnd w:id="18"/>
      <w:r>
        <w:rPr>
          <w:rFonts w:hint="eastAsia"/>
          <w:spacing w:val="17"/>
          <w:lang w:val="zh-CN" w:eastAsia="zh-CN"/>
        </w:rPr>
        <w:t>其他国有资产占有使用情况</w:t>
      </w:r>
    </w:p>
    <w:p>
      <w:pPr>
        <w:pStyle w:val="6"/>
        <w:spacing w:before="110" w:line="288" w:lineRule="auto"/>
        <w:ind w:left="1420" w:right="2005" w:firstLine="576"/>
        <w:rPr>
          <w:sz w:val="28"/>
          <w:szCs w:val="28"/>
        </w:rPr>
      </w:pPr>
      <w:r>
        <w:rPr>
          <w:rFonts w:eastAsia="仿宋"/>
          <w:spacing w:val="22"/>
          <w:w w:val="95"/>
          <w:sz w:val="32"/>
          <w:szCs w:val="28"/>
        </w:rPr>
        <w:t>单价</w:t>
      </w:r>
      <w:r>
        <w:rPr>
          <w:rFonts w:eastAsia="仿宋"/>
          <w:spacing w:val="11"/>
          <w:w w:val="95"/>
          <w:sz w:val="32"/>
          <w:szCs w:val="28"/>
        </w:rPr>
        <w:t>50</w:t>
      </w:r>
      <w:r>
        <w:rPr>
          <w:rFonts w:eastAsia="仿宋"/>
          <w:spacing w:val="21"/>
          <w:w w:val="95"/>
          <w:sz w:val="32"/>
          <w:szCs w:val="28"/>
        </w:rPr>
        <w:t>万通用设备设备</w:t>
      </w:r>
      <w:r>
        <w:rPr>
          <w:rFonts w:hint="eastAsia" w:eastAsia="仿宋"/>
          <w:spacing w:val="21"/>
          <w:w w:val="95"/>
          <w:sz w:val="32"/>
          <w:szCs w:val="28"/>
          <w:lang w:val="en-US" w:eastAsia="zh-CN"/>
        </w:rPr>
        <w:t>0</w:t>
      </w:r>
      <w:r>
        <w:rPr>
          <w:rFonts w:eastAsia="仿宋"/>
          <w:spacing w:val="21"/>
          <w:w w:val="95"/>
          <w:sz w:val="32"/>
          <w:szCs w:val="28"/>
        </w:rPr>
        <w:t>台</w:t>
      </w:r>
      <w:r>
        <w:rPr>
          <w:rFonts w:eastAsia="仿宋"/>
          <w:spacing w:val="23"/>
          <w:w w:val="95"/>
          <w:sz w:val="32"/>
          <w:szCs w:val="28"/>
        </w:rPr>
        <w:t>（套），</w:t>
      </w:r>
      <w:r>
        <w:rPr>
          <w:rFonts w:eastAsia="仿宋"/>
          <w:spacing w:val="21"/>
          <w:w w:val="95"/>
          <w:sz w:val="32"/>
          <w:szCs w:val="28"/>
        </w:rPr>
        <w:t>价值</w:t>
      </w:r>
      <w:r>
        <w:rPr>
          <w:rFonts w:hint="eastAsia" w:eastAsia="仿宋"/>
          <w:spacing w:val="11"/>
          <w:w w:val="95"/>
          <w:sz w:val="32"/>
          <w:szCs w:val="28"/>
          <w:lang w:val="en-US" w:eastAsia="zh-CN"/>
        </w:rPr>
        <w:t>0</w:t>
      </w:r>
      <w:r>
        <w:rPr>
          <w:rFonts w:eastAsia="仿宋"/>
          <w:spacing w:val="18"/>
          <w:w w:val="95"/>
          <w:sz w:val="32"/>
          <w:szCs w:val="28"/>
        </w:rPr>
        <w:t>万元；单位价值</w:t>
      </w:r>
      <w:r>
        <w:rPr>
          <w:rFonts w:eastAsia="仿宋"/>
          <w:spacing w:val="11"/>
          <w:sz w:val="32"/>
          <w:szCs w:val="28"/>
        </w:rPr>
        <w:t>100</w:t>
      </w:r>
      <w:r>
        <w:rPr>
          <w:rFonts w:eastAsia="仿宋"/>
          <w:spacing w:val="22"/>
          <w:sz w:val="32"/>
          <w:szCs w:val="28"/>
        </w:rPr>
        <w:t>万元以上专用设备</w:t>
      </w:r>
      <w:r>
        <w:rPr>
          <w:rFonts w:hint="eastAsia" w:eastAsia="仿宋"/>
          <w:spacing w:val="11"/>
          <w:sz w:val="32"/>
          <w:szCs w:val="28"/>
          <w:lang w:val="en-US" w:eastAsia="zh-CN"/>
        </w:rPr>
        <w:t>0</w:t>
      </w:r>
      <w:r>
        <w:rPr>
          <w:rFonts w:eastAsia="仿宋"/>
          <w:spacing w:val="22"/>
          <w:sz w:val="32"/>
          <w:szCs w:val="28"/>
        </w:rPr>
        <w:t>台</w:t>
      </w:r>
      <w:r>
        <w:rPr>
          <w:rFonts w:eastAsia="仿宋"/>
          <w:sz w:val="32"/>
          <w:szCs w:val="28"/>
        </w:rPr>
        <w:t>（</w:t>
      </w:r>
      <w:r>
        <w:rPr>
          <w:rFonts w:eastAsia="仿宋"/>
          <w:spacing w:val="-49"/>
          <w:sz w:val="32"/>
          <w:szCs w:val="28"/>
        </w:rPr>
        <w:t xml:space="preserve"> 套</w:t>
      </w:r>
      <w:r>
        <w:rPr>
          <w:rFonts w:eastAsia="仿宋"/>
          <w:spacing w:val="11"/>
          <w:sz w:val="32"/>
          <w:szCs w:val="28"/>
        </w:rPr>
        <w:t>）</w:t>
      </w:r>
      <w:r>
        <w:rPr>
          <w:rFonts w:eastAsia="仿宋"/>
          <w:spacing w:val="-17"/>
          <w:sz w:val="32"/>
          <w:szCs w:val="28"/>
        </w:rPr>
        <w:t>，价值</w:t>
      </w:r>
      <w:r>
        <w:rPr>
          <w:rFonts w:hint="eastAsia" w:eastAsia="仿宋"/>
          <w:spacing w:val="11"/>
          <w:sz w:val="32"/>
          <w:szCs w:val="28"/>
          <w:lang w:val="en-US" w:eastAsia="zh-CN"/>
        </w:rPr>
        <w:t>0</w:t>
      </w:r>
      <w:r>
        <w:rPr>
          <w:rFonts w:eastAsia="仿宋"/>
          <w:spacing w:val="14"/>
          <w:sz w:val="32"/>
          <w:szCs w:val="28"/>
        </w:rPr>
        <w:t>万元。</w:t>
      </w:r>
    </w:p>
    <w:p>
      <w:pPr>
        <w:pStyle w:val="3"/>
        <w:spacing w:before="22"/>
        <w:rPr>
          <w:rFonts w:hint="eastAsia"/>
          <w:w w:val="105"/>
          <w:lang w:val="zh-CN" w:eastAsia="zh-CN"/>
        </w:rPr>
      </w:pPr>
      <w:bookmarkStart w:id="19" w:name="_TOC_250000"/>
      <w:bookmarkEnd w:id="19"/>
      <w:r>
        <w:rPr>
          <w:w w:val="105"/>
        </w:rPr>
        <w:t>七、</w:t>
      </w:r>
      <w:r>
        <w:rPr>
          <w:rFonts w:hint="eastAsia"/>
          <w:w w:val="105"/>
          <w:lang w:val="zh-CN" w:eastAsia="zh-CN"/>
        </w:rPr>
        <w:t>其他说明</w:t>
      </w:r>
    </w:p>
    <w:p>
      <w:pPr>
        <w:pStyle w:val="6"/>
        <w:spacing w:before="123" w:line="244" w:lineRule="auto"/>
        <w:ind w:left="1420" w:right="1461" w:firstLine="604"/>
        <w:rPr>
          <w:rFonts w:hint="eastAsia" w:eastAsia="仿宋"/>
          <w:sz w:val="32"/>
          <w:szCs w:val="28"/>
          <w:lang w:eastAsia="zh-CN"/>
        </w:rPr>
      </w:pPr>
      <w:r>
        <w:rPr>
          <w:rFonts w:hint="eastAsia" w:eastAsia="仿宋"/>
          <w:sz w:val="32"/>
          <w:szCs w:val="28"/>
          <w:lang w:eastAsia="zh-CN"/>
        </w:rPr>
        <w:t>无</w:t>
      </w:r>
    </w:p>
    <w:p>
      <w:pPr>
        <w:spacing w:after="0" w:line="244" w:lineRule="auto"/>
        <w:rPr>
          <w:rFonts w:eastAsia="仿宋"/>
          <w:sz w:val="32"/>
          <w:szCs w:val="28"/>
        </w:rPr>
        <w:sectPr>
          <w:headerReference r:id="rId13" w:type="default"/>
          <w:footerReference r:id="rId14" w:type="default"/>
          <w:pgSz w:w="11900" w:h="16840"/>
          <w:pgMar w:top="1100" w:right="20" w:bottom="580" w:left="260" w:header="0" w:footer="388" w:gutter="0"/>
          <w:pgNumType w:fmt="decimal" w:start="26"/>
          <w:cols w:space="720" w:num="1"/>
        </w:sectPr>
      </w:pPr>
    </w:p>
    <w:p>
      <w:pPr>
        <w:pStyle w:val="6"/>
        <w:spacing w:before="6"/>
        <w:rPr>
          <w:sz w:val="11"/>
        </w:rPr>
      </w:pPr>
      <w:bookmarkStart w:id="20" w:name="（二）一般公共预算支出情况"/>
      <w:bookmarkEnd w:id="20"/>
    </w:p>
    <w:p>
      <w:pPr>
        <w:pStyle w:val="6"/>
        <w:spacing w:before="4"/>
        <w:rPr>
          <w:rFonts w:ascii="Times New Roman"/>
          <w:sz w:val="17"/>
        </w:rPr>
      </w:pPr>
      <w:bookmarkStart w:id="21" w:name="一般公共预算当年拨款结构情况"/>
      <w:bookmarkEnd w:id="21"/>
      <w:r>
        <w:pict>
          <v:group id="_x0000_s1059" o:spid="_x0000_s1059" o:spt="203" style="position:absolute;left:0pt;margin-left:1.55pt;margin-top:87.55pt;height:754.4pt;width:593.4pt;mso-position-horizontal-relative:page;mso-position-vertical-relative:page;z-index:-251656192;mso-width-relative:page;mso-height-relative:page;" coordorigin="31,1752" coordsize="11868,15088">
            <o:lock v:ext="edit"/>
            <v:shape id="_x0000_s1060" o:spid="_x0000_s1060" o:spt="75" type="#_x0000_t75" style="position:absolute;left:1848;top:2844;height:265;width:8237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61" o:spid="_x0000_s1061" o:spt="75" type="#_x0000_t75" style="position:absolute;left:31;top:1752;height:15088;width:11868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r:id="rId15" w:type="default"/>
          <w:footerReference r:id="rId16" w:type="default"/>
          <w:pgSz w:w="11900" w:h="16840"/>
          <w:pgMar w:top="1600" w:right="20" w:bottom="280" w:left="260" w:header="0" w:footer="0" w:gutter="0"/>
          <w:pgNumType w:fmt="decimal"/>
          <w:cols w:space="720" w:num="1"/>
        </w:sectPr>
      </w:pPr>
    </w:p>
    <w:p>
      <w:pPr>
        <w:pStyle w:val="5"/>
        <w:spacing w:before="43" w:line="242" w:lineRule="auto"/>
        <w:ind w:right="1330"/>
        <w:rPr>
          <w:rFonts w:eastAsia="仿宋"/>
          <w:sz w:val="32"/>
        </w:rPr>
      </w:pPr>
      <w:r>
        <w:rPr>
          <w:rFonts w:eastAsia="仿宋"/>
          <w:spacing w:val="20"/>
          <w:w w:val="95"/>
          <w:sz w:val="32"/>
        </w:rPr>
        <w:t xml:space="preserve">一、基本支出：指为保障机构正常运转、完成日常工作任务 </w:t>
      </w:r>
      <w:r>
        <w:rPr>
          <w:rFonts w:eastAsia="仿宋"/>
          <w:spacing w:val="19"/>
          <w:sz w:val="32"/>
        </w:rPr>
        <w:t>而发生的人员支出和公用支出。</w:t>
      </w:r>
    </w:p>
    <w:p>
      <w:pPr>
        <w:spacing w:before="120" w:line="242" w:lineRule="auto"/>
        <w:ind w:left="1420" w:right="1330" w:firstLine="0"/>
        <w:jc w:val="left"/>
        <w:rPr>
          <w:rFonts w:eastAsia="仿宋"/>
          <w:sz w:val="32"/>
        </w:rPr>
      </w:pPr>
      <w:r>
        <w:rPr>
          <w:rFonts w:eastAsia="仿宋"/>
          <w:spacing w:val="20"/>
          <w:w w:val="95"/>
          <w:sz w:val="32"/>
        </w:rPr>
        <w:t xml:space="preserve">二、项目支出：指在基本支出之外为完成特定行政任务和事 </w:t>
      </w:r>
      <w:r>
        <w:rPr>
          <w:rFonts w:eastAsia="仿宋"/>
          <w:spacing w:val="19"/>
          <w:sz w:val="32"/>
        </w:rPr>
        <w:t>业发 展目标所发生的支出。</w:t>
      </w:r>
    </w:p>
    <w:p>
      <w:pPr>
        <w:tabs>
          <w:tab w:val="left" w:pos="2468"/>
          <w:tab w:val="left" w:pos="4177"/>
          <w:tab w:val="left" w:pos="4861"/>
          <w:tab w:val="left" w:pos="6913"/>
        </w:tabs>
        <w:spacing w:before="120" w:line="242" w:lineRule="auto"/>
        <w:ind w:left="1420" w:right="1306" w:firstLine="0"/>
        <w:jc w:val="left"/>
        <w:rPr>
          <w:rFonts w:eastAsia="仿宋"/>
          <w:sz w:val="32"/>
        </w:rPr>
      </w:pPr>
      <w:r>
        <w:rPr>
          <w:rFonts w:eastAsia="仿宋"/>
          <w:spacing w:val="21"/>
          <w:sz w:val="32"/>
        </w:rPr>
        <w:t>三</w:t>
      </w:r>
      <w:r>
        <w:rPr>
          <w:rFonts w:eastAsia="仿宋"/>
          <w:spacing w:val="24"/>
          <w:sz w:val="32"/>
        </w:rPr>
        <w:t>、</w:t>
      </w:r>
      <w:r>
        <w:rPr>
          <w:rFonts w:eastAsia="仿宋"/>
          <w:spacing w:val="21"/>
          <w:sz w:val="32"/>
        </w:rPr>
        <w:t>“三</w:t>
      </w:r>
      <w:r>
        <w:rPr>
          <w:rFonts w:eastAsia="仿宋"/>
          <w:spacing w:val="24"/>
          <w:sz w:val="32"/>
        </w:rPr>
        <w:t>公”</w:t>
      </w:r>
      <w:r>
        <w:rPr>
          <w:rFonts w:eastAsia="仿宋"/>
          <w:spacing w:val="21"/>
          <w:sz w:val="32"/>
        </w:rPr>
        <w:t>经</w:t>
      </w:r>
      <w:r>
        <w:rPr>
          <w:rFonts w:eastAsia="仿宋"/>
          <w:spacing w:val="24"/>
          <w:sz w:val="32"/>
        </w:rPr>
        <w:t>费</w:t>
      </w:r>
      <w:r>
        <w:rPr>
          <w:rFonts w:eastAsia="仿宋"/>
          <w:spacing w:val="21"/>
          <w:sz w:val="32"/>
        </w:rPr>
        <w:t>：</w:t>
      </w:r>
      <w:r>
        <w:rPr>
          <w:rFonts w:eastAsia="仿宋"/>
          <w:spacing w:val="24"/>
          <w:sz w:val="32"/>
        </w:rPr>
        <w:t>指</w:t>
      </w:r>
      <w:r>
        <w:rPr>
          <w:rFonts w:eastAsia="仿宋"/>
          <w:spacing w:val="21"/>
          <w:sz w:val="32"/>
        </w:rPr>
        <w:t>市直</w:t>
      </w:r>
      <w:r>
        <w:rPr>
          <w:rFonts w:eastAsia="仿宋"/>
          <w:spacing w:val="24"/>
          <w:sz w:val="32"/>
        </w:rPr>
        <w:t>部</w:t>
      </w:r>
      <w:r>
        <w:rPr>
          <w:rFonts w:eastAsia="仿宋"/>
          <w:spacing w:val="21"/>
          <w:sz w:val="32"/>
        </w:rPr>
        <w:t>门</w:t>
      </w:r>
      <w:r>
        <w:rPr>
          <w:rFonts w:eastAsia="仿宋"/>
          <w:spacing w:val="24"/>
          <w:sz w:val="32"/>
        </w:rPr>
        <w:t>用</w:t>
      </w:r>
      <w:r>
        <w:rPr>
          <w:rFonts w:eastAsia="仿宋"/>
          <w:spacing w:val="21"/>
          <w:sz w:val="32"/>
        </w:rPr>
        <w:t>一</w:t>
      </w:r>
      <w:r>
        <w:rPr>
          <w:rFonts w:eastAsia="仿宋"/>
          <w:spacing w:val="24"/>
          <w:sz w:val="32"/>
        </w:rPr>
        <w:t>般</w:t>
      </w:r>
      <w:r>
        <w:rPr>
          <w:rFonts w:eastAsia="仿宋"/>
          <w:spacing w:val="21"/>
          <w:sz w:val="32"/>
        </w:rPr>
        <w:t>公</w:t>
      </w:r>
      <w:r>
        <w:rPr>
          <w:rFonts w:eastAsia="仿宋"/>
          <w:spacing w:val="24"/>
          <w:sz w:val="32"/>
        </w:rPr>
        <w:t>共</w:t>
      </w:r>
      <w:r>
        <w:rPr>
          <w:rFonts w:eastAsia="仿宋"/>
          <w:spacing w:val="21"/>
          <w:sz w:val="32"/>
        </w:rPr>
        <w:t>预</w:t>
      </w:r>
      <w:r>
        <w:rPr>
          <w:rFonts w:eastAsia="仿宋"/>
          <w:spacing w:val="24"/>
          <w:sz w:val="32"/>
        </w:rPr>
        <w:t>算</w:t>
      </w:r>
      <w:r>
        <w:rPr>
          <w:rFonts w:eastAsia="仿宋"/>
          <w:spacing w:val="21"/>
          <w:sz w:val="32"/>
        </w:rPr>
        <w:t>安</w:t>
      </w:r>
      <w:r>
        <w:rPr>
          <w:rFonts w:eastAsia="仿宋"/>
          <w:spacing w:val="24"/>
          <w:sz w:val="32"/>
        </w:rPr>
        <w:t>排</w:t>
      </w:r>
      <w:r>
        <w:rPr>
          <w:rFonts w:eastAsia="仿宋"/>
          <w:spacing w:val="21"/>
          <w:sz w:val="32"/>
        </w:rPr>
        <w:t>的</w:t>
      </w:r>
      <w:r>
        <w:rPr>
          <w:rFonts w:eastAsia="仿宋"/>
          <w:spacing w:val="24"/>
          <w:sz w:val="32"/>
        </w:rPr>
        <w:t>因</w:t>
      </w:r>
      <w:r>
        <w:rPr>
          <w:rFonts w:eastAsia="仿宋"/>
          <w:sz w:val="32"/>
        </w:rPr>
        <w:t>公</w:t>
      </w:r>
      <w:r>
        <w:rPr>
          <w:rFonts w:eastAsia="仿宋"/>
          <w:spacing w:val="21"/>
          <w:sz w:val="32"/>
        </w:rPr>
        <w:t>出</w:t>
      </w:r>
      <w:r>
        <w:rPr>
          <w:rFonts w:eastAsia="仿宋"/>
          <w:spacing w:val="24"/>
          <w:sz w:val="32"/>
        </w:rPr>
        <w:t>国</w:t>
      </w:r>
      <w:r>
        <w:rPr>
          <w:rFonts w:eastAsia="仿宋"/>
          <w:spacing w:val="21"/>
          <w:sz w:val="32"/>
        </w:rPr>
        <w:t>（</w:t>
      </w:r>
      <w:r>
        <w:rPr>
          <w:rFonts w:eastAsia="仿宋"/>
          <w:spacing w:val="24"/>
          <w:sz w:val="32"/>
        </w:rPr>
        <w:t>境</w:t>
      </w:r>
      <w:r>
        <w:rPr>
          <w:rFonts w:eastAsia="仿宋"/>
          <w:spacing w:val="21"/>
          <w:sz w:val="32"/>
        </w:rPr>
        <w:t>）</w:t>
      </w:r>
      <w:r>
        <w:rPr>
          <w:rFonts w:eastAsia="仿宋"/>
          <w:spacing w:val="24"/>
          <w:sz w:val="32"/>
        </w:rPr>
        <w:t>费</w:t>
      </w:r>
      <w:r>
        <w:rPr>
          <w:rFonts w:eastAsia="仿宋"/>
          <w:spacing w:val="21"/>
          <w:sz w:val="32"/>
        </w:rPr>
        <w:t>、</w:t>
      </w:r>
      <w:r>
        <w:rPr>
          <w:rFonts w:eastAsia="仿宋"/>
          <w:spacing w:val="24"/>
          <w:sz w:val="32"/>
        </w:rPr>
        <w:t>公</w:t>
      </w:r>
      <w:r>
        <w:rPr>
          <w:rFonts w:eastAsia="仿宋"/>
          <w:spacing w:val="21"/>
          <w:sz w:val="32"/>
        </w:rPr>
        <w:t>务</w:t>
      </w:r>
      <w:r>
        <w:rPr>
          <w:rFonts w:eastAsia="仿宋"/>
          <w:spacing w:val="24"/>
          <w:sz w:val="32"/>
        </w:rPr>
        <w:t>用</w:t>
      </w:r>
      <w:r>
        <w:rPr>
          <w:rFonts w:eastAsia="仿宋"/>
          <w:spacing w:val="21"/>
          <w:sz w:val="32"/>
        </w:rPr>
        <w:t>车</w:t>
      </w:r>
      <w:r>
        <w:rPr>
          <w:rFonts w:eastAsia="仿宋"/>
          <w:spacing w:val="24"/>
          <w:sz w:val="32"/>
        </w:rPr>
        <w:t>购</w:t>
      </w:r>
      <w:r>
        <w:rPr>
          <w:rFonts w:eastAsia="仿宋"/>
          <w:spacing w:val="21"/>
          <w:sz w:val="32"/>
        </w:rPr>
        <w:t>置</w:t>
      </w:r>
      <w:r>
        <w:rPr>
          <w:rFonts w:eastAsia="仿宋"/>
          <w:spacing w:val="24"/>
          <w:sz w:val="32"/>
        </w:rPr>
        <w:t>及</w:t>
      </w:r>
      <w:r>
        <w:rPr>
          <w:rFonts w:eastAsia="仿宋"/>
          <w:spacing w:val="21"/>
          <w:sz w:val="32"/>
        </w:rPr>
        <w:t>运</w:t>
      </w:r>
      <w:r>
        <w:rPr>
          <w:rFonts w:eastAsia="仿宋"/>
          <w:spacing w:val="24"/>
          <w:sz w:val="32"/>
        </w:rPr>
        <w:t>行</w:t>
      </w:r>
      <w:r>
        <w:rPr>
          <w:rFonts w:eastAsia="仿宋"/>
          <w:spacing w:val="21"/>
          <w:sz w:val="32"/>
        </w:rPr>
        <w:t>费</w:t>
      </w:r>
      <w:r>
        <w:rPr>
          <w:rFonts w:eastAsia="仿宋"/>
          <w:spacing w:val="24"/>
          <w:sz w:val="32"/>
        </w:rPr>
        <w:t>和</w:t>
      </w:r>
      <w:r>
        <w:rPr>
          <w:rFonts w:eastAsia="仿宋"/>
          <w:spacing w:val="21"/>
          <w:sz w:val="32"/>
        </w:rPr>
        <w:t>公</w:t>
      </w:r>
      <w:r>
        <w:rPr>
          <w:rFonts w:eastAsia="仿宋"/>
          <w:spacing w:val="24"/>
          <w:sz w:val="32"/>
        </w:rPr>
        <w:t>务</w:t>
      </w:r>
      <w:r>
        <w:rPr>
          <w:rFonts w:eastAsia="仿宋"/>
          <w:spacing w:val="21"/>
          <w:sz w:val="32"/>
        </w:rPr>
        <w:t>接</w:t>
      </w:r>
      <w:r>
        <w:rPr>
          <w:rFonts w:eastAsia="仿宋"/>
          <w:spacing w:val="24"/>
          <w:sz w:val="32"/>
        </w:rPr>
        <w:t>待</w:t>
      </w:r>
      <w:r>
        <w:rPr>
          <w:rFonts w:eastAsia="仿宋"/>
          <w:spacing w:val="21"/>
          <w:sz w:val="32"/>
        </w:rPr>
        <w:t>费</w:t>
      </w:r>
      <w:r>
        <w:rPr>
          <w:rFonts w:eastAsia="仿宋"/>
          <w:spacing w:val="24"/>
          <w:sz w:val="32"/>
        </w:rPr>
        <w:t>。</w:t>
      </w:r>
      <w:r>
        <w:rPr>
          <w:rFonts w:eastAsia="仿宋"/>
          <w:sz w:val="32"/>
        </w:rPr>
        <w:t xml:space="preserve">其 </w:t>
      </w:r>
      <w:r>
        <w:rPr>
          <w:rFonts w:eastAsia="仿宋"/>
          <w:spacing w:val="21"/>
          <w:sz w:val="32"/>
        </w:rPr>
        <w:t>中</w:t>
      </w:r>
      <w:r>
        <w:rPr>
          <w:rFonts w:eastAsia="仿宋"/>
          <w:spacing w:val="24"/>
          <w:sz w:val="32"/>
        </w:rPr>
        <w:t>，</w:t>
      </w:r>
      <w:r>
        <w:rPr>
          <w:rFonts w:eastAsia="仿宋"/>
          <w:spacing w:val="21"/>
          <w:sz w:val="32"/>
        </w:rPr>
        <w:t>因</w:t>
      </w:r>
      <w:r>
        <w:rPr>
          <w:rFonts w:eastAsia="仿宋"/>
          <w:spacing w:val="24"/>
          <w:sz w:val="32"/>
        </w:rPr>
        <w:t>公</w:t>
      </w:r>
      <w:r>
        <w:rPr>
          <w:rFonts w:eastAsia="仿宋"/>
          <w:spacing w:val="21"/>
          <w:sz w:val="32"/>
        </w:rPr>
        <w:t>出</w:t>
      </w:r>
      <w:r>
        <w:rPr>
          <w:rFonts w:eastAsia="仿宋"/>
          <w:spacing w:val="24"/>
          <w:sz w:val="32"/>
        </w:rPr>
        <w:t>国</w:t>
      </w:r>
      <w:r>
        <w:rPr>
          <w:rFonts w:eastAsia="仿宋"/>
          <w:spacing w:val="21"/>
          <w:sz w:val="32"/>
        </w:rPr>
        <w:t>（</w:t>
      </w:r>
      <w:r>
        <w:rPr>
          <w:rFonts w:eastAsia="仿宋"/>
          <w:spacing w:val="24"/>
          <w:sz w:val="32"/>
        </w:rPr>
        <w:t>境</w:t>
      </w:r>
      <w:r>
        <w:rPr>
          <w:rFonts w:eastAsia="仿宋"/>
          <w:sz w:val="32"/>
        </w:rPr>
        <w:t>）</w:t>
      </w:r>
      <w:r>
        <w:rPr>
          <w:rFonts w:eastAsia="仿宋"/>
          <w:sz w:val="32"/>
        </w:rPr>
        <w:tab/>
      </w:r>
      <w:r>
        <w:rPr>
          <w:rFonts w:eastAsia="仿宋"/>
          <w:spacing w:val="21"/>
          <w:w w:val="95"/>
          <w:sz w:val="32"/>
        </w:rPr>
        <w:t>费</w:t>
      </w:r>
      <w:r>
        <w:rPr>
          <w:rFonts w:eastAsia="仿宋"/>
          <w:spacing w:val="24"/>
          <w:w w:val="95"/>
          <w:sz w:val="32"/>
        </w:rPr>
        <w:t>反</w:t>
      </w:r>
      <w:r>
        <w:rPr>
          <w:rFonts w:eastAsia="仿宋"/>
          <w:spacing w:val="21"/>
          <w:w w:val="95"/>
          <w:sz w:val="32"/>
        </w:rPr>
        <w:t>映</w:t>
      </w:r>
      <w:r>
        <w:rPr>
          <w:rFonts w:eastAsia="仿宋"/>
          <w:spacing w:val="24"/>
          <w:w w:val="95"/>
          <w:sz w:val="32"/>
        </w:rPr>
        <w:t>单</w:t>
      </w:r>
      <w:r>
        <w:rPr>
          <w:rFonts w:eastAsia="仿宋"/>
          <w:spacing w:val="21"/>
          <w:w w:val="95"/>
          <w:sz w:val="32"/>
        </w:rPr>
        <w:t>位</w:t>
      </w:r>
      <w:r>
        <w:rPr>
          <w:rFonts w:eastAsia="仿宋"/>
          <w:spacing w:val="24"/>
          <w:w w:val="95"/>
          <w:sz w:val="32"/>
        </w:rPr>
        <w:t>公</w:t>
      </w:r>
      <w:r>
        <w:rPr>
          <w:rFonts w:eastAsia="仿宋"/>
          <w:spacing w:val="21"/>
          <w:w w:val="95"/>
          <w:sz w:val="32"/>
        </w:rPr>
        <w:t>务</w:t>
      </w:r>
      <w:r>
        <w:rPr>
          <w:rFonts w:eastAsia="仿宋"/>
          <w:spacing w:val="24"/>
          <w:w w:val="95"/>
          <w:sz w:val="32"/>
        </w:rPr>
        <w:t>出</w:t>
      </w:r>
      <w:r>
        <w:rPr>
          <w:rFonts w:eastAsia="仿宋"/>
          <w:spacing w:val="21"/>
          <w:w w:val="95"/>
          <w:sz w:val="32"/>
        </w:rPr>
        <w:t>国</w:t>
      </w:r>
      <w:r>
        <w:rPr>
          <w:rFonts w:eastAsia="仿宋"/>
          <w:spacing w:val="24"/>
          <w:w w:val="95"/>
          <w:sz w:val="32"/>
        </w:rPr>
        <w:t>（</w:t>
      </w:r>
      <w:r>
        <w:rPr>
          <w:rFonts w:eastAsia="仿宋"/>
          <w:spacing w:val="21"/>
          <w:w w:val="95"/>
          <w:sz w:val="32"/>
        </w:rPr>
        <w:t>境</w:t>
      </w:r>
      <w:r>
        <w:rPr>
          <w:rFonts w:eastAsia="仿宋"/>
          <w:spacing w:val="24"/>
          <w:w w:val="95"/>
          <w:sz w:val="32"/>
        </w:rPr>
        <w:t>）</w:t>
      </w:r>
      <w:r>
        <w:rPr>
          <w:rFonts w:eastAsia="仿宋"/>
          <w:spacing w:val="21"/>
          <w:w w:val="95"/>
          <w:sz w:val="32"/>
        </w:rPr>
        <w:t>的</w:t>
      </w:r>
      <w:r>
        <w:rPr>
          <w:rFonts w:eastAsia="仿宋"/>
          <w:spacing w:val="24"/>
          <w:w w:val="95"/>
          <w:sz w:val="32"/>
        </w:rPr>
        <w:t>国</w:t>
      </w:r>
      <w:r>
        <w:rPr>
          <w:rFonts w:eastAsia="仿宋"/>
          <w:spacing w:val="21"/>
          <w:w w:val="95"/>
          <w:sz w:val="32"/>
        </w:rPr>
        <w:t>际</w:t>
      </w:r>
      <w:r>
        <w:rPr>
          <w:rFonts w:eastAsia="仿宋"/>
          <w:w w:val="95"/>
          <w:sz w:val="32"/>
        </w:rPr>
        <w:t>旅</w:t>
      </w:r>
      <w:r>
        <w:rPr>
          <w:rFonts w:eastAsia="仿宋"/>
          <w:spacing w:val="21"/>
          <w:sz w:val="32"/>
        </w:rPr>
        <w:t>费</w:t>
      </w:r>
      <w:r>
        <w:rPr>
          <w:rFonts w:eastAsia="仿宋"/>
          <w:spacing w:val="24"/>
          <w:sz w:val="32"/>
        </w:rPr>
        <w:t>、</w:t>
      </w:r>
      <w:r>
        <w:rPr>
          <w:rFonts w:eastAsia="仿宋"/>
          <w:spacing w:val="21"/>
          <w:sz w:val="32"/>
        </w:rPr>
        <w:t>国</w:t>
      </w:r>
      <w:r>
        <w:rPr>
          <w:rFonts w:eastAsia="仿宋"/>
          <w:spacing w:val="24"/>
          <w:sz w:val="32"/>
        </w:rPr>
        <w:t>外</w:t>
      </w:r>
      <w:r>
        <w:rPr>
          <w:rFonts w:eastAsia="仿宋"/>
          <w:spacing w:val="21"/>
          <w:sz w:val="32"/>
        </w:rPr>
        <w:t>城</w:t>
      </w:r>
      <w:r>
        <w:rPr>
          <w:rFonts w:eastAsia="仿宋"/>
          <w:spacing w:val="24"/>
          <w:sz w:val="32"/>
        </w:rPr>
        <w:t>市</w:t>
      </w:r>
      <w:r>
        <w:rPr>
          <w:rFonts w:eastAsia="仿宋"/>
          <w:spacing w:val="21"/>
          <w:sz w:val="32"/>
        </w:rPr>
        <w:t>间</w:t>
      </w:r>
      <w:r>
        <w:rPr>
          <w:rFonts w:eastAsia="仿宋"/>
          <w:spacing w:val="24"/>
          <w:sz w:val="32"/>
        </w:rPr>
        <w:t>交</w:t>
      </w:r>
      <w:r>
        <w:rPr>
          <w:rFonts w:eastAsia="仿宋"/>
          <w:spacing w:val="21"/>
          <w:sz w:val="32"/>
        </w:rPr>
        <w:t>通</w:t>
      </w:r>
      <w:r>
        <w:rPr>
          <w:rFonts w:eastAsia="仿宋"/>
          <w:spacing w:val="24"/>
          <w:sz w:val="32"/>
        </w:rPr>
        <w:t>费</w:t>
      </w:r>
      <w:r>
        <w:rPr>
          <w:rFonts w:eastAsia="仿宋"/>
          <w:spacing w:val="21"/>
          <w:sz w:val="32"/>
        </w:rPr>
        <w:t>、</w:t>
      </w:r>
      <w:r>
        <w:rPr>
          <w:rFonts w:eastAsia="仿宋"/>
          <w:spacing w:val="24"/>
          <w:sz w:val="32"/>
        </w:rPr>
        <w:t>住</w:t>
      </w:r>
      <w:r>
        <w:rPr>
          <w:rFonts w:eastAsia="仿宋"/>
          <w:spacing w:val="21"/>
          <w:sz w:val="32"/>
        </w:rPr>
        <w:t>宿</w:t>
      </w:r>
      <w:r>
        <w:rPr>
          <w:rFonts w:eastAsia="仿宋"/>
          <w:spacing w:val="24"/>
          <w:sz w:val="32"/>
        </w:rPr>
        <w:t>费</w:t>
      </w:r>
      <w:r>
        <w:rPr>
          <w:rFonts w:eastAsia="仿宋"/>
          <w:sz w:val="32"/>
        </w:rPr>
        <w:t>、</w:t>
      </w:r>
      <w:r>
        <w:rPr>
          <w:rFonts w:eastAsia="仿宋"/>
          <w:sz w:val="32"/>
        </w:rPr>
        <w:tab/>
      </w:r>
      <w:r>
        <w:rPr>
          <w:rFonts w:eastAsia="仿宋"/>
          <w:spacing w:val="21"/>
          <w:sz w:val="32"/>
        </w:rPr>
        <w:t>伙</w:t>
      </w:r>
      <w:r>
        <w:rPr>
          <w:rFonts w:eastAsia="仿宋"/>
          <w:spacing w:val="24"/>
          <w:sz w:val="32"/>
        </w:rPr>
        <w:t>食</w:t>
      </w:r>
      <w:r>
        <w:rPr>
          <w:rFonts w:eastAsia="仿宋"/>
          <w:spacing w:val="21"/>
          <w:sz w:val="32"/>
        </w:rPr>
        <w:t>费</w:t>
      </w:r>
      <w:r>
        <w:rPr>
          <w:rFonts w:eastAsia="仿宋"/>
          <w:spacing w:val="24"/>
          <w:sz w:val="32"/>
        </w:rPr>
        <w:t>、</w:t>
      </w:r>
      <w:r>
        <w:rPr>
          <w:rFonts w:eastAsia="仿宋"/>
          <w:spacing w:val="21"/>
          <w:sz w:val="32"/>
        </w:rPr>
        <w:t>培</w:t>
      </w:r>
      <w:r>
        <w:rPr>
          <w:rFonts w:eastAsia="仿宋"/>
          <w:spacing w:val="24"/>
          <w:sz w:val="32"/>
        </w:rPr>
        <w:t>训</w:t>
      </w:r>
      <w:r>
        <w:rPr>
          <w:rFonts w:eastAsia="仿宋"/>
          <w:spacing w:val="21"/>
          <w:sz w:val="32"/>
        </w:rPr>
        <w:t>费</w:t>
      </w:r>
      <w:r>
        <w:rPr>
          <w:rFonts w:eastAsia="仿宋"/>
          <w:spacing w:val="24"/>
          <w:sz w:val="32"/>
        </w:rPr>
        <w:t>、</w:t>
      </w:r>
      <w:r>
        <w:rPr>
          <w:rFonts w:eastAsia="仿宋"/>
          <w:spacing w:val="21"/>
          <w:sz w:val="32"/>
        </w:rPr>
        <w:t>公</w:t>
      </w:r>
      <w:r>
        <w:rPr>
          <w:rFonts w:eastAsia="仿宋"/>
          <w:spacing w:val="-11"/>
          <w:sz w:val="32"/>
        </w:rPr>
        <w:t>杂</w:t>
      </w:r>
      <w:r>
        <w:rPr>
          <w:rFonts w:eastAsia="仿宋"/>
          <w:spacing w:val="21"/>
          <w:sz w:val="32"/>
        </w:rPr>
        <w:t>费</w:t>
      </w:r>
      <w:r>
        <w:rPr>
          <w:rFonts w:eastAsia="仿宋"/>
          <w:spacing w:val="24"/>
          <w:sz w:val="32"/>
        </w:rPr>
        <w:t>等</w:t>
      </w:r>
      <w:r>
        <w:rPr>
          <w:rFonts w:eastAsia="仿宋"/>
          <w:spacing w:val="21"/>
          <w:sz w:val="32"/>
        </w:rPr>
        <w:t>支</w:t>
      </w:r>
      <w:r>
        <w:rPr>
          <w:rFonts w:eastAsia="仿宋"/>
          <w:spacing w:val="24"/>
          <w:sz w:val="32"/>
        </w:rPr>
        <w:t>出</w:t>
      </w:r>
      <w:r>
        <w:rPr>
          <w:rFonts w:eastAsia="仿宋"/>
          <w:spacing w:val="21"/>
          <w:sz w:val="32"/>
        </w:rPr>
        <w:t>；</w:t>
      </w:r>
      <w:r>
        <w:rPr>
          <w:rFonts w:eastAsia="仿宋"/>
          <w:spacing w:val="24"/>
          <w:sz w:val="32"/>
        </w:rPr>
        <w:t>公</w:t>
      </w:r>
      <w:r>
        <w:rPr>
          <w:rFonts w:eastAsia="仿宋"/>
          <w:spacing w:val="21"/>
          <w:sz w:val="32"/>
        </w:rPr>
        <w:t>务</w:t>
      </w:r>
      <w:r>
        <w:rPr>
          <w:rFonts w:eastAsia="仿宋"/>
          <w:spacing w:val="24"/>
          <w:sz w:val="32"/>
        </w:rPr>
        <w:t>用</w:t>
      </w:r>
      <w:r>
        <w:rPr>
          <w:rFonts w:eastAsia="仿宋"/>
          <w:spacing w:val="21"/>
          <w:sz w:val="32"/>
        </w:rPr>
        <w:t>车</w:t>
      </w:r>
      <w:r>
        <w:rPr>
          <w:rFonts w:eastAsia="仿宋"/>
          <w:spacing w:val="24"/>
          <w:sz w:val="32"/>
        </w:rPr>
        <w:t>购</w:t>
      </w:r>
      <w:r>
        <w:rPr>
          <w:rFonts w:eastAsia="仿宋"/>
          <w:spacing w:val="21"/>
          <w:sz w:val="32"/>
        </w:rPr>
        <w:t>置</w:t>
      </w:r>
      <w:r>
        <w:rPr>
          <w:rFonts w:eastAsia="仿宋"/>
          <w:spacing w:val="24"/>
          <w:sz w:val="32"/>
        </w:rPr>
        <w:t>费</w:t>
      </w:r>
      <w:r>
        <w:rPr>
          <w:rFonts w:eastAsia="仿宋"/>
          <w:spacing w:val="21"/>
          <w:sz w:val="32"/>
        </w:rPr>
        <w:t>反</w:t>
      </w:r>
      <w:r>
        <w:rPr>
          <w:rFonts w:eastAsia="仿宋"/>
          <w:spacing w:val="24"/>
          <w:sz w:val="32"/>
        </w:rPr>
        <w:t>映</w:t>
      </w:r>
      <w:r>
        <w:rPr>
          <w:rFonts w:eastAsia="仿宋"/>
          <w:spacing w:val="21"/>
          <w:sz w:val="32"/>
        </w:rPr>
        <w:t>公</w:t>
      </w:r>
      <w:r>
        <w:rPr>
          <w:rFonts w:eastAsia="仿宋"/>
          <w:spacing w:val="24"/>
          <w:sz w:val="32"/>
        </w:rPr>
        <w:t>务</w:t>
      </w:r>
      <w:r>
        <w:rPr>
          <w:rFonts w:eastAsia="仿宋"/>
          <w:spacing w:val="21"/>
          <w:sz w:val="32"/>
        </w:rPr>
        <w:t>用</w:t>
      </w:r>
      <w:r>
        <w:rPr>
          <w:rFonts w:eastAsia="仿宋"/>
          <w:spacing w:val="24"/>
          <w:sz w:val="32"/>
        </w:rPr>
        <w:t>车</w:t>
      </w:r>
      <w:r>
        <w:rPr>
          <w:rFonts w:eastAsia="仿宋"/>
          <w:spacing w:val="21"/>
          <w:sz w:val="32"/>
        </w:rPr>
        <w:t>车</w:t>
      </w:r>
      <w:r>
        <w:rPr>
          <w:rFonts w:eastAsia="仿宋"/>
          <w:spacing w:val="24"/>
          <w:sz w:val="32"/>
        </w:rPr>
        <w:t>辆</w:t>
      </w:r>
      <w:r>
        <w:rPr>
          <w:rFonts w:eastAsia="仿宋"/>
          <w:spacing w:val="21"/>
          <w:sz w:val="32"/>
        </w:rPr>
        <w:t>购</w:t>
      </w:r>
      <w:r>
        <w:rPr>
          <w:rFonts w:eastAsia="仿宋"/>
          <w:spacing w:val="24"/>
          <w:sz w:val="32"/>
        </w:rPr>
        <w:t>置</w:t>
      </w:r>
      <w:r>
        <w:rPr>
          <w:rFonts w:eastAsia="仿宋"/>
          <w:spacing w:val="21"/>
          <w:sz w:val="32"/>
        </w:rPr>
        <w:t>支</w:t>
      </w:r>
      <w:r>
        <w:rPr>
          <w:rFonts w:eastAsia="仿宋"/>
          <w:spacing w:val="24"/>
          <w:sz w:val="32"/>
        </w:rPr>
        <w:t>出</w:t>
      </w:r>
      <w:r>
        <w:rPr>
          <w:rFonts w:eastAsia="仿宋"/>
          <w:spacing w:val="21"/>
          <w:sz w:val="32"/>
        </w:rPr>
        <w:t>（</w:t>
      </w:r>
      <w:r>
        <w:rPr>
          <w:rFonts w:eastAsia="仿宋"/>
          <w:sz w:val="32"/>
        </w:rPr>
        <w:t>含</w:t>
      </w:r>
      <w:r>
        <w:rPr>
          <w:rFonts w:eastAsia="仿宋"/>
          <w:spacing w:val="21"/>
          <w:sz w:val="32"/>
        </w:rPr>
        <w:t>车</w:t>
      </w:r>
      <w:r>
        <w:rPr>
          <w:rFonts w:eastAsia="仿宋"/>
          <w:spacing w:val="24"/>
          <w:sz w:val="32"/>
        </w:rPr>
        <w:t>辆</w:t>
      </w:r>
      <w:r>
        <w:rPr>
          <w:rFonts w:eastAsia="仿宋"/>
          <w:spacing w:val="21"/>
          <w:sz w:val="32"/>
        </w:rPr>
        <w:t>购</w:t>
      </w:r>
      <w:r>
        <w:rPr>
          <w:rFonts w:eastAsia="仿宋"/>
          <w:spacing w:val="24"/>
          <w:sz w:val="32"/>
        </w:rPr>
        <w:t>置</w:t>
      </w:r>
      <w:r>
        <w:rPr>
          <w:rFonts w:eastAsia="仿宋"/>
          <w:spacing w:val="21"/>
          <w:sz w:val="32"/>
        </w:rPr>
        <w:t>税</w:t>
      </w:r>
      <w:r>
        <w:rPr>
          <w:rFonts w:eastAsia="仿宋"/>
          <w:spacing w:val="22"/>
          <w:sz w:val="32"/>
        </w:rPr>
        <w:t>）；</w:t>
      </w:r>
      <w:r>
        <w:rPr>
          <w:rFonts w:eastAsia="仿宋"/>
          <w:spacing w:val="24"/>
          <w:sz w:val="32"/>
        </w:rPr>
        <w:t>公</w:t>
      </w:r>
      <w:r>
        <w:rPr>
          <w:rFonts w:eastAsia="仿宋"/>
          <w:spacing w:val="21"/>
          <w:sz w:val="32"/>
        </w:rPr>
        <w:t>务</w:t>
      </w:r>
      <w:r>
        <w:rPr>
          <w:rFonts w:eastAsia="仿宋"/>
          <w:spacing w:val="24"/>
          <w:sz w:val="32"/>
        </w:rPr>
        <w:t>用</w:t>
      </w:r>
      <w:r>
        <w:rPr>
          <w:rFonts w:eastAsia="仿宋"/>
          <w:spacing w:val="21"/>
          <w:sz w:val="32"/>
        </w:rPr>
        <w:t>车</w:t>
      </w:r>
      <w:r>
        <w:rPr>
          <w:rFonts w:eastAsia="仿宋"/>
          <w:spacing w:val="24"/>
          <w:sz w:val="32"/>
        </w:rPr>
        <w:t>运</w:t>
      </w:r>
      <w:r>
        <w:rPr>
          <w:rFonts w:eastAsia="仿宋"/>
          <w:spacing w:val="21"/>
          <w:sz w:val="32"/>
        </w:rPr>
        <w:t>行</w:t>
      </w:r>
      <w:r>
        <w:rPr>
          <w:rFonts w:eastAsia="仿宋"/>
          <w:spacing w:val="24"/>
          <w:sz w:val="32"/>
        </w:rPr>
        <w:t>维</w:t>
      </w:r>
      <w:r>
        <w:rPr>
          <w:rFonts w:eastAsia="仿宋"/>
          <w:spacing w:val="21"/>
          <w:sz w:val="32"/>
        </w:rPr>
        <w:t>护</w:t>
      </w:r>
      <w:r>
        <w:rPr>
          <w:rFonts w:eastAsia="仿宋"/>
          <w:spacing w:val="24"/>
          <w:sz w:val="32"/>
        </w:rPr>
        <w:t>费</w:t>
      </w:r>
      <w:r>
        <w:rPr>
          <w:rFonts w:eastAsia="仿宋"/>
          <w:spacing w:val="21"/>
          <w:sz w:val="32"/>
        </w:rPr>
        <w:t>反</w:t>
      </w:r>
      <w:r>
        <w:rPr>
          <w:rFonts w:eastAsia="仿宋"/>
          <w:spacing w:val="24"/>
          <w:sz w:val="32"/>
        </w:rPr>
        <w:t>映</w:t>
      </w:r>
      <w:r>
        <w:rPr>
          <w:rFonts w:eastAsia="仿宋"/>
          <w:spacing w:val="21"/>
          <w:sz w:val="32"/>
        </w:rPr>
        <w:t>单</w:t>
      </w:r>
      <w:r>
        <w:rPr>
          <w:rFonts w:eastAsia="仿宋"/>
          <w:spacing w:val="24"/>
          <w:sz w:val="32"/>
        </w:rPr>
        <w:t>位</w:t>
      </w:r>
      <w:r>
        <w:rPr>
          <w:rFonts w:eastAsia="仿宋"/>
          <w:spacing w:val="21"/>
          <w:sz w:val="32"/>
        </w:rPr>
        <w:t>按</w:t>
      </w:r>
      <w:r>
        <w:rPr>
          <w:rFonts w:eastAsia="仿宋"/>
          <w:spacing w:val="24"/>
          <w:sz w:val="32"/>
        </w:rPr>
        <w:t>规</w:t>
      </w:r>
      <w:r>
        <w:rPr>
          <w:rFonts w:eastAsia="仿宋"/>
          <w:spacing w:val="21"/>
          <w:sz w:val="32"/>
        </w:rPr>
        <w:t>定</w:t>
      </w:r>
      <w:r>
        <w:rPr>
          <w:rFonts w:eastAsia="仿宋"/>
          <w:spacing w:val="24"/>
          <w:sz w:val="32"/>
        </w:rPr>
        <w:t>保</w:t>
      </w:r>
      <w:r>
        <w:rPr>
          <w:rFonts w:eastAsia="仿宋"/>
          <w:spacing w:val="21"/>
          <w:sz w:val="32"/>
        </w:rPr>
        <w:t>留</w:t>
      </w:r>
      <w:r>
        <w:rPr>
          <w:rFonts w:eastAsia="仿宋"/>
          <w:sz w:val="32"/>
        </w:rPr>
        <w:t>的</w:t>
      </w:r>
      <w:r>
        <w:rPr>
          <w:rFonts w:eastAsia="仿宋"/>
          <w:spacing w:val="21"/>
          <w:sz w:val="32"/>
        </w:rPr>
        <w:t>公</w:t>
      </w:r>
      <w:r>
        <w:rPr>
          <w:rFonts w:eastAsia="仿宋"/>
          <w:spacing w:val="24"/>
          <w:sz w:val="32"/>
        </w:rPr>
        <w:t>务</w:t>
      </w:r>
      <w:r>
        <w:rPr>
          <w:rFonts w:eastAsia="仿宋"/>
          <w:spacing w:val="21"/>
          <w:sz w:val="32"/>
        </w:rPr>
        <w:t>用</w:t>
      </w:r>
      <w:r>
        <w:rPr>
          <w:rFonts w:eastAsia="仿宋"/>
          <w:spacing w:val="24"/>
          <w:sz w:val="32"/>
        </w:rPr>
        <w:t>车</w:t>
      </w:r>
      <w:r>
        <w:rPr>
          <w:rFonts w:eastAsia="仿宋"/>
          <w:spacing w:val="21"/>
          <w:sz w:val="32"/>
        </w:rPr>
        <w:t>燃</w:t>
      </w:r>
      <w:r>
        <w:rPr>
          <w:rFonts w:eastAsia="仿宋"/>
          <w:spacing w:val="24"/>
          <w:sz w:val="32"/>
        </w:rPr>
        <w:t>料</w:t>
      </w:r>
      <w:r>
        <w:rPr>
          <w:rFonts w:eastAsia="仿宋"/>
          <w:spacing w:val="21"/>
          <w:sz w:val="32"/>
        </w:rPr>
        <w:t>费</w:t>
      </w:r>
      <w:r>
        <w:rPr>
          <w:rFonts w:eastAsia="仿宋"/>
          <w:spacing w:val="24"/>
          <w:sz w:val="32"/>
        </w:rPr>
        <w:t>、</w:t>
      </w:r>
      <w:r>
        <w:rPr>
          <w:rFonts w:eastAsia="仿宋"/>
          <w:spacing w:val="21"/>
          <w:sz w:val="32"/>
        </w:rPr>
        <w:t>维</w:t>
      </w:r>
      <w:r>
        <w:rPr>
          <w:rFonts w:eastAsia="仿宋"/>
          <w:spacing w:val="24"/>
          <w:sz w:val="32"/>
        </w:rPr>
        <w:t>修</w:t>
      </w:r>
      <w:r>
        <w:rPr>
          <w:rFonts w:eastAsia="仿宋"/>
          <w:spacing w:val="21"/>
          <w:sz w:val="32"/>
        </w:rPr>
        <w:t>费</w:t>
      </w:r>
      <w:r>
        <w:rPr>
          <w:rFonts w:eastAsia="仿宋"/>
          <w:spacing w:val="24"/>
          <w:sz w:val="32"/>
        </w:rPr>
        <w:t>、</w:t>
      </w:r>
      <w:r>
        <w:rPr>
          <w:rFonts w:eastAsia="仿宋"/>
          <w:spacing w:val="21"/>
          <w:sz w:val="32"/>
        </w:rPr>
        <w:t>过</w:t>
      </w:r>
      <w:r>
        <w:rPr>
          <w:rFonts w:eastAsia="仿宋"/>
          <w:spacing w:val="24"/>
          <w:sz w:val="32"/>
        </w:rPr>
        <w:t>路</w:t>
      </w:r>
      <w:r>
        <w:rPr>
          <w:rFonts w:eastAsia="仿宋"/>
          <w:spacing w:val="21"/>
          <w:sz w:val="32"/>
        </w:rPr>
        <w:t>过</w:t>
      </w:r>
      <w:r>
        <w:rPr>
          <w:rFonts w:eastAsia="仿宋"/>
          <w:spacing w:val="24"/>
          <w:sz w:val="32"/>
        </w:rPr>
        <w:t>桥</w:t>
      </w:r>
      <w:r>
        <w:rPr>
          <w:rFonts w:eastAsia="仿宋"/>
          <w:spacing w:val="21"/>
          <w:sz w:val="32"/>
        </w:rPr>
        <w:t>费</w:t>
      </w:r>
      <w:r>
        <w:rPr>
          <w:rFonts w:eastAsia="仿宋"/>
          <w:spacing w:val="24"/>
          <w:sz w:val="32"/>
        </w:rPr>
        <w:t>、</w:t>
      </w:r>
      <w:r>
        <w:rPr>
          <w:rFonts w:eastAsia="仿宋"/>
          <w:spacing w:val="21"/>
          <w:sz w:val="32"/>
        </w:rPr>
        <w:t>保</w:t>
      </w:r>
      <w:r>
        <w:rPr>
          <w:rFonts w:eastAsia="仿宋"/>
          <w:spacing w:val="24"/>
          <w:sz w:val="32"/>
        </w:rPr>
        <w:t>险</w:t>
      </w:r>
      <w:r>
        <w:rPr>
          <w:rFonts w:eastAsia="仿宋"/>
          <w:spacing w:val="21"/>
          <w:sz w:val="32"/>
        </w:rPr>
        <w:t>费</w:t>
      </w:r>
      <w:r>
        <w:rPr>
          <w:rFonts w:eastAsia="仿宋"/>
          <w:spacing w:val="24"/>
          <w:sz w:val="32"/>
        </w:rPr>
        <w:t>、</w:t>
      </w:r>
      <w:r>
        <w:rPr>
          <w:rFonts w:eastAsia="仿宋"/>
          <w:spacing w:val="21"/>
          <w:sz w:val="32"/>
        </w:rPr>
        <w:t>安</w:t>
      </w:r>
      <w:r>
        <w:rPr>
          <w:rFonts w:eastAsia="仿宋"/>
          <w:spacing w:val="24"/>
          <w:sz w:val="32"/>
        </w:rPr>
        <w:t>全</w:t>
      </w:r>
      <w:r>
        <w:rPr>
          <w:rFonts w:eastAsia="仿宋"/>
          <w:spacing w:val="21"/>
          <w:sz w:val="32"/>
        </w:rPr>
        <w:t>奖</w:t>
      </w:r>
      <w:r>
        <w:rPr>
          <w:rFonts w:eastAsia="仿宋"/>
          <w:sz w:val="32"/>
        </w:rPr>
        <w:t>励</w:t>
      </w:r>
      <w:r>
        <w:rPr>
          <w:rFonts w:eastAsia="仿宋"/>
          <w:spacing w:val="21"/>
          <w:sz w:val="32"/>
        </w:rPr>
        <w:t>费</w:t>
      </w:r>
      <w:r>
        <w:rPr>
          <w:rFonts w:eastAsia="仿宋"/>
          <w:sz w:val="32"/>
        </w:rPr>
        <w:t>用</w:t>
      </w:r>
      <w:r>
        <w:rPr>
          <w:rFonts w:eastAsia="仿宋"/>
          <w:sz w:val="32"/>
        </w:rPr>
        <w:tab/>
      </w:r>
      <w:r>
        <w:rPr>
          <w:rFonts w:eastAsia="仿宋"/>
          <w:spacing w:val="21"/>
          <w:w w:val="95"/>
          <w:sz w:val="32"/>
        </w:rPr>
        <w:t>等</w:t>
      </w:r>
      <w:r>
        <w:rPr>
          <w:rFonts w:eastAsia="仿宋"/>
          <w:spacing w:val="24"/>
          <w:w w:val="95"/>
          <w:sz w:val="32"/>
        </w:rPr>
        <w:t>支</w:t>
      </w:r>
      <w:r>
        <w:rPr>
          <w:rFonts w:eastAsia="仿宋"/>
          <w:spacing w:val="21"/>
          <w:w w:val="95"/>
          <w:sz w:val="32"/>
        </w:rPr>
        <w:t>出</w:t>
      </w:r>
      <w:r>
        <w:rPr>
          <w:rFonts w:eastAsia="仿宋"/>
          <w:spacing w:val="24"/>
          <w:w w:val="95"/>
          <w:sz w:val="32"/>
        </w:rPr>
        <w:t>；</w:t>
      </w:r>
      <w:r>
        <w:rPr>
          <w:rFonts w:eastAsia="仿宋"/>
          <w:spacing w:val="21"/>
          <w:w w:val="95"/>
          <w:sz w:val="32"/>
        </w:rPr>
        <w:t>公</w:t>
      </w:r>
      <w:r>
        <w:rPr>
          <w:rFonts w:eastAsia="仿宋"/>
          <w:spacing w:val="24"/>
          <w:w w:val="95"/>
          <w:sz w:val="32"/>
        </w:rPr>
        <w:t>务</w:t>
      </w:r>
      <w:r>
        <w:rPr>
          <w:rFonts w:eastAsia="仿宋"/>
          <w:spacing w:val="21"/>
          <w:w w:val="95"/>
          <w:sz w:val="32"/>
        </w:rPr>
        <w:t>接</w:t>
      </w:r>
      <w:r>
        <w:rPr>
          <w:rFonts w:eastAsia="仿宋"/>
          <w:spacing w:val="24"/>
          <w:w w:val="95"/>
          <w:sz w:val="32"/>
        </w:rPr>
        <w:t>待</w:t>
      </w:r>
      <w:r>
        <w:rPr>
          <w:rFonts w:eastAsia="仿宋"/>
          <w:spacing w:val="21"/>
          <w:w w:val="95"/>
          <w:sz w:val="32"/>
        </w:rPr>
        <w:t>费</w:t>
      </w:r>
      <w:r>
        <w:rPr>
          <w:rFonts w:eastAsia="仿宋"/>
          <w:spacing w:val="24"/>
          <w:w w:val="95"/>
          <w:sz w:val="32"/>
        </w:rPr>
        <w:t>反</w:t>
      </w:r>
      <w:r>
        <w:rPr>
          <w:rFonts w:eastAsia="仿宋"/>
          <w:spacing w:val="21"/>
          <w:w w:val="95"/>
          <w:sz w:val="32"/>
        </w:rPr>
        <w:t>映</w:t>
      </w:r>
      <w:r>
        <w:rPr>
          <w:rFonts w:eastAsia="仿宋"/>
          <w:spacing w:val="24"/>
          <w:w w:val="95"/>
          <w:sz w:val="32"/>
        </w:rPr>
        <w:t>单</w:t>
      </w:r>
      <w:r>
        <w:rPr>
          <w:rFonts w:eastAsia="仿宋"/>
          <w:spacing w:val="21"/>
          <w:w w:val="95"/>
          <w:sz w:val="32"/>
        </w:rPr>
        <w:t>位</w:t>
      </w:r>
      <w:r>
        <w:rPr>
          <w:rFonts w:eastAsia="仿宋"/>
          <w:spacing w:val="24"/>
          <w:w w:val="95"/>
          <w:sz w:val="32"/>
        </w:rPr>
        <w:t>按</w:t>
      </w:r>
      <w:r>
        <w:rPr>
          <w:rFonts w:eastAsia="仿宋"/>
          <w:spacing w:val="21"/>
          <w:w w:val="95"/>
          <w:sz w:val="32"/>
        </w:rPr>
        <w:t>规</w:t>
      </w:r>
      <w:r>
        <w:rPr>
          <w:rFonts w:eastAsia="仿宋"/>
          <w:spacing w:val="24"/>
          <w:w w:val="95"/>
          <w:sz w:val="32"/>
        </w:rPr>
        <w:t>定</w:t>
      </w:r>
      <w:r>
        <w:rPr>
          <w:rFonts w:eastAsia="仿宋"/>
          <w:spacing w:val="21"/>
          <w:w w:val="95"/>
          <w:sz w:val="32"/>
        </w:rPr>
        <w:t>开</w:t>
      </w:r>
      <w:r>
        <w:rPr>
          <w:rFonts w:eastAsia="仿宋"/>
          <w:spacing w:val="24"/>
          <w:w w:val="95"/>
          <w:sz w:val="32"/>
        </w:rPr>
        <w:t>支</w:t>
      </w:r>
      <w:r>
        <w:rPr>
          <w:rFonts w:eastAsia="仿宋"/>
          <w:spacing w:val="21"/>
          <w:w w:val="95"/>
          <w:sz w:val="32"/>
        </w:rPr>
        <w:t>的</w:t>
      </w:r>
      <w:r>
        <w:rPr>
          <w:rFonts w:eastAsia="仿宋"/>
          <w:spacing w:val="24"/>
          <w:w w:val="95"/>
          <w:sz w:val="32"/>
        </w:rPr>
        <w:t>各</w:t>
      </w:r>
      <w:r>
        <w:rPr>
          <w:rFonts w:eastAsia="仿宋"/>
          <w:spacing w:val="21"/>
          <w:w w:val="95"/>
          <w:sz w:val="32"/>
        </w:rPr>
        <w:t>类</w:t>
      </w:r>
      <w:r>
        <w:rPr>
          <w:rFonts w:eastAsia="仿宋"/>
          <w:spacing w:val="24"/>
          <w:w w:val="95"/>
          <w:sz w:val="32"/>
        </w:rPr>
        <w:t>公</w:t>
      </w:r>
      <w:r>
        <w:rPr>
          <w:rFonts w:eastAsia="仿宋"/>
          <w:w w:val="95"/>
          <w:sz w:val="32"/>
        </w:rPr>
        <w:t xml:space="preserve">务 </w:t>
      </w:r>
      <w:r>
        <w:rPr>
          <w:rFonts w:eastAsia="仿宋"/>
          <w:spacing w:val="21"/>
          <w:sz w:val="32"/>
        </w:rPr>
        <w:t>接</w:t>
      </w:r>
      <w:r>
        <w:rPr>
          <w:rFonts w:eastAsia="仿宋"/>
          <w:spacing w:val="24"/>
          <w:sz w:val="32"/>
        </w:rPr>
        <w:t>待</w:t>
      </w:r>
      <w:r>
        <w:rPr>
          <w:rFonts w:eastAsia="仿宋"/>
          <w:spacing w:val="21"/>
          <w:sz w:val="32"/>
        </w:rPr>
        <w:t>（</w:t>
      </w:r>
      <w:r>
        <w:rPr>
          <w:rFonts w:eastAsia="仿宋"/>
          <w:spacing w:val="24"/>
          <w:sz w:val="32"/>
        </w:rPr>
        <w:t>含</w:t>
      </w:r>
      <w:r>
        <w:rPr>
          <w:rFonts w:eastAsia="仿宋"/>
          <w:spacing w:val="21"/>
          <w:sz w:val="32"/>
        </w:rPr>
        <w:t>外</w:t>
      </w:r>
      <w:r>
        <w:rPr>
          <w:rFonts w:eastAsia="仿宋"/>
          <w:spacing w:val="24"/>
          <w:sz w:val="32"/>
        </w:rPr>
        <w:t>宾</w:t>
      </w:r>
      <w:r>
        <w:rPr>
          <w:rFonts w:eastAsia="仿宋"/>
          <w:sz w:val="32"/>
        </w:rPr>
        <w:t>接</w:t>
      </w:r>
      <w:r>
        <w:rPr>
          <w:rFonts w:eastAsia="仿宋"/>
          <w:spacing w:val="21"/>
          <w:sz w:val="32"/>
        </w:rPr>
        <w:t>待</w:t>
      </w:r>
      <w:r>
        <w:rPr>
          <w:rFonts w:eastAsia="仿宋"/>
          <w:spacing w:val="24"/>
          <w:sz w:val="32"/>
        </w:rPr>
        <w:t>）</w:t>
      </w:r>
      <w:r>
        <w:rPr>
          <w:rFonts w:eastAsia="仿宋"/>
          <w:spacing w:val="21"/>
          <w:sz w:val="32"/>
        </w:rPr>
        <w:t>支</w:t>
      </w:r>
      <w:r>
        <w:rPr>
          <w:rFonts w:eastAsia="仿宋"/>
          <w:spacing w:val="24"/>
          <w:sz w:val="32"/>
        </w:rPr>
        <w:t>出</w:t>
      </w:r>
      <w:r>
        <w:rPr>
          <w:rFonts w:eastAsia="仿宋"/>
          <w:sz w:val="32"/>
        </w:rPr>
        <w:t>。</w:t>
      </w:r>
    </w:p>
    <w:p>
      <w:pPr>
        <w:spacing w:before="125" w:line="242" w:lineRule="auto"/>
        <w:ind w:left="1420" w:right="1330" w:firstLine="0"/>
        <w:jc w:val="both"/>
        <w:rPr>
          <w:rFonts w:eastAsia="仿宋"/>
          <w:sz w:val="32"/>
        </w:rPr>
      </w:pPr>
      <w:r>
        <w:rPr>
          <w:rFonts w:eastAsia="仿宋"/>
          <w:spacing w:val="20"/>
          <w:w w:val="95"/>
          <w:sz w:val="32"/>
        </w:rPr>
        <w:t>四、</w:t>
      </w:r>
      <w:r>
        <w:rPr>
          <w:rFonts w:hint="eastAsia" w:eastAsia="仿宋"/>
          <w:spacing w:val="20"/>
          <w:w w:val="95"/>
          <w:sz w:val="32"/>
          <w:lang w:eastAsia="zh-CN"/>
        </w:rPr>
        <w:t>商品服务</w:t>
      </w:r>
      <w:r>
        <w:rPr>
          <w:rFonts w:eastAsia="仿宋"/>
          <w:spacing w:val="20"/>
          <w:w w:val="95"/>
          <w:sz w:val="32"/>
        </w:rPr>
        <w:t>经费</w:t>
      </w:r>
      <w:r>
        <w:rPr>
          <w:rFonts w:hint="eastAsia" w:eastAsia="仿宋"/>
          <w:spacing w:val="20"/>
          <w:w w:val="95"/>
          <w:sz w:val="32"/>
          <w:lang w:eastAsia="zh-CN"/>
        </w:rPr>
        <w:t>支出</w:t>
      </w:r>
      <w:r>
        <w:rPr>
          <w:rFonts w:eastAsia="仿宋"/>
          <w:spacing w:val="20"/>
          <w:w w:val="95"/>
          <w:sz w:val="32"/>
        </w:rPr>
        <w:t>：</w:t>
      </w:r>
      <w:bookmarkStart w:id="22" w:name="_GoBack"/>
      <w:bookmarkEnd w:id="22"/>
      <w:r>
        <w:rPr>
          <w:rFonts w:eastAsia="仿宋"/>
          <w:spacing w:val="20"/>
          <w:w w:val="95"/>
          <w:sz w:val="32"/>
        </w:rPr>
        <w:t>指事业单位使用一般公共预算安排的基本支出中的日常公用经费支</w:t>
      </w:r>
      <w:r>
        <w:rPr>
          <w:rFonts w:eastAsia="仿宋"/>
          <w:spacing w:val="10"/>
          <w:sz w:val="32"/>
        </w:rPr>
        <w:t>出。</w:t>
      </w:r>
    </w:p>
    <w:p>
      <w:pPr>
        <w:spacing w:before="121" w:line="242" w:lineRule="auto"/>
        <w:ind w:left="1420" w:right="1330" w:firstLine="0"/>
        <w:jc w:val="left"/>
        <w:rPr>
          <w:rFonts w:eastAsia="仿宋"/>
          <w:sz w:val="32"/>
        </w:rPr>
      </w:pPr>
      <w:r>
        <w:rPr>
          <w:rFonts w:eastAsia="仿宋"/>
          <w:spacing w:val="20"/>
          <w:sz w:val="32"/>
        </w:rPr>
        <w:t xml:space="preserve">五、政府购买服务：根据我国现行政策规定，政府购买服 </w:t>
      </w:r>
      <w:r>
        <w:rPr>
          <w:rFonts w:eastAsia="仿宋"/>
          <w:spacing w:val="20"/>
          <w:w w:val="95"/>
          <w:sz w:val="32"/>
        </w:rPr>
        <w:t xml:space="preserve">务，是指政府按照一定的方式和程序，把属于政府职责范围 且适合通过市场化方式提供的服务事项，交由符合条件的社 </w:t>
      </w:r>
      <w:r>
        <w:rPr>
          <w:rFonts w:eastAsia="仿宋"/>
          <w:spacing w:val="18"/>
          <w:sz w:val="32"/>
        </w:rPr>
        <w:t>会力量和事业单位承担，并根据服务数量和质量等向其支</w:t>
      </w:r>
      <w:r>
        <w:rPr>
          <w:rFonts w:eastAsia="仿宋"/>
          <w:spacing w:val="20"/>
          <w:w w:val="95"/>
          <w:sz w:val="32"/>
        </w:rPr>
        <w:t xml:space="preserve">付费用的行为。政府购买服务是一种契约化的公共服务提供 </w:t>
      </w:r>
      <w:r>
        <w:rPr>
          <w:rFonts w:eastAsia="仿宋"/>
          <w:spacing w:val="20"/>
          <w:sz w:val="32"/>
        </w:rPr>
        <w:t>方式，具有权责清晰、结果导向、灵活高效等特点。</w:t>
      </w:r>
    </w:p>
    <w:p>
      <w:pPr>
        <w:pStyle w:val="6"/>
        <w:rPr>
          <w:rFonts w:eastAsia="仿宋"/>
          <w:sz w:val="32"/>
        </w:rPr>
      </w:pPr>
    </w:p>
    <w:p>
      <w:pPr>
        <w:pStyle w:val="6"/>
        <w:rPr>
          <w:rFonts w:eastAsia="仿宋"/>
          <w:sz w:val="32"/>
        </w:rPr>
      </w:pPr>
    </w:p>
    <w:p>
      <w:pPr>
        <w:pStyle w:val="6"/>
        <w:rPr>
          <w:rFonts w:eastAsia="仿宋"/>
          <w:sz w:val="32"/>
        </w:rPr>
      </w:pPr>
    </w:p>
    <w:p>
      <w:pPr>
        <w:pStyle w:val="6"/>
        <w:rPr>
          <w:rFonts w:eastAsia="仿宋"/>
          <w:sz w:val="32"/>
        </w:rPr>
      </w:pPr>
    </w:p>
    <w:p>
      <w:pPr>
        <w:pStyle w:val="6"/>
        <w:rPr>
          <w:rFonts w:eastAsia="仿宋"/>
          <w:sz w:val="32"/>
        </w:rPr>
      </w:pPr>
    </w:p>
    <w:p>
      <w:pPr>
        <w:pStyle w:val="6"/>
        <w:rPr>
          <w:rFonts w:eastAsia="仿宋"/>
          <w:sz w:val="32"/>
        </w:rPr>
      </w:pPr>
    </w:p>
    <w:p>
      <w:pPr>
        <w:pStyle w:val="6"/>
        <w:rPr>
          <w:sz w:val="32"/>
        </w:rPr>
      </w:pPr>
    </w:p>
    <w:p>
      <w:pPr>
        <w:pStyle w:val="6"/>
        <w:rPr>
          <w:sz w:val="32"/>
        </w:rPr>
      </w:pPr>
    </w:p>
    <w:p>
      <w:pPr>
        <w:pStyle w:val="6"/>
        <w:rPr>
          <w:sz w:val="32"/>
        </w:rPr>
      </w:pPr>
    </w:p>
    <w:p>
      <w:pPr>
        <w:pStyle w:val="6"/>
        <w:rPr>
          <w:sz w:val="32"/>
        </w:rPr>
      </w:pPr>
    </w:p>
    <w:p>
      <w:pPr>
        <w:pStyle w:val="6"/>
        <w:rPr>
          <w:sz w:val="32"/>
        </w:rPr>
      </w:pPr>
    </w:p>
    <w:p>
      <w:pPr>
        <w:pStyle w:val="6"/>
        <w:rPr>
          <w:sz w:val="32"/>
        </w:rPr>
      </w:pPr>
    </w:p>
    <w:p>
      <w:pPr>
        <w:pStyle w:val="6"/>
        <w:rPr>
          <w:sz w:val="32"/>
        </w:rPr>
      </w:pPr>
    </w:p>
    <w:p>
      <w:pPr>
        <w:spacing w:before="271"/>
        <w:ind w:left="1050" w:right="630" w:firstLine="0"/>
        <w:jc w:val="center"/>
        <w:rPr>
          <w:rFonts w:ascii="Segoe Print"/>
          <w:sz w:val="21"/>
        </w:rPr>
      </w:pPr>
    </w:p>
    <w:sectPr>
      <w:headerReference r:id="rId17" w:type="default"/>
      <w:footerReference r:id="rId18" w:type="default"/>
      <w:pgSz w:w="11900" w:h="16840"/>
      <w:pgMar w:top="1080" w:right="20" w:bottom="0" w:left="260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iryo UI">
    <w:altName w:val="Yu Gothic UI"/>
    <w:panose1 w:val="020B0604030504040204"/>
    <w:charset w:val="80"/>
    <w:family w:val="swiss"/>
    <w:pitch w:val="default"/>
    <w:sig w:usb0="00000000" w:usb1="00000000" w:usb2="00010012" w:usb3="00000000" w:csb0="6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9813925</wp:posOffset>
          </wp:positionV>
          <wp:extent cx="5252085" cy="12065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2039" cy="11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9813925</wp:posOffset>
          </wp:positionV>
          <wp:extent cx="5252085" cy="120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2039" cy="11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91" o:spid="_x0000_s2091" o:spt="202" type="#_x0000_t202" style="position:absolute;left:0pt;margin-left:92.1pt;margin-top:57.65pt;height:11.95pt;width:66.9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9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B9BD4"/>
                    <w:sz w:val="20"/>
                  </w:rPr>
                  <w:t>第一部分 概况</w:t>
                </w:r>
              </w:p>
            </w:txbxContent>
          </v:textbox>
        </v:shape>
      </w:pict>
    </w:r>
    <w:r>
      <w:pict>
        <v:shape id="_x0000_s2092" o:spid="_x0000_s2092" o:spt="202" type="#_x0000_t202" style="position:absolute;left:0pt;margin-left:467.1pt;margin-top:57.65pt;height:11.95pt;width:62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9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B9BD4"/>
                    <w:sz w:val="20"/>
                  </w:rPr>
                  <w:t>大同市能源局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87" o:spid="_x0000_s2087" o:spt="202" type="#_x0000_t202" style="position:absolute;left:0pt;margin-left:92.1pt;margin-top:57.65pt;height:11.95pt;width:66.9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9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B9BD4"/>
                    <w:sz w:val="20"/>
                  </w:rPr>
                  <w:t>第一部分 概况</w:t>
                </w:r>
              </w:p>
            </w:txbxContent>
          </v:textbox>
        </v:shape>
      </w:pict>
    </w:r>
    <w:r>
      <w:pict>
        <v:shape id="_x0000_s2088" o:spid="_x0000_s2088" o:spt="202" type="#_x0000_t202" style="position:absolute;left:0pt;margin-left:467.1pt;margin-top:57.65pt;height:11.95pt;width:62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9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B9BD4"/>
                    <w:sz w:val="20"/>
                  </w:rPr>
                  <w:t>大同市能源局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760" w:hanging="341"/>
        <w:jc w:val="left"/>
      </w:pPr>
      <w:rPr>
        <w:rFonts w:hint="default" w:ascii="宋体" w:hAnsi="宋体" w:eastAsia="宋体" w:cs="宋体"/>
        <w:spacing w:val="8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746" w:hanging="3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32" w:hanging="3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718" w:hanging="3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704" w:hanging="3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690" w:hanging="3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676" w:hanging="3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662" w:hanging="3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648" w:hanging="341"/>
      </w:pPr>
      <w:rPr>
        <w:rFonts w:hint="default"/>
        <w:lang w:val="zh-CN" w:eastAsia="zh-CN" w:bidi="zh-CN"/>
      </w:rPr>
    </w:lvl>
  </w:abstractNum>
  <w:abstractNum w:abstractNumId="1">
    <w:nsid w:val="5E37E641"/>
    <w:multiLevelType w:val="singleLevel"/>
    <w:tmpl w:val="5E37E641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303672E"/>
    <w:rsid w:val="03C45566"/>
    <w:rsid w:val="07F922B1"/>
    <w:rsid w:val="0CB05F7D"/>
    <w:rsid w:val="0D3E0C7B"/>
    <w:rsid w:val="19EF298D"/>
    <w:rsid w:val="22AD4D03"/>
    <w:rsid w:val="292069BB"/>
    <w:rsid w:val="2C3D5067"/>
    <w:rsid w:val="2FCC42EB"/>
    <w:rsid w:val="329C0FAD"/>
    <w:rsid w:val="33071AF6"/>
    <w:rsid w:val="34373FDE"/>
    <w:rsid w:val="3CC82D9D"/>
    <w:rsid w:val="3CD27B3B"/>
    <w:rsid w:val="3E091570"/>
    <w:rsid w:val="3E4038F9"/>
    <w:rsid w:val="40D458AB"/>
    <w:rsid w:val="44CF7D73"/>
    <w:rsid w:val="45067381"/>
    <w:rsid w:val="45D95B90"/>
    <w:rsid w:val="461B1594"/>
    <w:rsid w:val="467B2489"/>
    <w:rsid w:val="48513CEF"/>
    <w:rsid w:val="48FE13AE"/>
    <w:rsid w:val="494D2D4B"/>
    <w:rsid w:val="49E15766"/>
    <w:rsid w:val="4B652B0B"/>
    <w:rsid w:val="5100091D"/>
    <w:rsid w:val="510F172E"/>
    <w:rsid w:val="529244E7"/>
    <w:rsid w:val="557237ED"/>
    <w:rsid w:val="5A9E4BAC"/>
    <w:rsid w:val="5C9B21F8"/>
    <w:rsid w:val="5EA15535"/>
    <w:rsid w:val="5EFB7211"/>
    <w:rsid w:val="62F33537"/>
    <w:rsid w:val="630A448E"/>
    <w:rsid w:val="68F67CA8"/>
    <w:rsid w:val="732E2ECC"/>
    <w:rsid w:val="744F5DC5"/>
    <w:rsid w:val="74AB6612"/>
    <w:rsid w:val="769918E5"/>
    <w:rsid w:val="7C3B5C34"/>
    <w:rsid w:val="7D730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0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5"/>
      <w:ind w:left="1420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54"/>
      <w:ind w:left="883"/>
      <w:outlineLvl w:val="3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1420"/>
      <w:outlineLvl w:val="4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7">
    <w:name w:val="toc 3"/>
    <w:basedOn w:val="1"/>
    <w:next w:val="1"/>
    <w:qFormat/>
    <w:uiPriority w:val="1"/>
    <w:pPr>
      <w:spacing w:before="160"/>
      <w:ind w:left="1540"/>
    </w:pPr>
    <w:rPr>
      <w:rFonts w:ascii="宋体" w:hAnsi="宋体" w:eastAsia="宋体" w:cs="宋体"/>
      <w:sz w:val="27"/>
      <w:szCs w:val="27"/>
      <w:lang w:val="zh-CN" w:eastAsia="zh-CN" w:bidi="zh-C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qFormat/>
    <w:uiPriority w:val="1"/>
    <w:pPr>
      <w:spacing w:before="35"/>
      <w:ind w:right="9"/>
      <w:jc w:val="center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11">
    <w:name w:val="toc 4"/>
    <w:basedOn w:val="1"/>
    <w:next w:val="1"/>
    <w:qFormat/>
    <w:uiPriority w:val="1"/>
    <w:pPr>
      <w:spacing w:before="30"/>
      <w:ind w:left="1780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12">
    <w:name w:val="toc 2"/>
    <w:basedOn w:val="1"/>
    <w:next w:val="1"/>
    <w:qFormat/>
    <w:uiPriority w:val="1"/>
    <w:pPr>
      <w:spacing w:before="124"/>
      <w:ind w:right="248"/>
      <w:jc w:val="center"/>
    </w:pPr>
    <w:rPr>
      <w:rFonts w:ascii="宋体" w:hAnsi="宋体" w:eastAsia="宋体" w:cs="宋体"/>
      <w:sz w:val="27"/>
      <w:szCs w:val="27"/>
      <w:lang w:val="zh-CN" w:eastAsia="zh-CN" w:bidi="zh-CN"/>
    </w:rPr>
  </w:style>
  <w:style w:type="character" w:styleId="15">
    <w:name w:val="FollowedHyperlink"/>
    <w:basedOn w:val="14"/>
    <w:qFormat/>
    <w:uiPriority w:val="0"/>
    <w:rPr>
      <w:color w:val="800080"/>
      <w:u w:val="none"/>
    </w:rPr>
  </w:style>
  <w:style w:type="character" w:styleId="16">
    <w:name w:val="Hyperlink"/>
    <w:basedOn w:val="14"/>
    <w:qFormat/>
    <w:uiPriority w:val="0"/>
    <w:rPr>
      <w:color w:val="0000FF"/>
      <w:u w:val="none"/>
    </w:r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pPr>
      <w:ind w:left="1760" w:hanging="341"/>
    </w:pPr>
    <w:rPr>
      <w:rFonts w:ascii="宋体" w:hAnsi="宋体" w:eastAsia="宋体" w:cs="宋体"/>
      <w:lang w:val="zh-CN" w:eastAsia="zh-CN" w:bidi="zh-CN"/>
    </w:rPr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7.jpeg"/><Relationship Id="rId26" Type="http://schemas.openxmlformats.org/officeDocument/2006/relationships/image" Target="media/image6.emf"/><Relationship Id="rId25" Type="http://schemas.openxmlformats.org/officeDocument/2006/relationships/oleObject" Target="embeddings/oleObject1.bin"/><Relationship Id="rId24" Type="http://schemas.openxmlformats.org/officeDocument/2006/relationships/image" Target="media/image5.png"/><Relationship Id="rId23" Type="http://schemas.openxmlformats.org/officeDocument/2006/relationships/image" Target="media/image4.jpeg"/><Relationship Id="rId22" Type="http://schemas.openxmlformats.org/officeDocument/2006/relationships/image" Target="media/image3.png"/><Relationship Id="rId21" Type="http://schemas.openxmlformats.org/officeDocument/2006/relationships/image" Target="media/image1.png"/><Relationship Id="rId20" Type="http://schemas.openxmlformats.org/officeDocument/2006/relationships/image" Target="media/image2.jpe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7.xml"/><Relationship Id="rId17" Type="http://schemas.openxmlformats.org/officeDocument/2006/relationships/header" Target="head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91"/>
    <customShpInfo spid="_x0000_s2092"/>
    <customShpInfo spid="_x0000_s2087"/>
    <customShpInfo spid="_x0000_s2088"/>
    <customShpInfo spid="_x0000_s1026" textRotate="1"/>
    <customShpInfo spid="_x0000_s1063"/>
    <customShpInfo spid="_x0000_s1064"/>
    <customShpInfo spid="_x0000_s1065"/>
    <customShpInfo spid="_x0000_s1062"/>
    <customShpInfo spid="_x0000_s1066"/>
    <customShpInfo spid="_x0000_s1067"/>
    <customShpInfo spid="_x0000_s1060"/>
    <customShpInfo spid="_x0000_s1061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2020-05-19T01:23:00Z</dcterms:created>
  <dc:creator>a</dc:creator>
  <cp:lastModifiedBy>a</cp:lastModifiedBy>
  <cp:lastPrinted>2021-05-07T09:49:00Z</cp:lastPrinted>
  <dcterms:modified xsi:type="dcterms:W3CDTF">2021-05-08T03:11:26Z</dcterms:modified>
  <dc:title>Microsoft Word - 山西省财政厅2019年度部门预算.docx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2020-05-19T00:00:00Z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9B211BB2C0FF4452A3D98E817D37089C</vt:lpwstr>
  </property>
</Properties>
</file>