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宋体" w:hAnsi="宋体" w:eastAsia="宋体" w:cs="宋体"/>
          <w:b/>
          <w:bCs/>
          <w:i w:val="0"/>
          <w:iCs w:val="0"/>
          <w:caps w:val="0"/>
          <w:color w:val="000000"/>
          <w:spacing w:val="0"/>
          <w:sz w:val="44"/>
          <w:szCs w:val="44"/>
          <w:shd w:val="clear" w:fill="FFFFFF"/>
          <w:lang w:val="en-US" w:eastAsia="zh-CN"/>
        </w:rPr>
      </w:pPr>
      <w:r>
        <w:rPr>
          <w:rFonts w:hint="eastAsia" w:ascii="宋体" w:hAnsi="宋体" w:eastAsia="宋体" w:cs="宋体"/>
          <w:b/>
          <w:bCs/>
          <w:i w:val="0"/>
          <w:iCs w:val="0"/>
          <w:caps w:val="0"/>
          <w:color w:val="000000"/>
          <w:spacing w:val="0"/>
          <w:sz w:val="44"/>
          <w:szCs w:val="44"/>
          <w:shd w:val="clear" w:fill="FFFFFF"/>
        </w:rPr>
        <w:t>大同市</w:t>
      </w:r>
      <w:r>
        <w:rPr>
          <w:rFonts w:hint="eastAsia" w:ascii="宋体" w:hAnsi="宋体" w:eastAsia="宋体" w:cs="宋体"/>
          <w:b/>
          <w:bCs/>
          <w:i w:val="0"/>
          <w:iCs w:val="0"/>
          <w:caps w:val="0"/>
          <w:color w:val="000000"/>
          <w:spacing w:val="0"/>
          <w:sz w:val="44"/>
          <w:szCs w:val="44"/>
          <w:shd w:val="clear" w:fill="FFFFFF"/>
          <w:lang w:val="en-US" w:eastAsia="zh-CN"/>
        </w:rPr>
        <w:t>政府和社会资本合作中心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宋体" w:hAnsi="宋体" w:eastAsia="宋体" w:cs="宋体"/>
          <w:b/>
          <w:bCs/>
          <w:i w:val="0"/>
          <w:iCs w:val="0"/>
          <w:caps w:val="0"/>
          <w:color w:val="000000"/>
          <w:spacing w:val="0"/>
          <w:sz w:val="44"/>
          <w:szCs w:val="44"/>
        </w:rPr>
      </w:pPr>
      <w:r>
        <w:rPr>
          <w:rFonts w:hint="eastAsia" w:ascii="宋体" w:hAnsi="宋体" w:eastAsia="宋体" w:cs="宋体"/>
          <w:b/>
          <w:bCs/>
          <w:i w:val="0"/>
          <w:iCs w:val="0"/>
          <w:caps w:val="0"/>
          <w:color w:val="000000"/>
          <w:spacing w:val="0"/>
          <w:sz w:val="44"/>
          <w:szCs w:val="44"/>
          <w:shd w:val="clear" w:fill="FFFFFF"/>
        </w:rPr>
        <w:t>2020年部门决算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center"/>
        <w:rPr>
          <w:rFonts w:hint="eastAsia" w:ascii="黑体" w:hAnsi="黑体" w:eastAsia="黑体" w:cs="黑体"/>
          <w:b w:val="0"/>
          <w:bCs w:val="0"/>
          <w:color w:val="000000"/>
          <w:sz w:val="32"/>
          <w:szCs w:val="32"/>
        </w:rPr>
      </w:pPr>
      <w:r>
        <w:rPr>
          <w:rStyle w:val="8"/>
          <w:rFonts w:hint="eastAsia" w:ascii="黑体" w:hAnsi="黑体" w:eastAsia="黑体" w:cs="黑体"/>
          <w:b/>
          <w:bCs/>
          <w:i w:val="0"/>
          <w:iCs w:val="0"/>
          <w:caps w:val="0"/>
          <w:color w:val="000000"/>
          <w:spacing w:val="0"/>
          <w:sz w:val="32"/>
          <w:szCs w:val="32"/>
          <w:shd w:val="clear" w:fill="FFFFFF"/>
        </w:rPr>
        <w:t>第一部分 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both"/>
        <w:rPr>
          <w:rFonts w:hint="eastAsia" w:ascii="黑体" w:hAnsi="黑体" w:eastAsia="黑体" w:cs="黑体"/>
          <w:b w:val="0"/>
          <w:bCs w:val="0"/>
          <w:color w:val="000000"/>
          <w:sz w:val="32"/>
          <w:szCs w:val="32"/>
        </w:rPr>
      </w:pPr>
      <w:r>
        <w:rPr>
          <w:rStyle w:val="8"/>
          <w:rFonts w:hint="eastAsia" w:ascii="黑体" w:hAnsi="黑体" w:eastAsia="黑体" w:cs="黑体"/>
          <w:b w:val="0"/>
          <w:bCs w:val="0"/>
          <w:i w:val="0"/>
          <w:iCs w:val="0"/>
          <w:caps w:val="0"/>
          <w:color w:val="000000"/>
          <w:spacing w:val="0"/>
          <w:sz w:val="32"/>
          <w:szCs w:val="32"/>
          <w:shd w:val="clear" w:fill="FFFFFF"/>
        </w:rPr>
        <w:t>一、本</w:t>
      </w:r>
      <w:r>
        <w:rPr>
          <w:rStyle w:val="8"/>
          <w:rFonts w:hint="eastAsia" w:ascii="黑体" w:hAnsi="黑体" w:eastAsia="黑体" w:cs="黑体"/>
          <w:b w:val="0"/>
          <w:bCs w:val="0"/>
          <w:i w:val="0"/>
          <w:iCs w:val="0"/>
          <w:caps w:val="0"/>
          <w:color w:val="000000"/>
          <w:spacing w:val="0"/>
          <w:sz w:val="32"/>
          <w:szCs w:val="32"/>
          <w:shd w:val="clear" w:fill="FFFFFF"/>
          <w:lang w:val="en-US" w:eastAsia="zh-CN"/>
        </w:rPr>
        <w:t>单位</w:t>
      </w:r>
      <w:r>
        <w:rPr>
          <w:rStyle w:val="8"/>
          <w:rFonts w:hint="eastAsia" w:ascii="黑体" w:hAnsi="黑体" w:eastAsia="黑体" w:cs="黑体"/>
          <w:b w:val="0"/>
          <w:bCs w:val="0"/>
          <w:i w:val="0"/>
          <w:iCs w:val="0"/>
          <w:caps w:val="0"/>
          <w:color w:val="000000"/>
          <w:spacing w:val="0"/>
          <w:sz w:val="32"/>
          <w:szCs w:val="32"/>
          <w:shd w:val="clear" w:fill="FFFFFF"/>
        </w:rPr>
        <w:t>职责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1、负责组织协调构建全市统一、规范、高效的PPP模式及项目管理机制，明确各方职责，推动全市PPP模式规范运行。</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2、履行规划指导、融资支持、识别评估、咨询服务、宣传培训、项目筛选、信息发布、合同管理、争议协调、绩效评价、信息统计、专家库和项目库建设等职责。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3、负责做好与省相关机构及有关PPP基金、金融机构、社会资本对接工作，同时为部门单位和县区开展PPP项目提供金融和指导服务工作等。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lang w:val="en-US" w:eastAsia="zh-CN"/>
        </w:rPr>
      </w:pPr>
      <w:r>
        <w:rPr>
          <w:rFonts w:hint="eastAsia" w:ascii="仿宋" w:hAnsi="仿宋" w:eastAsia="仿宋" w:cs="仿宋"/>
          <w:sz w:val="32"/>
          <w:szCs w:val="32"/>
          <w:lang w:val="en-US" w:eastAsia="zh-CN"/>
        </w:rPr>
        <w:t>4、完成市政府及市财政局交办的有关工作，负责市公共服务领导组办公室日常工作。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420" w:leftChars="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二、编制情况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大同市政府和社会资本合作中心，公益一类事业单位，正科级建制，核定财政拨款事业编制13名，其中科级领导职数1正1副。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both"/>
        <w:rPr>
          <w:rFonts w:hint="eastAsia" w:ascii="黑体" w:hAnsi="黑体" w:eastAsia="黑体" w:cs="黑体"/>
          <w:b w:val="0"/>
          <w:bCs w:val="0"/>
          <w:color w:val="000000"/>
          <w:sz w:val="32"/>
          <w:szCs w:val="32"/>
        </w:rPr>
      </w:pPr>
      <w:r>
        <w:rPr>
          <w:rStyle w:val="8"/>
          <w:rFonts w:hint="eastAsia" w:ascii="黑体" w:hAnsi="黑体" w:eastAsia="黑体" w:cs="黑体"/>
          <w:b w:val="0"/>
          <w:bCs w:val="0"/>
          <w:i w:val="0"/>
          <w:iCs w:val="0"/>
          <w:caps w:val="0"/>
          <w:color w:val="000000"/>
          <w:spacing w:val="0"/>
          <w:sz w:val="32"/>
          <w:szCs w:val="32"/>
          <w:shd w:val="clear" w:fill="FFFFFF"/>
        </w:rPr>
        <w:t>三、部门决算单位构成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从部门决算单位构成看，大同市政府和社会资本合作中心无下属单位，大同市政府和社会资本合作中心2020年部门决算仅包括本单位决算。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right="0"/>
        <w:jc w:val="center"/>
        <w:rPr>
          <w:rFonts w:hint="eastAsia" w:ascii="黑体" w:hAnsi="黑体" w:eastAsia="黑体" w:cs="黑体"/>
          <w:b w:val="0"/>
          <w:bCs w:val="0"/>
          <w:color w:val="000000"/>
          <w:sz w:val="32"/>
          <w:szCs w:val="32"/>
        </w:rPr>
      </w:pPr>
      <w:r>
        <w:rPr>
          <w:rStyle w:val="8"/>
          <w:rFonts w:hint="eastAsia" w:ascii="黑体" w:hAnsi="黑体" w:eastAsia="黑体" w:cs="黑体"/>
          <w:b/>
          <w:bCs/>
          <w:i w:val="0"/>
          <w:iCs w:val="0"/>
          <w:caps w:val="0"/>
          <w:color w:val="000000"/>
          <w:spacing w:val="0"/>
          <w:sz w:val="32"/>
          <w:szCs w:val="32"/>
          <w:shd w:val="clear" w:fill="FFFFFF"/>
        </w:rPr>
        <w:t>第二部分 2020年部门决算报表（见附表）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center"/>
        <w:rPr>
          <w:rFonts w:hint="eastAsia" w:ascii="黑体" w:hAnsi="黑体" w:eastAsia="黑体" w:cs="黑体"/>
          <w:b w:val="0"/>
          <w:bCs w:val="0"/>
          <w:color w:val="000000"/>
          <w:sz w:val="32"/>
          <w:szCs w:val="32"/>
        </w:rPr>
      </w:pPr>
      <w:r>
        <w:rPr>
          <w:rStyle w:val="8"/>
          <w:rFonts w:hint="eastAsia" w:ascii="黑体" w:hAnsi="黑体" w:eastAsia="黑体" w:cs="黑体"/>
          <w:b/>
          <w:bCs/>
          <w:i w:val="0"/>
          <w:iCs w:val="0"/>
          <w:caps w:val="0"/>
          <w:color w:val="000000"/>
          <w:spacing w:val="0"/>
          <w:sz w:val="32"/>
          <w:szCs w:val="32"/>
          <w:shd w:val="clear" w:fill="FFFFFF"/>
        </w:rPr>
        <w:t>第三部分 2020年度部门决算情况说明</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一、收入支出预算执行情况分析</w:t>
      </w:r>
    </w:p>
    <w:p>
      <w:pPr>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（一）收入支出预算安排情况。</w:t>
      </w:r>
    </w:p>
    <w:p>
      <w:pPr>
        <w:ind w:firstLine="640" w:firstLineChars="200"/>
        <w:rPr>
          <w:rFonts w:hint="eastAsia" w:ascii="仿宋" w:hAnsi="仿宋" w:eastAsia="仿宋" w:cs="仿宋"/>
          <w:sz w:val="32"/>
          <w:szCs w:val="32"/>
          <w:lang w:eastAsia="zh-CN"/>
        </w:rPr>
      </w:pPr>
      <w:r>
        <w:rPr>
          <w:rFonts w:hint="eastAsia" w:ascii="仿宋" w:hAnsi="仿宋" w:eastAsia="仿宋" w:cs="Times New Roman"/>
          <w:sz w:val="32"/>
          <w:szCs w:val="32"/>
          <w:lang w:val="en-US" w:eastAsia="zh-CN"/>
        </w:rPr>
        <w:t xml:space="preserve"> 2020年财政补助收入157.76万元</w:t>
      </w:r>
      <w:r>
        <w:rPr>
          <w:rFonts w:hint="eastAsia" w:ascii="仿宋" w:hAnsi="仿宋" w:eastAsia="仿宋" w:cs="仿宋"/>
          <w:sz w:val="32"/>
          <w:szCs w:val="32"/>
        </w:rPr>
        <w:t>。  其中：基本支出</w:t>
      </w:r>
      <w:r>
        <w:rPr>
          <w:rFonts w:hint="eastAsia" w:ascii="仿宋" w:hAnsi="仿宋" w:eastAsia="仿宋"/>
          <w:sz w:val="32"/>
          <w:szCs w:val="32"/>
        </w:rPr>
        <w:t>108.30万</w:t>
      </w:r>
      <w:r>
        <w:rPr>
          <w:rFonts w:hint="eastAsia" w:ascii="仿宋" w:hAnsi="仿宋" w:eastAsia="仿宋" w:cs="仿宋"/>
          <w:sz w:val="32"/>
          <w:szCs w:val="32"/>
        </w:rPr>
        <w:t>元，项目支出</w:t>
      </w:r>
      <w:r>
        <w:rPr>
          <w:rFonts w:hint="eastAsia" w:ascii="仿宋" w:hAnsi="仿宋" w:eastAsia="仿宋"/>
          <w:sz w:val="32"/>
          <w:szCs w:val="32"/>
        </w:rPr>
        <w:t>48.82万</w:t>
      </w:r>
      <w:r>
        <w:rPr>
          <w:rFonts w:hint="eastAsia" w:ascii="仿宋" w:hAnsi="仿宋" w:eastAsia="仿宋" w:cs="仿宋"/>
          <w:sz w:val="32"/>
          <w:szCs w:val="32"/>
        </w:rPr>
        <w:t xml:space="preserve">元 </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（二）收入支出预算执行情况。</w:t>
      </w:r>
    </w:p>
    <w:p>
      <w:pPr>
        <w:ind w:left="838" w:leftChars="0" w:hanging="838" w:hangingChars="262"/>
        <w:rPr>
          <w:rFonts w:hint="eastAsia" w:ascii="仿宋" w:hAnsi="仿宋" w:eastAsia="仿宋" w:cs="仿宋"/>
          <w:sz w:val="32"/>
          <w:szCs w:val="32"/>
          <w:lang w:eastAsia="zh-CN"/>
        </w:rPr>
      </w:pPr>
      <w:r>
        <w:rPr>
          <w:rFonts w:hint="eastAsia" w:ascii="仿宋" w:hAnsi="仿宋" w:eastAsia="仿宋" w:cs="仿宋"/>
          <w:sz w:val="32"/>
          <w:szCs w:val="32"/>
        </w:rPr>
        <w:t xml:space="preserve">     1．收入支出对比分析</w:t>
      </w:r>
      <w:r>
        <w:rPr>
          <w:rFonts w:hint="eastAsia" w:ascii="仿宋" w:hAnsi="仿宋" w:eastAsia="仿宋" w:cs="仿宋"/>
          <w:sz w:val="32"/>
          <w:szCs w:val="32"/>
        </w:rPr>
        <w:br w:type="textWrapping"/>
      </w: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20</w:t>
      </w:r>
      <w:r>
        <w:rPr>
          <w:rFonts w:hint="eastAsia" w:ascii="仿宋" w:hAnsi="仿宋" w:eastAsia="仿宋" w:cs="仿宋"/>
          <w:sz w:val="32"/>
          <w:szCs w:val="32"/>
        </w:rPr>
        <w:t>年财政拨款收入</w:t>
      </w:r>
      <w:r>
        <w:rPr>
          <w:rFonts w:hint="eastAsia" w:ascii="仿宋" w:hAnsi="仿宋" w:eastAsia="仿宋"/>
          <w:sz w:val="32"/>
          <w:szCs w:val="32"/>
        </w:rPr>
        <w:t>157.67</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2．收入支出结构分析。</w:t>
      </w:r>
    </w:p>
    <w:p>
      <w:pPr>
        <w:rPr>
          <w:rFonts w:hint="eastAsia"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仿宋"/>
          <w:sz w:val="32"/>
          <w:szCs w:val="32"/>
          <w:lang w:val="en-US" w:eastAsia="zh-CN"/>
        </w:rPr>
        <w:t>0</w:t>
      </w:r>
      <w:r>
        <w:rPr>
          <w:rFonts w:hint="eastAsia" w:ascii="仿宋" w:hAnsi="仿宋" w:eastAsia="仿宋" w:cs="仿宋"/>
          <w:sz w:val="32"/>
          <w:szCs w:val="32"/>
        </w:rPr>
        <w:t>20年财政拨款总收入</w:t>
      </w:r>
      <w:r>
        <w:rPr>
          <w:rFonts w:hint="eastAsia" w:ascii="仿宋" w:hAnsi="仿宋" w:eastAsia="仿宋" w:cs="仿宋"/>
          <w:sz w:val="32"/>
          <w:szCs w:val="32"/>
          <w:lang w:val="en-US" w:eastAsia="zh-CN"/>
        </w:rPr>
        <w:t>157.67</w:t>
      </w:r>
      <w:r>
        <w:rPr>
          <w:rFonts w:hint="eastAsia" w:ascii="仿宋" w:hAnsi="仿宋" w:eastAsia="仿宋" w:cs="仿宋"/>
          <w:sz w:val="32"/>
          <w:szCs w:val="32"/>
        </w:rPr>
        <w:t xml:space="preserve">万元。 </w:t>
      </w:r>
    </w:p>
    <w:p>
      <w:pPr>
        <w:ind w:left="-199" w:leftChars="-95" w:firstLine="198" w:firstLineChars="62"/>
        <w:rPr>
          <w:rFonts w:hint="eastAsia" w:ascii="仿宋" w:hAnsi="仿宋" w:eastAsia="仿宋" w:cs="仿宋"/>
          <w:spacing w:val="-20"/>
          <w:sz w:val="32"/>
          <w:szCs w:val="32"/>
          <w:lang w:eastAsia="zh-CN"/>
        </w:rPr>
      </w:pPr>
      <w:r>
        <w:rPr>
          <w:rFonts w:hint="eastAsia" w:ascii="仿宋" w:hAnsi="仿宋" w:eastAsia="仿宋" w:cs="仿宋"/>
          <w:sz w:val="32"/>
          <w:szCs w:val="32"/>
        </w:rPr>
        <w:t xml:space="preserve">    </w:t>
      </w:r>
      <w:r>
        <w:rPr>
          <w:rFonts w:hint="eastAsia" w:ascii="仿宋" w:hAnsi="仿宋" w:eastAsia="仿宋" w:cs="仿宋"/>
          <w:spacing w:val="-20"/>
          <w:sz w:val="32"/>
          <w:szCs w:val="32"/>
        </w:rPr>
        <w:t xml:space="preserve"> 其中：事业运行基本支出108.30万元，占总收入的</w:t>
      </w:r>
      <w:r>
        <w:rPr>
          <w:rFonts w:hint="eastAsia" w:ascii="仿宋" w:hAnsi="仿宋" w:eastAsia="仿宋" w:cs="仿宋"/>
          <w:spacing w:val="-20"/>
          <w:sz w:val="32"/>
          <w:szCs w:val="32"/>
          <w:lang w:val="en-US" w:eastAsia="zh-CN"/>
        </w:rPr>
        <w:t>69</w:t>
      </w:r>
      <w:r>
        <w:rPr>
          <w:rFonts w:hint="eastAsia" w:ascii="仿宋" w:hAnsi="仿宋" w:eastAsia="仿宋" w:cs="仿宋"/>
          <w:spacing w:val="-20"/>
          <w:sz w:val="32"/>
          <w:szCs w:val="32"/>
        </w:rPr>
        <w:t>%</w:t>
      </w:r>
      <w:r>
        <w:rPr>
          <w:rFonts w:hint="eastAsia" w:ascii="仿宋" w:hAnsi="仿宋" w:eastAsia="仿宋" w:cs="仿宋"/>
          <w:spacing w:val="-20"/>
          <w:sz w:val="32"/>
          <w:szCs w:val="32"/>
          <w:lang w:eastAsia="zh-CN"/>
        </w:rPr>
        <w:t>。</w:t>
      </w:r>
    </w:p>
    <w:p>
      <w:pPr>
        <w:ind w:left="-199" w:leftChars="-95" w:firstLine="173" w:firstLineChars="62"/>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要用于完成日常工作任务而发生的人员支出和公用支出。</w:t>
      </w:r>
    </w:p>
    <w:p>
      <w:pPr>
        <w:tabs>
          <w:tab w:val="left" w:pos="1260"/>
        </w:tabs>
        <w:ind w:left="-199" w:leftChars="-95" w:firstLine="1152" w:firstLineChars="360"/>
        <w:rPr>
          <w:rFonts w:hint="eastAsia" w:ascii="仿宋" w:hAnsi="仿宋" w:eastAsia="仿宋" w:cs="仿宋"/>
          <w:sz w:val="32"/>
          <w:szCs w:val="32"/>
        </w:rPr>
      </w:pPr>
      <w:r>
        <w:rPr>
          <w:rFonts w:hint="eastAsia" w:ascii="仿宋" w:hAnsi="仿宋" w:eastAsia="仿宋" w:cs="仿宋"/>
          <w:sz w:val="32"/>
          <w:szCs w:val="32"/>
        </w:rPr>
        <w:t>事业运行项目支出：48.82万元，占总收入的</w:t>
      </w:r>
      <w:r>
        <w:rPr>
          <w:rFonts w:hint="eastAsia" w:ascii="仿宋" w:hAnsi="仿宋" w:eastAsia="仿宋" w:cs="仿宋"/>
          <w:sz w:val="32"/>
          <w:szCs w:val="32"/>
          <w:lang w:val="en-US" w:eastAsia="zh-CN"/>
        </w:rPr>
        <w:t>31</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主要用于开展PPP工作所形成的差旅费、培训费、印刷费，以及委托第三方咨询机构形成的委托业务费和咨询费。</w:t>
      </w:r>
      <w:r>
        <w:rPr>
          <w:rFonts w:hint="eastAsia" w:ascii="仿宋" w:hAnsi="仿宋" w:eastAsia="仿宋" w:cs="仿宋"/>
          <w:sz w:val="32"/>
          <w:szCs w:val="32"/>
        </w:rPr>
        <w:t xml:space="preserve">      </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 </w:t>
      </w:r>
      <w:bookmarkStart w:id="0" w:name="_GoBack"/>
      <w:bookmarkEnd w:id="0"/>
      <w:r>
        <w:rPr>
          <w:rFonts w:hint="eastAsia" w:ascii="仿宋" w:hAnsi="仿宋" w:eastAsia="仿宋" w:cs="仿宋"/>
          <w:sz w:val="32"/>
          <w:szCs w:val="32"/>
        </w:rPr>
        <w:t xml:space="preserve"> 3．支出按经济分类科目分析。</w:t>
      </w: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xml:space="preserve">    （1）“三公”经费</w:t>
      </w:r>
      <w:r>
        <w:rPr>
          <w:rFonts w:hint="eastAsia" w:ascii="仿宋" w:hAnsi="仿宋" w:eastAsia="仿宋" w:cs="仿宋"/>
          <w:sz w:val="32"/>
          <w:szCs w:val="32"/>
          <w:lang w:eastAsia="zh-CN"/>
        </w:rPr>
        <w:t>：</w:t>
      </w:r>
      <w:r>
        <w:rPr>
          <w:rFonts w:hint="eastAsia" w:ascii="仿宋" w:hAnsi="仿宋" w:eastAsia="仿宋" w:cs="仿宋"/>
          <w:sz w:val="32"/>
          <w:szCs w:val="32"/>
        </w:rPr>
        <w:t>大同市</w:t>
      </w:r>
      <w:r>
        <w:rPr>
          <w:rFonts w:hint="eastAsia" w:ascii="仿宋" w:hAnsi="仿宋" w:eastAsia="仿宋" w:cs="仿宋"/>
          <w:sz w:val="32"/>
          <w:szCs w:val="32"/>
          <w:lang w:val="en-US" w:eastAsia="zh-CN"/>
        </w:rPr>
        <w:t>政府和社会资本合作中心</w:t>
      </w:r>
      <w:r>
        <w:rPr>
          <w:rFonts w:hint="eastAsia" w:ascii="仿宋" w:hAnsi="仿宋" w:eastAsia="仿宋" w:cs="仿宋"/>
          <w:sz w:val="32"/>
          <w:szCs w:val="32"/>
        </w:rPr>
        <w:t>2020年一般公共预算财政拨款“三公”经费包括公务用车购置费、公务用车运行维护费、因公出国（境）费、公务接待费</w:t>
      </w:r>
      <w:r>
        <w:rPr>
          <w:rFonts w:hint="eastAsia" w:ascii="仿宋" w:hAnsi="仿宋" w:eastAsia="仿宋" w:cs="仿宋"/>
          <w:sz w:val="32"/>
          <w:szCs w:val="32"/>
          <w:lang w:eastAsia="zh-CN"/>
        </w:rPr>
        <w:t>。</w:t>
      </w:r>
      <w:r>
        <w:rPr>
          <w:rFonts w:hint="eastAsia" w:ascii="仿宋" w:hAnsi="仿宋" w:eastAsia="仿宋" w:cs="仿宋"/>
          <w:sz w:val="32"/>
          <w:szCs w:val="32"/>
        </w:rPr>
        <w:t>因公出国（境）费、公务接待费与2019年相同，均为零元，</w:t>
      </w:r>
      <w:r>
        <w:rPr>
          <w:rFonts w:hint="eastAsia" w:ascii="仿宋" w:hAnsi="仿宋" w:eastAsia="仿宋" w:cs="仿宋"/>
          <w:sz w:val="32"/>
          <w:szCs w:val="32"/>
          <w:lang w:val="en-US" w:eastAsia="zh-CN"/>
        </w:rPr>
        <w:t>公务用车因单位合并，比2019年增加公务用车一辆，2020年公务用车运行维护费为1.56万元</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（2）会议费支出情况：</w:t>
      </w:r>
      <w:r>
        <w:rPr>
          <w:rFonts w:hint="eastAsia" w:ascii="仿宋" w:hAnsi="仿宋" w:eastAsia="仿宋" w:cs="仿宋"/>
          <w:sz w:val="32"/>
          <w:szCs w:val="32"/>
          <w:lang w:eastAsia="zh-CN"/>
        </w:rPr>
        <w:t>无</w:t>
      </w:r>
      <w:r>
        <w:rPr>
          <w:rFonts w:hint="eastAsia" w:ascii="仿宋" w:hAnsi="仿宋" w:eastAsia="仿宋" w:cs="仿宋"/>
          <w:sz w:val="32"/>
          <w:szCs w:val="32"/>
        </w:rPr>
        <w:t>会议费均没有支出数</w:t>
      </w:r>
    </w:p>
    <w:p>
      <w:pPr>
        <w:ind w:left="641" w:leftChars="-609" w:hanging="1920" w:hangingChars="6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（3）培训费支出情况：2019年培训费支出为0，2020年培训费支出：3.42万元。较上年增加一期培训.</w:t>
      </w:r>
    </w:p>
    <w:p>
      <w:pPr>
        <w:snapToGrid w:val="0"/>
        <w:spacing w:line="520" w:lineRule="exact"/>
        <w:rPr>
          <w:rFonts w:hint="eastAsia" w:ascii="仿宋" w:hAnsi="仿宋" w:eastAsia="仿宋" w:cs="仿宋"/>
          <w:sz w:val="32"/>
          <w:szCs w:val="32"/>
        </w:rPr>
      </w:pPr>
      <w:r>
        <w:rPr>
          <w:rFonts w:hint="eastAsia" w:ascii="仿宋" w:hAnsi="仿宋" w:eastAsia="仿宋" w:cs="仿宋"/>
          <w:sz w:val="32"/>
          <w:szCs w:val="32"/>
        </w:rPr>
        <w:t>（4）政府采购货物支出2020年</w:t>
      </w:r>
      <w:r>
        <w:rPr>
          <w:rFonts w:hint="eastAsia" w:ascii="仿宋" w:hAnsi="仿宋" w:eastAsia="仿宋" w:cs="仿宋"/>
          <w:sz w:val="32"/>
          <w:szCs w:val="32"/>
          <w:lang w:val="en-US" w:eastAsia="zh-CN"/>
        </w:rPr>
        <w:t>12.14</w:t>
      </w:r>
      <w:r>
        <w:rPr>
          <w:rFonts w:hint="eastAsia" w:ascii="仿宋" w:hAnsi="仿宋" w:eastAsia="仿宋" w:cs="仿宋"/>
          <w:sz w:val="32"/>
          <w:szCs w:val="32"/>
        </w:rPr>
        <w:t>万元，本年主要增加了设备。</w:t>
      </w:r>
    </w:p>
    <w:p>
      <w:pPr>
        <w:snapToGrid w:val="0"/>
        <w:spacing w:line="520" w:lineRule="exact"/>
        <w:rPr>
          <w:rFonts w:ascii="仿宋" w:hAnsi="仿宋" w:eastAsia="仿宋"/>
          <w:sz w:val="32"/>
          <w:szCs w:val="32"/>
        </w:rPr>
      </w:pPr>
      <w:r>
        <w:rPr>
          <w:rFonts w:hint="eastAsia" w:ascii="仿宋" w:hAnsi="仿宋" w:eastAsia="仿宋"/>
          <w:sz w:val="32"/>
          <w:szCs w:val="32"/>
        </w:rPr>
        <w:t>（5）其他对单位影响较大的支出情况：咨询服务费的20.3万元支出额大，聘请ppp专家。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 年末单位结转和结余情况：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2020年财政拨款结转</w:t>
      </w:r>
      <w:r>
        <w:rPr>
          <w:rFonts w:hint="eastAsia" w:ascii="仿宋" w:hAnsi="仿宋" w:eastAsia="仿宋" w:cs="仿宋"/>
          <w:sz w:val="32"/>
          <w:szCs w:val="32"/>
          <w:lang w:val="en-US" w:eastAsia="zh-CN"/>
        </w:rPr>
        <w:t>0.59万</w:t>
      </w:r>
      <w:r>
        <w:rPr>
          <w:rFonts w:hint="eastAsia" w:ascii="仿宋" w:hAnsi="仿宋" w:eastAsia="仿宋" w:cs="仿宋"/>
          <w:sz w:val="32"/>
          <w:szCs w:val="32"/>
        </w:rPr>
        <w:t>元</w:t>
      </w:r>
      <w:r>
        <w:rPr>
          <w:rFonts w:hint="eastAsia" w:ascii="仿宋" w:hAnsi="仿宋" w:eastAsia="仿宋" w:cs="仿宋"/>
          <w:sz w:val="32"/>
          <w:szCs w:val="32"/>
          <w:lang w:eastAsia="zh-CN"/>
        </w:rPr>
        <w:t>。为养老保险结转。</w:t>
      </w:r>
    </w:p>
    <w:p>
      <w:pPr>
        <w:rPr>
          <w:rFonts w:hint="eastAsia" w:ascii="黑体" w:hAnsi="黑体" w:eastAsia="黑体" w:cs="黑体"/>
          <w:sz w:val="32"/>
          <w:szCs w:val="32"/>
        </w:rPr>
      </w:pPr>
      <w:r>
        <w:rPr>
          <w:rFonts w:hint="eastAsia" w:ascii="黑体" w:hAnsi="黑体" w:eastAsia="黑体" w:cs="黑体"/>
          <w:sz w:val="32"/>
          <w:szCs w:val="32"/>
        </w:rPr>
        <w:t>三、资产情况分析</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2020年固定资产原值：</w:t>
      </w:r>
      <w:r>
        <w:rPr>
          <w:rFonts w:hint="eastAsia" w:ascii="仿宋" w:hAnsi="仿宋" w:eastAsia="仿宋" w:cs="Times New Roman"/>
          <w:sz w:val="32"/>
          <w:szCs w:val="32"/>
          <w:lang w:val="en-US" w:eastAsia="zh-CN"/>
        </w:rPr>
        <w:t>58.05</w:t>
      </w:r>
      <w:r>
        <w:rPr>
          <w:rFonts w:hint="eastAsia" w:ascii="仿宋" w:hAnsi="仿宋" w:eastAsia="仿宋" w:cs="Times New Roman"/>
          <w:sz w:val="32"/>
          <w:szCs w:val="32"/>
        </w:rPr>
        <w:t>万元。累计折旧</w:t>
      </w:r>
      <w:r>
        <w:rPr>
          <w:rFonts w:hint="eastAsia" w:ascii="仿宋" w:hAnsi="仿宋" w:eastAsia="仿宋" w:cs="Times New Roman"/>
          <w:sz w:val="32"/>
          <w:szCs w:val="32"/>
          <w:lang w:val="en-US" w:eastAsia="zh-CN"/>
        </w:rPr>
        <w:t>24.01</w:t>
      </w:r>
      <w:r>
        <w:rPr>
          <w:rFonts w:hint="eastAsia" w:ascii="仿宋" w:hAnsi="仿宋" w:eastAsia="仿宋" w:cs="Times New Roman"/>
          <w:sz w:val="32"/>
          <w:szCs w:val="32"/>
        </w:rPr>
        <w:t>万元。</w:t>
      </w:r>
    </w:p>
    <w:p>
      <w:pPr>
        <w:numPr>
          <w:numId w:val="0"/>
        </w:numPr>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预算执行绩效情况说明</w:t>
      </w:r>
    </w:p>
    <w:p>
      <w:pPr>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大同市政府和社会资本合作中心围绕绩效目标对预算项目执行情况开展定期监控，督促加快预算执行进度，规范项目结余资金管理。2020年度进一步完善了内部控制制度，通过科学细化绩效目标，熟悉绩效管理的程序和流程，发现问题，解决问题，严把支出关，杜绝一切不合理的开支，提高资金使用效率，保障单位各项工作正常高效运行，根据财政预算管理要求，我部门对2020年度一般公共预算中实施绩效目标管理的项目开展了绩效自评，绩效管理工作取得了一定的成效。从评价情况看，有关项目预算执行及时、有效，绩效目标得到较好实现，绩效管理水平不断提高，绩效指标体系建设逐步规范、科学、合理、完善，较为充分反映大同市政府和社会资本合作中心工作目标和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center"/>
        <w:rPr>
          <w:rStyle w:val="8"/>
          <w:rFonts w:hint="eastAsia" w:ascii="黑体" w:hAnsi="黑体" w:eastAsia="黑体" w:cs="黑体"/>
          <w:b/>
          <w:bCs/>
          <w:i w:val="0"/>
          <w:iCs w:val="0"/>
          <w:caps w:val="0"/>
          <w:color w:val="000000"/>
          <w:spacing w:val="0"/>
          <w:sz w:val="32"/>
          <w:szCs w:val="32"/>
          <w:shd w:val="clear" w:fill="FFFFFF"/>
        </w:rPr>
      </w:pPr>
      <w:r>
        <w:rPr>
          <w:rStyle w:val="8"/>
          <w:rFonts w:hint="eastAsia" w:ascii="黑体" w:hAnsi="黑体" w:eastAsia="黑体" w:cs="黑体"/>
          <w:b/>
          <w:bCs/>
          <w:i w:val="0"/>
          <w:iCs w:val="0"/>
          <w:caps w:val="0"/>
          <w:color w:val="000000"/>
          <w:spacing w:val="0"/>
          <w:sz w:val="32"/>
          <w:szCs w:val="32"/>
          <w:shd w:val="clear" w:fill="FFFFFF"/>
        </w:rPr>
        <w:t>第四部分 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一、财政拨款收入：指单位从同级财政部门取得的财政预算资金。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二、事业收入：指事业单位开展专业业务活动及辅助活动取得的收入。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三、经营收入：指事业单位在专业业务活动及辅助活动之外开展非独立核算经营活动取得的收入。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四、其他收入：指单位取得的除上述收入以外的各项收入。主要是存款利息收入等。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五、年初结转和结余：指单位以前年度尚未完成、结转到本年按有关规定继续使用的资金。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六、事业运行基本支出：指为保障事业单位正常运转、完成日常工作任务而发生的人员支出和公用支出。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仿宋" w:hAnsi="仿宋" w:eastAsia="仿宋" w:cs="仿宋"/>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833E1"/>
    <w:rsid w:val="3E857AD4"/>
    <w:rsid w:val="492C715E"/>
    <w:rsid w:val="66A3684A"/>
    <w:rsid w:val="6A0F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2021-08-06T01:42:00Z</dcterms:created>
  <dc:creator>admin</dc:creator>
  <cp:lastModifiedBy>一江烟雨1401721866</cp:lastModifiedBy>
  <dcterms:modified xsi:type="dcterms:W3CDTF">2021-08-11T08:34:41Z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3CB9413628DC4A98ABBA80DDE1CACC26</vt:lpwstr>
  </property>
</Properties>
</file>