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left"/>
        <w:rPr>
          <w:rFonts w:ascii="黑体" w:hAnsi="黑体" w:eastAsia="黑体" w:cs="黑体"/>
          <w:b/>
          <w:bCs/>
          <w:kern w:val="0"/>
          <w:sz w:val="32"/>
          <w:szCs w:val="32"/>
        </w:rPr>
      </w:pPr>
    </w:p>
    <w:tbl>
      <w:tblPr>
        <w:tblStyle w:val="5"/>
        <w:tblpPr w:leftFromText="180" w:rightFromText="180" w:vertAnchor="text" w:tblpXSpec="center" w:tblpY="1"/>
        <w:tblOverlap w:val="never"/>
        <w:tblW w:w="9464" w:type="dxa"/>
        <w:tblInd w:w="0" w:type="dxa"/>
        <w:tblLayout w:type="fixed"/>
        <w:tblCellMar>
          <w:top w:w="0" w:type="dxa"/>
          <w:left w:w="108" w:type="dxa"/>
          <w:bottom w:w="0" w:type="dxa"/>
          <w:right w:w="108" w:type="dxa"/>
        </w:tblCellMar>
      </w:tblPr>
      <w:tblGrid>
        <w:gridCol w:w="587"/>
        <w:gridCol w:w="1045"/>
        <w:gridCol w:w="29"/>
        <w:gridCol w:w="991"/>
        <w:gridCol w:w="858"/>
        <w:gridCol w:w="1134"/>
        <w:gridCol w:w="416"/>
        <w:gridCol w:w="851"/>
        <w:gridCol w:w="850"/>
        <w:gridCol w:w="288"/>
        <w:gridCol w:w="289"/>
        <w:gridCol w:w="425"/>
        <w:gridCol w:w="283"/>
        <w:gridCol w:w="567"/>
        <w:gridCol w:w="851"/>
      </w:tblGrid>
      <w:tr>
        <w:tblPrEx>
          <w:tblCellMar>
            <w:top w:w="0" w:type="dxa"/>
            <w:left w:w="108" w:type="dxa"/>
            <w:bottom w:w="0" w:type="dxa"/>
            <w:right w:w="108" w:type="dxa"/>
          </w:tblCellMar>
        </w:tblPrEx>
        <w:trPr>
          <w:trHeight w:val="680" w:hRule="exact"/>
        </w:trPr>
        <w:tc>
          <w:tcPr>
            <w:tcW w:w="9464" w:type="dxa"/>
            <w:gridSpan w:val="15"/>
            <w:tcBorders>
              <w:top w:val="nil"/>
              <w:left w:val="nil"/>
              <w:bottom w:val="nil"/>
              <w:right w:val="nil"/>
            </w:tcBorders>
            <w:vAlign w:val="center"/>
          </w:tcPr>
          <w:p>
            <w:pPr>
              <w:widowControl/>
              <w:spacing w:line="320" w:lineRule="exact"/>
              <w:jc w:val="center"/>
              <w:rPr>
                <w:rFonts w:ascii="黑体" w:hAnsi="黑体" w:eastAsia="黑体" w:cs="宋体"/>
                <w:b/>
                <w:bCs/>
                <w:kern w:val="0"/>
                <w:sz w:val="32"/>
                <w:szCs w:val="32"/>
              </w:rPr>
            </w:pPr>
            <w:r>
              <w:rPr>
                <w:rFonts w:hint="eastAsia" w:ascii="黑体" w:hAnsi="黑体" w:eastAsia="黑体" w:cs="华文中宋"/>
                <w:b/>
                <w:bCs/>
                <w:kern w:val="0"/>
                <w:sz w:val="32"/>
                <w:szCs w:val="32"/>
              </w:rPr>
              <w:t>项目支出绩效自评表</w:t>
            </w:r>
          </w:p>
        </w:tc>
      </w:tr>
      <w:tr>
        <w:tblPrEx>
          <w:tblCellMar>
            <w:top w:w="0" w:type="dxa"/>
            <w:left w:w="108" w:type="dxa"/>
            <w:bottom w:w="0" w:type="dxa"/>
            <w:right w:w="108" w:type="dxa"/>
          </w:tblCellMar>
        </w:tblPrEx>
        <w:trPr>
          <w:trHeight w:val="201" w:hRule="atLeast"/>
        </w:trPr>
        <w:tc>
          <w:tcPr>
            <w:tcW w:w="9464" w:type="dxa"/>
            <w:gridSpan w:val="15"/>
            <w:tcBorders>
              <w:top w:val="nil"/>
              <w:left w:val="nil"/>
              <w:bottom w:val="nil"/>
              <w:right w:val="nil"/>
            </w:tcBorders>
          </w:tcPr>
          <w:p>
            <w:pPr>
              <w:widowControl/>
              <w:spacing w:line="240" w:lineRule="exact"/>
              <w:jc w:val="left"/>
              <w:rPr>
                <w:rFonts w:ascii="宋体" w:hAnsi="宋体" w:eastAsia="宋体" w:cs="宋体"/>
                <w:kern w:val="0"/>
                <w:sz w:val="22"/>
                <w:szCs w:val="22"/>
              </w:rPr>
            </w:pPr>
            <w:r>
              <w:rPr>
                <w:rFonts w:hint="eastAsia" w:ascii="宋体" w:hAnsi="宋体" w:eastAsia="宋体" w:cs="宋体"/>
                <w:kern w:val="0"/>
                <w:sz w:val="22"/>
                <w:szCs w:val="22"/>
              </w:rPr>
              <w:t>填列单位：</w:t>
            </w:r>
            <w:r>
              <w:rPr>
                <w:rFonts w:hint="eastAsia" w:ascii="宋体" w:hAnsi="宋体" w:eastAsia="宋体" w:cs="宋体"/>
                <w:kern w:val="0"/>
                <w:sz w:val="18"/>
                <w:szCs w:val="18"/>
              </w:rPr>
              <w:t>大同市转型汇智创新城人才服务中心</w:t>
            </w:r>
            <w:r>
              <w:rPr>
                <w:rFonts w:hint="eastAsia" w:ascii="宋体" w:hAnsi="宋体" w:eastAsia="宋体" w:cs="宋体"/>
                <w:kern w:val="0"/>
                <w:sz w:val="22"/>
                <w:szCs w:val="22"/>
              </w:rPr>
              <w:t>（2021年度）</w:t>
            </w:r>
          </w:p>
        </w:tc>
      </w:tr>
      <w:tr>
        <w:tblPrEx>
          <w:tblCellMar>
            <w:top w:w="0" w:type="dxa"/>
            <w:left w:w="108" w:type="dxa"/>
            <w:bottom w:w="0" w:type="dxa"/>
            <w:right w:w="108" w:type="dxa"/>
          </w:tblCellMar>
        </w:tblPrEx>
        <w:trPr>
          <w:trHeight w:val="320" w:hRule="exact"/>
        </w:trPr>
        <w:tc>
          <w:tcPr>
            <w:tcW w:w="166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80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S开办费及大学毕业生8-12月</w:t>
            </w:r>
            <w:r>
              <w:rPr>
                <w:rFonts w:ascii="宋体" w:hAnsi="宋体" w:eastAsia="宋体" w:cs="宋体"/>
                <w:kern w:val="0"/>
                <w:sz w:val="18"/>
                <w:szCs w:val="18"/>
              </w:rPr>
              <w:t>就业补贴</w:t>
            </w:r>
          </w:p>
        </w:tc>
      </w:tr>
      <w:tr>
        <w:tblPrEx>
          <w:tblCellMar>
            <w:top w:w="0" w:type="dxa"/>
            <w:left w:w="108" w:type="dxa"/>
            <w:bottom w:w="0" w:type="dxa"/>
            <w:right w:w="108" w:type="dxa"/>
          </w:tblCellMar>
        </w:tblPrEx>
        <w:trPr>
          <w:trHeight w:val="602" w:hRule="exact"/>
        </w:trPr>
        <w:tc>
          <w:tcPr>
            <w:tcW w:w="166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大同市人力资源和社会保障局</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大同市转型汇智创新城</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人才服务中心</w:t>
            </w:r>
          </w:p>
        </w:tc>
      </w:tr>
      <w:tr>
        <w:tblPrEx>
          <w:tblCellMar>
            <w:top w:w="0" w:type="dxa"/>
            <w:left w:w="108" w:type="dxa"/>
            <w:bottom w:w="0" w:type="dxa"/>
            <w:right w:w="108" w:type="dxa"/>
          </w:tblCellMar>
        </w:tblPrEx>
        <w:trPr>
          <w:trHeight w:val="300" w:hRule="exact"/>
        </w:trPr>
        <w:tc>
          <w:tcPr>
            <w:tcW w:w="166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228.88</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55.97%</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228.88</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5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3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5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保证人才服务工作正常顺利开展，</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鼓励和支持大学毕业生来同回同就业创业</w:t>
            </w:r>
          </w:p>
        </w:tc>
        <w:tc>
          <w:tcPr>
            <w:tcW w:w="355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基本完成，达到预期目标</w:t>
            </w:r>
          </w:p>
        </w:tc>
      </w:tr>
      <w:tr>
        <w:tblPrEx>
          <w:tblCellMar>
            <w:top w:w="0" w:type="dxa"/>
            <w:left w:w="108" w:type="dxa"/>
            <w:bottom w:w="0" w:type="dxa"/>
            <w:right w:w="108" w:type="dxa"/>
          </w:tblCellMar>
        </w:tblPrEx>
        <w:trPr>
          <w:trHeight w:val="533" w:hRule="exact"/>
        </w:trPr>
        <w:tc>
          <w:tcPr>
            <w:tcW w:w="58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89"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购置办公家具（套）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7"/>
                <w:szCs w:val="17"/>
              </w:rPr>
            </w:pPr>
          </w:p>
        </w:tc>
      </w:tr>
      <w:tr>
        <w:tblPrEx>
          <w:tblCellMar>
            <w:top w:w="0" w:type="dxa"/>
            <w:left w:w="108" w:type="dxa"/>
            <w:bottom w:w="0" w:type="dxa"/>
            <w:right w:w="108" w:type="dxa"/>
          </w:tblCellMar>
        </w:tblPrEx>
        <w:trPr>
          <w:trHeight w:val="711"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购置办公设备（台）</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57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83"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发放就业专项补贴金（万元）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371.94</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199.04</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办公设备符合率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就业补贴应补尽补率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2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办公设备到位及时性</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6月3</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日前</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6月3</w:t>
            </w:r>
            <w:r>
              <w:rPr>
                <w:rFonts w:hint="eastAsia" w:ascii="宋体" w:hAnsi="宋体" w:eastAsia="宋体" w:cs="宋体"/>
                <w:kern w:val="0"/>
                <w:sz w:val="18"/>
                <w:szCs w:val="18"/>
                <w:lang w:val="en-US" w:eastAsia="zh-CN"/>
              </w:rPr>
              <w:t>0</w:t>
            </w:r>
            <w:bookmarkStart w:id="0" w:name="_GoBack"/>
            <w:bookmarkEnd w:id="0"/>
            <w:r>
              <w:rPr>
                <w:rFonts w:hint="eastAsia" w:ascii="宋体" w:hAnsi="宋体" w:eastAsia="宋体" w:cs="宋体"/>
                <w:kern w:val="0"/>
                <w:sz w:val="18"/>
                <w:szCs w:val="18"/>
              </w:rPr>
              <w:t>日前</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2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就业专项补贴金发放及时性</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12月20日前</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12月20日前</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1"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办公家具、办公设备</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购置成本（万元）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15.65</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保障人才服务工作顺利开展</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保障</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促进大学毕业生就业</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促进</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促进</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02"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9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大学毕业生满意度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满意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满意</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7" w:hRule="exact"/>
        </w:trPr>
        <w:tc>
          <w:tcPr>
            <w:tcW w:w="6761"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trPr>
        <w:tc>
          <w:tcPr>
            <w:tcW w:w="5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按照预期进度，已完成大部分目标，年度预算为408.94万元，实际预算支出为228.88万元，预算执行率为55.97%。主要原因是入住大学生人员情况复杂，由于考研的大学毕业生多，不符合补贴发放政策要求；部分大学毕业生在入住期间实现就业，就业后不再享受就业专项补贴金；受疫情影响等。</w:t>
            </w:r>
          </w:p>
        </w:tc>
      </w:tr>
      <w:tr>
        <w:tblPrEx>
          <w:tblCellMar>
            <w:top w:w="0" w:type="dxa"/>
            <w:left w:w="108" w:type="dxa"/>
            <w:bottom w:w="0" w:type="dxa"/>
            <w:right w:w="108" w:type="dxa"/>
          </w:tblCellMar>
        </w:tblPrEx>
        <w:trPr>
          <w:trHeight w:val="1045" w:hRule="atLeas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共设立数量指标、质量指标、时效指标和成本指标共4项分指标，按单位需求和实际资金情况购置办公设备、办公家具，到位及时，符合率100%；对符合补贴申领条件的大学毕业生应发尽发就业专项补贴金，基本达到预期目标。</w:t>
            </w:r>
          </w:p>
        </w:tc>
      </w:tr>
      <w:tr>
        <w:tblPrEx>
          <w:tblCellMar>
            <w:top w:w="0" w:type="dxa"/>
            <w:left w:w="108" w:type="dxa"/>
            <w:bottom w:w="0" w:type="dxa"/>
            <w:right w:w="108" w:type="dxa"/>
          </w:tblCellMar>
        </w:tblPrEx>
        <w:trPr>
          <w:trHeight w:val="1100" w:hRule="atLeas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保证人才服务工作正常顺利开展，鼓励和支持大学毕业生来同回同就业创业，资金使用效益得到全面发挥。</w:t>
            </w:r>
          </w:p>
        </w:tc>
      </w:tr>
      <w:tr>
        <w:tblPrEx>
          <w:tblCellMar>
            <w:top w:w="0" w:type="dxa"/>
            <w:left w:w="108" w:type="dxa"/>
            <w:bottom w:w="0" w:type="dxa"/>
            <w:right w:w="108" w:type="dxa"/>
          </w:tblCellMar>
        </w:tblPrEx>
        <w:trPr>
          <w:trHeight w:val="890" w:hRule="atLeas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满意度指标共设立1项指标，为大学毕业生满意度，设定值为满意，实际执行值为满意，转型汇智创新城人才服务中心的工作得到入住大学毕业生等的高度认可。</w:t>
            </w:r>
          </w:p>
        </w:tc>
      </w:tr>
      <w:tr>
        <w:tblPrEx>
          <w:tblCellMar>
            <w:top w:w="0" w:type="dxa"/>
            <w:left w:w="108" w:type="dxa"/>
            <w:bottom w:w="0" w:type="dxa"/>
            <w:right w:w="108" w:type="dxa"/>
          </w:tblCellMar>
        </w:tblPrEx>
        <w:trPr>
          <w:trHeight w:val="2240" w:hRule="exac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一是前期加强预算申报管理，切实强化指标设置；二是加强项目中期绩效监控，确保资金花到刀刃上，同时对项目运行产生偏离预期的，及时采取有效手段予以纠正；三是全面准确完成项目绩效自评工作，强化自评结果运用，为下一年度预算绩效管理提供新的思路。</w:t>
            </w:r>
          </w:p>
        </w:tc>
      </w:tr>
      <w:tr>
        <w:tblPrEx>
          <w:tblCellMar>
            <w:top w:w="0" w:type="dxa"/>
            <w:left w:w="108" w:type="dxa"/>
            <w:bottom w:w="0" w:type="dxa"/>
            <w:right w:w="108" w:type="dxa"/>
          </w:tblCellMar>
        </w:tblPrEx>
        <w:trPr>
          <w:trHeight w:val="4900" w:hRule="exac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问题：就业专项补贴金发放完成程度略低</w:t>
            </w:r>
          </w:p>
          <w:p>
            <w:pPr>
              <w:widowControl/>
              <w:spacing w:line="240" w:lineRule="exact"/>
              <w:rPr>
                <w:rFonts w:ascii="宋体" w:hAnsi="宋体" w:eastAsia="宋体" w:cs="宋体"/>
                <w:kern w:val="0"/>
                <w:sz w:val="18"/>
                <w:szCs w:val="18"/>
              </w:rPr>
            </w:pP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原因：</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1.汇智城2020年入住大学毕业生人员情况复杂，很多大学毕业生入住期间参加升学考试等，不符合补贴发放条件。</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2.部分大学毕业生在入住期间实现就业，就业后不再享受就业专项补贴金，只发放未就业期间的就业专项补贴金。</w:t>
            </w:r>
          </w:p>
        </w:tc>
      </w:tr>
      <w:tr>
        <w:tblPrEx>
          <w:tblCellMar>
            <w:top w:w="0" w:type="dxa"/>
            <w:left w:w="108" w:type="dxa"/>
            <w:bottom w:w="0" w:type="dxa"/>
            <w:right w:w="108" w:type="dxa"/>
          </w:tblCellMar>
        </w:tblPrEx>
        <w:trPr>
          <w:trHeight w:val="2020" w:hRule="exac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下一步，我单位将全面提前谋划和统筹调度各相关科室资金使用需求，及时编制预算申请，确保项目与资金相配套、需求与申请相衔接，按时按要求、高质高效的完成工作任务。</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WNlOThjNThkOGViNGEzMzAxODRkNDQzYjE3ZmEifQ=="/>
  </w:docVars>
  <w:rsids>
    <w:rsidRoot w:val="003451DB"/>
    <w:rsid w:val="0001664A"/>
    <w:rsid w:val="00157CFC"/>
    <w:rsid w:val="002070A0"/>
    <w:rsid w:val="002D5798"/>
    <w:rsid w:val="003451DB"/>
    <w:rsid w:val="003C12EC"/>
    <w:rsid w:val="00476BD1"/>
    <w:rsid w:val="00521A16"/>
    <w:rsid w:val="0053756E"/>
    <w:rsid w:val="006D3801"/>
    <w:rsid w:val="006E29D9"/>
    <w:rsid w:val="00831FA5"/>
    <w:rsid w:val="0088630F"/>
    <w:rsid w:val="009051C9"/>
    <w:rsid w:val="009800C2"/>
    <w:rsid w:val="00B40EE1"/>
    <w:rsid w:val="00BA797E"/>
    <w:rsid w:val="00D24A18"/>
    <w:rsid w:val="00D40586"/>
    <w:rsid w:val="00DF10D9"/>
    <w:rsid w:val="00E809B9"/>
    <w:rsid w:val="00E84CD3"/>
    <w:rsid w:val="00EC4EA2"/>
    <w:rsid w:val="00F0684D"/>
    <w:rsid w:val="00F524FE"/>
    <w:rsid w:val="00F76B66"/>
    <w:rsid w:val="02D77E25"/>
    <w:rsid w:val="1A2E15A1"/>
    <w:rsid w:val="33004F45"/>
    <w:rsid w:val="430751AF"/>
    <w:rsid w:val="58657C88"/>
    <w:rsid w:val="6F4C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kern w:val="2"/>
      <w:sz w:val="18"/>
      <w:szCs w:val="18"/>
    </w:rPr>
  </w:style>
  <w:style w:type="character" w:customStyle="1" w:styleId="8">
    <w:name w:val="页脚 Char"/>
    <w:basedOn w:val="6"/>
    <w:link w:val="3"/>
    <w:qFormat/>
    <w:uiPriority w:val="0"/>
    <w:rPr>
      <w:rFonts w:ascii="Times New Roman" w:hAnsi="Times New Roman" w:eastAsia="仿宋_GB2312" w:cs="Times New Roman"/>
      <w:kern w:val="2"/>
      <w:sz w:val="18"/>
      <w:szCs w:val="18"/>
    </w:rPr>
  </w:style>
  <w:style w:type="character" w:customStyle="1" w:styleId="9">
    <w:name w:val="批注框文本 Char"/>
    <w:basedOn w:val="6"/>
    <w:link w:val="2"/>
    <w:semiHidden/>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1245</Words>
  <Characters>1361</Characters>
  <Lines>3</Lines>
  <Paragraphs>3</Paragraphs>
  <TotalTime>20</TotalTime>
  <ScaleCrop>false</ScaleCrop>
  <LinksUpToDate>false</LinksUpToDate>
  <CharactersWithSpaces>1369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2022-03-10T03:43:00Z</dcterms:created>
  <dc:creator>Administrator</dc:creator>
  <cp:lastModifiedBy>穆晓慧</cp:lastModifiedBy>
  <cp:lastPrinted>2022-07-29T03:05:00Z</cp:lastPrinted>
  <dcterms:modified xsi:type="dcterms:W3CDTF">2022-11-18T10:16:58Z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36DE8AE1E4354F6CADF198E759DC5630</vt:lpwstr>
  </property>
</Properties>
</file>