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
        </w:rPr>
      </w:pPr>
      <w:r>
        <w:rPr>
          <w:rFonts w:hint="eastAsia" w:ascii="黑体" w:hAnsi="黑体" w:eastAsia="黑体" w:cs="黑体"/>
          <w:i w:val="0"/>
          <w:color w:val="000000"/>
          <w:kern w:val="0"/>
          <w:sz w:val="28"/>
          <w:szCs w:val="28"/>
          <w:u w:val="none"/>
          <w:lang w:val="en-US" w:eastAsia="zh-CN" w:bidi="ar"/>
        </w:rPr>
        <w:t xml:space="preserve">附件4  </w:t>
      </w:r>
      <w:r>
        <w:rPr>
          <w:rFonts w:hint="eastAsia" w:ascii="仿宋" w:hAnsi="仿宋" w:eastAsia="仿宋" w:cs="仿宋"/>
          <w:i w:val="0"/>
          <w:color w:val="000000"/>
          <w:kern w:val="0"/>
          <w:sz w:val="32"/>
          <w:szCs w:val="32"/>
          <w:u w:val="none"/>
          <w:lang w:val="en-US" w:eastAsia="zh-CN" w:bidi="ar"/>
        </w:rPr>
        <w:t xml:space="preserve">                    </w:t>
      </w:r>
    </w:p>
    <w:p>
      <w:pPr>
        <w:keepNext w:val="0"/>
        <w:keepLines w:val="0"/>
        <w:widowControl/>
        <w:suppressLineNumbers w:val="0"/>
        <w:jc w:val="center"/>
        <w:textAlignment w:val="center"/>
        <w:outlineLvl w:val="0"/>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阳高县非煤矿山生产安全事故应急响应条件</w:t>
      </w:r>
    </w:p>
    <w:tbl>
      <w:tblPr>
        <w:tblStyle w:val="3"/>
        <w:tblW w:w="12974" w:type="dxa"/>
        <w:jc w:val="center"/>
        <w:tblLayout w:type="fixed"/>
        <w:tblCellMar>
          <w:top w:w="0" w:type="dxa"/>
          <w:left w:w="0" w:type="dxa"/>
          <w:bottom w:w="0" w:type="dxa"/>
          <w:right w:w="0" w:type="dxa"/>
        </w:tblCellMar>
      </w:tblPr>
      <w:tblGrid>
        <w:gridCol w:w="4317"/>
        <w:gridCol w:w="4318"/>
        <w:gridCol w:w="4339"/>
      </w:tblGrid>
      <w:tr>
        <w:tblPrEx>
          <w:tblCellMar>
            <w:top w:w="0" w:type="dxa"/>
            <w:left w:w="0" w:type="dxa"/>
            <w:bottom w:w="0" w:type="dxa"/>
            <w:right w:w="0" w:type="dxa"/>
          </w:tblCellMar>
        </w:tblPrEx>
        <w:trPr>
          <w:trHeight w:val="582" w:hRule="atLeast"/>
          <w:jc w:val="center"/>
        </w:trPr>
        <w:tc>
          <w:tcPr>
            <w:tcW w:w="4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
              <w:spacing w:before="3"/>
              <w:ind w:firstLine="1600" w:firstLineChars="500"/>
              <w:jc w:val="left"/>
              <w:rPr>
                <w:rFonts w:hint="eastAsia" w:ascii="Times New Roman" w:hAnsi="Times New Roman" w:eastAsia="仿宋" w:cs="Times New Roman"/>
                <w:kern w:val="2"/>
                <w:sz w:val="32"/>
                <w:szCs w:val="32"/>
                <w:vertAlign w:val="baseline"/>
                <w:lang w:val="en-US" w:eastAsia="zh-CN" w:bidi="ar-SA"/>
              </w:rPr>
            </w:pPr>
            <w:r>
              <w:rPr>
                <w:rFonts w:hint="default" w:ascii="Times New Roman" w:hAnsi="Times New Roman" w:cs="Times New Roman"/>
                <w:sz w:val="32"/>
                <w:szCs w:val="32"/>
                <w:vertAlign w:val="baseline"/>
                <w:lang w:val="en-US" w:eastAsia="zh-CN"/>
              </w:rPr>
              <w:t>Ⅲ级响应</w:t>
            </w:r>
          </w:p>
        </w:tc>
        <w:tc>
          <w:tcPr>
            <w:tcW w:w="43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
              <w:spacing w:before="3"/>
              <w:ind w:firstLine="1280" w:firstLineChars="400"/>
              <w:jc w:val="left"/>
              <w:rPr>
                <w:rFonts w:hint="eastAsia" w:ascii="Times New Roman" w:hAnsi="Times New Roman" w:eastAsia="仿宋" w:cs="Times New Roman"/>
                <w:kern w:val="2"/>
                <w:sz w:val="32"/>
                <w:szCs w:val="32"/>
                <w:vertAlign w:val="baseline"/>
                <w:lang w:val="en-US" w:eastAsia="zh-CN" w:bidi="ar-SA"/>
              </w:rPr>
            </w:pPr>
            <w:r>
              <w:rPr>
                <w:rFonts w:hint="default" w:ascii="Times New Roman" w:hAnsi="Times New Roman" w:cs="Times New Roman"/>
                <w:sz w:val="32"/>
                <w:szCs w:val="32"/>
                <w:vertAlign w:val="baseline"/>
                <w:lang w:val="en-US" w:eastAsia="zh-CN"/>
              </w:rPr>
              <w:t>Ⅱ级响应</w:t>
            </w:r>
          </w:p>
        </w:tc>
        <w:tc>
          <w:tcPr>
            <w:tcW w:w="43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
              <w:spacing w:before="3"/>
              <w:ind w:firstLine="1280" w:firstLineChars="400"/>
              <w:jc w:val="left"/>
              <w:rPr>
                <w:rFonts w:hint="eastAsia" w:ascii="Times New Roman" w:hAnsi="Times New Roman" w:eastAsia="仿宋" w:cs="Times New Roman"/>
                <w:kern w:val="2"/>
                <w:sz w:val="32"/>
                <w:szCs w:val="32"/>
                <w:vertAlign w:val="baseline"/>
                <w:lang w:val="en-US" w:eastAsia="zh-CN" w:bidi="ar-SA"/>
              </w:rPr>
            </w:pPr>
            <w:r>
              <w:rPr>
                <w:rFonts w:hint="default" w:ascii="Times New Roman" w:hAnsi="Times New Roman" w:cs="Times New Roman"/>
                <w:sz w:val="32"/>
                <w:szCs w:val="32"/>
                <w:vertAlign w:val="baseline"/>
                <w:lang w:val="en-US" w:eastAsia="zh-CN"/>
              </w:rPr>
              <w:t>Ⅰ级响应</w:t>
            </w:r>
          </w:p>
        </w:tc>
      </w:tr>
      <w:tr>
        <w:tblPrEx>
          <w:tblCellMar>
            <w:top w:w="0" w:type="dxa"/>
            <w:left w:w="0" w:type="dxa"/>
            <w:bottom w:w="0" w:type="dxa"/>
            <w:right w:w="0" w:type="dxa"/>
          </w:tblCellMar>
        </w:tblPrEx>
        <w:trPr>
          <w:trHeight w:val="5032" w:hRule="atLeast"/>
          <w:jc w:val="center"/>
        </w:trPr>
        <w:tc>
          <w:tcPr>
            <w:tcW w:w="4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ind w:left="218" w:leftChars="104" w:right="313" w:rightChars="149" w:firstLine="0" w:firstLineChars="0"/>
              <w:jc w:val="both"/>
              <w:rPr>
                <w:rFonts w:hint="default" w:ascii="Times New Roman" w:hAnsi="Times New Roman" w:cs="Times New Roman"/>
              </w:rPr>
            </w:pPr>
            <w:r>
              <w:rPr>
                <w:rFonts w:hint="default" w:ascii="Times New Roman" w:hAnsi="Times New Roman" w:eastAsia="仿宋_GB2312" w:cs="Times New Roman"/>
                <w:b/>
                <w:color w:val="000000"/>
                <w:kern w:val="0"/>
                <w:sz w:val="28"/>
                <w:szCs w:val="28"/>
                <w:lang w:val="en-US" w:eastAsia="zh-CN" w:bidi="ar"/>
              </w:rPr>
              <w:t>启动条件：</w:t>
            </w:r>
          </w:p>
          <w:p>
            <w:pPr>
              <w:keepNext w:val="0"/>
              <w:keepLines w:val="0"/>
              <w:widowControl/>
              <w:suppressLineNumbers w:val="0"/>
              <w:ind w:left="218" w:leftChars="104" w:right="313" w:rightChars="149" w:firstLine="0" w:firstLineChars="0"/>
              <w:jc w:val="both"/>
              <w:rPr>
                <w:rFonts w:hint="default" w:ascii="Times New Roman" w:hAnsi="Times New Roman" w:cs="Times New Roman"/>
              </w:rPr>
            </w:pPr>
            <w:r>
              <w:rPr>
                <w:rFonts w:hint="default" w:ascii="Times New Roman" w:hAnsi="Times New Roman" w:eastAsia="仿宋_GB2312" w:cs="Times New Roman"/>
                <w:color w:val="000000"/>
                <w:kern w:val="0"/>
                <w:sz w:val="28"/>
                <w:szCs w:val="28"/>
                <w:lang w:val="en-US" w:eastAsia="zh-CN" w:bidi="ar"/>
              </w:rPr>
              <w:t>1.采取相应的准备工作和预防</w:t>
            </w:r>
          </w:p>
          <w:p>
            <w:pPr>
              <w:keepNext w:val="0"/>
              <w:keepLines w:val="0"/>
              <w:widowControl/>
              <w:suppressLineNumbers w:val="0"/>
              <w:ind w:left="218" w:leftChars="104" w:right="313" w:rightChars="149" w:firstLine="0" w:firstLineChars="0"/>
              <w:jc w:val="both"/>
              <w:rPr>
                <w:rFonts w:hint="default" w:ascii="Times New Roman" w:hAnsi="Times New Roman" w:cs="Times New Roman"/>
              </w:rPr>
            </w:pPr>
            <w:r>
              <w:rPr>
                <w:rFonts w:hint="default" w:ascii="Times New Roman" w:hAnsi="Times New Roman" w:eastAsia="仿宋_GB2312" w:cs="Times New Roman"/>
                <w:color w:val="000000"/>
                <w:kern w:val="0"/>
                <w:sz w:val="28"/>
                <w:szCs w:val="28"/>
                <w:lang w:val="en-US" w:eastAsia="zh-CN" w:bidi="ar"/>
              </w:rPr>
              <w:t>措施，即可应对的事故；</w:t>
            </w:r>
          </w:p>
          <w:p>
            <w:pPr>
              <w:keepNext w:val="0"/>
              <w:keepLines w:val="0"/>
              <w:widowControl/>
              <w:suppressLineNumbers w:val="0"/>
              <w:ind w:left="218" w:leftChars="104" w:right="313" w:rightChars="149" w:firstLine="0" w:firstLineChars="0"/>
              <w:jc w:val="both"/>
              <w:rPr>
                <w:rFonts w:hint="eastAsia"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2.整个事故可由县级相关部门按照各自职责和权限全权负责处置的事故。</w:t>
            </w:r>
          </w:p>
        </w:tc>
        <w:tc>
          <w:tcPr>
            <w:tcW w:w="43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00" w:lineRule="exact"/>
              <w:ind w:left="218" w:leftChars="104" w:right="292" w:rightChars="139" w:firstLine="0" w:firstLineChars="0"/>
              <w:jc w:val="both"/>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bCs/>
                <w:sz w:val="28"/>
                <w:szCs w:val="28"/>
              </w:rPr>
              <w:t>启动条件：</w:t>
            </w:r>
          </w:p>
          <w:p>
            <w:pPr>
              <w:keepNext w:val="0"/>
              <w:keepLines w:val="0"/>
              <w:widowControl/>
              <w:suppressLineNumbers w:val="0"/>
              <w:ind w:left="218" w:leftChars="104" w:right="292" w:rightChars="139" w:firstLine="0" w:firstLineChars="0"/>
              <w:jc w:val="both"/>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1.发生一般事故；</w:t>
            </w:r>
          </w:p>
          <w:p>
            <w:pPr>
              <w:keepNext w:val="0"/>
              <w:keepLines w:val="0"/>
              <w:widowControl/>
              <w:suppressLineNumbers w:val="0"/>
              <w:ind w:left="218" w:leftChars="104" w:right="292" w:rightChars="139" w:firstLine="0" w:firstLineChars="0"/>
              <w:jc w:val="both"/>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2.造成3人以下涉险、</w:t>
            </w:r>
          </w:p>
          <w:p>
            <w:pPr>
              <w:keepNext w:val="0"/>
              <w:keepLines w:val="0"/>
              <w:widowControl/>
              <w:suppressLineNumbers w:val="0"/>
              <w:ind w:left="218" w:leftChars="104" w:right="292" w:rightChars="139" w:firstLine="0" w:firstLineChars="0"/>
              <w:jc w:val="both"/>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被困、失联的事故;</w:t>
            </w:r>
          </w:p>
          <w:p>
            <w:pPr>
              <w:keepNext w:val="0"/>
              <w:keepLines w:val="0"/>
              <w:widowControl/>
              <w:suppressLineNumbers w:val="0"/>
              <w:ind w:left="218" w:leftChars="104" w:right="292" w:rightChars="139" w:firstLine="0" w:firstLineChars="0"/>
              <w:jc w:val="both"/>
              <w:rPr>
                <w:rFonts w:hint="eastAsia" w:ascii="Times New Roman" w:hAnsi="Times New Roman" w:eastAsia="仿宋" w:cs="Times New Roman"/>
                <w:kern w:val="2"/>
                <w:sz w:val="32"/>
                <w:szCs w:val="32"/>
                <w:vertAlign w:val="baseline"/>
                <w:lang w:val="en-US" w:eastAsia="zh-CN" w:bidi="ar-SA"/>
              </w:rPr>
            </w:pPr>
            <w:r>
              <w:rPr>
                <w:rFonts w:hint="default" w:ascii="Times New Roman" w:hAnsi="Times New Roman" w:eastAsia="仿宋_GB2312" w:cs="Times New Roman"/>
                <w:color w:val="000000"/>
                <w:kern w:val="0"/>
                <w:sz w:val="28"/>
                <w:szCs w:val="28"/>
                <w:lang w:val="en-US" w:eastAsia="zh-CN" w:bidi="ar"/>
              </w:rPr>
              <w:t>3.县指挥部办</w:t>
            </w:r>
            <w:bookmarkStart w:id="0" w:name="_GoBack"/>
            <w:bookmarkEnd w:id="0"/>
            <w:r>
              <w:rPr>
                <w:rFonts w:hint="default" w:ascii="Times New Roman" w:hAnsi="Times New Roman" w:eastAsia="仿宋_GB2312" w:cs="Times New Roman"/>
                <w:color w:val="000000"/>
                <w:kern w:val="0"/>
                <w:sz w:val="28"/>
                <w:szCs w:val="28"/>
                <w:lang w:val="en-US" w:eastAsia="zh-CN" w:bidi="ar"/>
              </w:rPr>
              <w:t>公室认为需要启动Ⅱ级响应的情形。</w:t>
            </w:r>
          </w:p>
        </w:tc>
        <w:tc>
          <w:tcPr>
            <w:tcW w:w="43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218" w:leftChars="104" w:right="113" w:rightChars="54" w:firstLine="0" w:firstLineChars="0"/>
              <w:jc w:val="both"/>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启动条件：</w:t>
            </w:r>
          </w:p>
          <w:p>
            <w:pPr>
              <w:keepNext w:val="0"/>
              <w:keepLines w:val="0"/>
              <w:widowControl/>
              <w:suppressLineNumbers w:val="0"/>
              <w:ind w:left="218" w:leftChars="104" w:right="113" w:rightChars="54" w:firstLine="0" w:firstLineChars="0"/>
              <w:jc w:val="both"/>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1.发生较大及以上事故；</w:t>
            </w:r>
          </w:p>
          <w:p>
            <w:pPr>
              <w:keepNext w:val="0"/>
              <w:keepLines w:val="0"/>
              <w:widowControl/>
              <w:suppressLineNumbers w:val="0"/>
              <w:ind w:left="218" w:leftChars="104" w:right="113" w:rightChars="54" w:firstLine="0" w:firstLineChars="0"/>
              <w:jc w:val="both"/>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2.造成3（含）人以上</w:t>
            </w:r>
          </w:p>
          <w:p>
            <w:pPr>
              <w:keepNext w:val="0"/>
              <w:keepLines w:val="0"/>
              <w:widowControl/>
              <w:suppressLineNumbers w:val="0"/>
              <w:ind w:left="218" w:leftChars="104" w:right="113" w:rightChars="54" w:firstLine="0" w:firstLineChars="0"/>
              <w:jc w:val="both"/>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涉险、被困、失联的事故；</w:t>
            </w:r>
          </w:p>
          <w:p>
            <w:pPr>
              <w:keepNext w:val="0"/>
              <w:keepLines w:val="0"/>
              <w:widowControl/>
              <w:suppressLineNumbers w:val="0"/>
              <w:ind w:left="218" w:leftChars="104" w:right="113" w:rightChars="54" w:firstLine="0" w:firstLineChars="0"/>
              <w:jc w:val="both"/>
              <w:rPr>
                <w:rFonts w:hint="eastAsia" w:ascii="Times New Roman" w:hAnsi="Times New Roman" w:eastAsia="仿宋" w:cs="Times New Roman"/>
                <w:b w:val="0"/>
                <w:bCs w:val="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3.县指挥部办公室认为需要启动Ⅰ级响应的情形。</w:t>
            </w:r>
          </w:p>
        </w:tc>
      </w:tr>
    </w:tbl>
    <w:p/>
    <w:sectPr>
      <w:pgSz w:w="16838" w:h="11906" w:orient="landscape"/>
      <w:pgMar w:top="1800" w:right="1440" w:bottom="1800"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578A8"/>
    <w:rsid w:val="67FB01B8"/>
    <w:rsid w:val="6FFEAF10"/>
    <w:rsid w:val="7FAB87DD"/>
    <w:rsid w:val="95BF91FA"/>
    <w:rsid w:val="CDC7203E"/>
    <w:rsid w:val="FAEB9A10"/>
    <w:rsid w:val="FF3EB0DF"/>
    <w:rsid w:val="FF657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line="600" w:lineRule="exact"/>
      <w:ind w:firstLine="400" w:firstLineChars="200"/>
    </w:pPr>
    <w:rPr>
      <w:rFonts w:eastAsia="仿宋"/>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2025-12-29T19:21:00Z</dcterms:created>
  <dc:creator>baixin</dc:creator>
  <cp:lastModifiedBy>baixin</cp:lastModifiedBy>
  <dcterms:modified xsi:type="dcterms:W3CDTF">2025-12-31T16:38:16Z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FF05F460E5B3A48FB1F3516936E1F6FA</vt:lpwstr>
  </property>
</Properties>
</file>