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6"/>
        <w:tblW w:w="15015" w:type="dxa"/>
        <w:tblInd w:w="-48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95"/>
        <w:gridCol w:w="720"/>
        <w:gridCol w:w="1215"/>
        <w:gridCol w:w="1065"/>
        <w:gridCol w:w="885"/>
        <w:gridCol w:w="4935"/>
        <w:gridCol w:w="4590"/>
        <w:gridCol w:w="51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5015" w:type="dxa"/>
            <w:gridSpan w:val="8"/>
            <w:tcBorders>
              <w:top w:val="nil"/>
              <w:left w:val="nil"/>
              <w:bottom w:val="single" w:color="auto" w:sz="4" w:space="0"/>
              <w:right w:val="nil"/>
            </w:tcBorders>
            <w:noWrap w:val="0"/>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right="0"/>
              <w:jc w:val="center"/>
              <w:rPr>
                <w:rFonts w:hint="eastAsia" w:ascii="黑体" w:hAnsi="黑体" w:eastAsia="黑体" w:cs="黑体"/>
                <w:bCs/>
                <w:kern w:val="2"/>
                <w:sz w:val="44"/>
                <w:szCs w:val="44"/>
                <w:lang w:val="en-US" w:eastAsia="zh-CN" w:bidi="ar-SA"/>
              </w:rPr>
            </w:pPr>
            <w:r>
              <w:rPr>
                <w:rFonts w:hint="eastAsia" w:ascii="黑体" w:hAnsi="黑体" w:eastAsia="黑体" w:cs="黑体"/>
                <w:i w:val="0"/>
                <w:caps w:val="0"/>
                <w:color w:val="000000"/>
                <w:spacing w:val="0"/>
                <w:sz w:val="44"/>
                <w:szCs w:val="44"/>
                <w:shd w:val="clear" w:color="auto" w:fill="FFFFFF"/>
                <w:lang w:eastAsia="zh-CN"/>
              </w:rPr>
              <w:t>冶金工贸企业</w:t>
            </w:r>
            <w:r>
              <w:rPr>
                <w:rFonts w:hint="eastAsia" w:ascii="黑体" w:hAnsi="黑体" w:eastAsia="黑体" w:cs="黑体"/>
                <w:i w:val="0"/>
                <w:caps w:val="0"/>
                <w:color w:val="000000"/>
                <w:spacing w:val="0"/>
                <w:sz w:val="44"/>
                <w:szCs w:val="44"/>
                <w:shd w:val="clear" w:color="auto" w:fill="FFFFFF"/>
              </w:rPr>
              <w:t>安全生产</w:t>
            </w:r>
            <w:r>
              <w:rPr>
                <w:rFonts w:hint="eastAsia" w:ascii="黑体" w:hAnsi="黑体" w:eastAsia="黑体" w:cs="黑体"/>
                <w:i w:val="0"/>
                <w:caps w:val="0"/>
                <w:color w:val="000000"/>
                <w:spacing w:val="0"/>
                <w:sz w:val="44"/>
                <w:szCs w:val="44"/>
                <w:shd w:val="clear" w:color="auto" w:fill="FFFFFF"/>
                <w:lang w:eastAsia="zh-CN"/>
              </w:rPr>
              <w:t>双随机抽查检查事项清单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5015" w:type="dxa"/>
            <w:gridSpan w:val="8"/>
            <w:tcBorders>
              <w:top w:val="single" w:color="auto" w:sz="4" w:space="0"/>
              <w:left w:val="single" w:color="auto" w:sz="4" w:space="0"/>
              <w:bottom w:val="single" w:color="auto" w:sz="4" w:space="0"/>
              <w:right w:val="single" w:color="auto" w:sz="4" w:space="0"/>
            </w:tcBorders>
            <w:noWrap w:val="0"/>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0" w:lineRule="atLeast"/>
              <w:ind w:right="0"/>
              <w:jc w:val="left"/>
              <w:textAlignment w:val="auto"/>
              <w:rPr>
                <w:rFonts w:hint="eastAsia" w:ascii="宋体" w:hAnsi="宋体" w:eastAsia="宋体" w:cs="宋体"/>
                <w:b/>
                <w:i w:val="0"/>
                <w:color w:val="000000"/>
                <w:sz w:val="22"/>
                <w:szCs w:val="22"/>
                <w:u w:val="none"/>
              </w:rPr>
            </w:pPr>
            <w:r>
              <w:rPr>
                <w:rFonts w:hint="eastAsia" w:ascii="黑体" w:hAnsi="黑体" w:eastAsia="黑体" w:cs="黑体"/>
                <w:bCs/>
                <w:kern w:val="2"/>
                <w:sz w:val="44"/>
                <w:szCs w:val="44"/>
                <w:lang w:val="en-US" w:eastAsia="zh-CN" w:bidi="ar-SA"/>
              </w:rPr>
              <w:br w:type="page"/>
            </w:r>
            <w:r>
              <w:rPr>
                <w:rFonts w:hint="eastAsia" w:ascii="宋体" w:hAnsi="宋体" w:eastAsia="宋体" w:cs="宋体"/>
                <w:b/>
                <w:i w:val="0"/>
                <w:color w:val="000000"/>
                <w:kern w:val="0"/>
                <w:sz w:val="22"/>
                <w:szCs w:val="22"/>
                <w:u w:val="none"/>
                <w:lang w:val="en-US" w:eastAsia="zh-CN" w:bidi="ar"/>
              </w:rPr>
              <w:t>检查单位：大同市应急管理局(1402001009002)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1095" w:type="dxa"/>
            <w:tcBorders>
              <w:top w:val="single" w:color="auto"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 xml:space="preserve"> 检查项目</w:t>
            </w:r>
          </w:p>
        </w:tc>
        <w:tc>
          <w:tcPr>
            <w:tcW w:w="720" w:type="dxa"/>
            <w:tcBorders>
              <w:top w:val="single" w:color="auto"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检查项目类别</w:t>
            </w:r>
          </w:p>
        </w:tc>
        <w:tc>
          <w:tcPr>
            <w:tcW w:w="1215" w:type="dxa"/>
            <w:tcBorders>
              <w:top w:val="single" w:color="auto"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父类检查项目</w:t>
            </w:r>
          </w:p>
        </w:tc>
        <w:tc>
          <w:tcPr>
            <w:tcW w:w="1065" w:type="dxa"/>
            <w:tcBorders>
              <w:top w:val="single" w:color="auto"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检查对象类型</w:t>
            </w:r>
          </w:p>
        </w:tc>
        <w:tc>
          <w:tcPr>
            <w:tcW w:w="885" w:type="dxa"/>
            <w:tcBorders>
              <w:top w:val="single" w:color="auto"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检查项类型</w:t>
            </w:r>
          </w:p>
        </w:tc>
        <w:tc>
          <w:tcPr>
            <w:tcW w:w="4935" w:type="dxa"/>
            <w:tcBorders>
              <w:top w:val="single" w:color="auto"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检查依据</w:t>
            </w:r>
          </w:p>
        </w:tc>
        <w:tc>
          <w:tcPr>
            <w:tcW w:w="4590" w:type="dxa"/>
            <w:tcBorders>
              <w:top w:val="single" w:color="auto"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检查内容</w:t>
            </w:r>
          </w:p>
        </w:tc>
        <w:tc>
          <w:tcPr>
            <w:tcW w:w="510" w:type="dxa"/>
            <w:tcBorders>
              <w:top w:val="single" w:color="auto"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0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冶金等工贸企业随机抽查重点事项</w:t>
            </w:r>
          </w:p>
        </w:tc>
        <w:tc>
          <w:tcPr>
            <w:tcW w:w="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大类</w:t>
            </w:r>
          </w:p>
        </w:tc>
        <w:tc>
          <w:tcPr>
            <w:tcW w:w="12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抽查事项清单</w:t>
            </w:r>
          </w:p>
        </w:tc>
        <w:tc>
          <w:tcPr>
            <w:tcW w:w="106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2"/>
                <w:szCs w:val="22"/>
                <w:u w:val="none"/>
              </w:rPr>
            </w:pPr>
          </w:p>
        </w:tc>
        <w:tc>
          <w:tcPr>
            <w:tcW w:w="88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2"/>
                <w:szCs w:val="22"/>
                <w:u w:val="none"/>
              </w:rPr>
            </w:pPr>
          </w:p>
        </w:tc>
        <w:tc>
          <w:tcPr>
            <w:tcW w:w="493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2"/>
                <w:szCs w:val="22"/>
                <w:u w:val="none"/>
              </w:rPr>
            </w:pPr>
          </w:p>
        </w:tc>
        <w:tc>
          <w:tcPr>
            <w:tcW w:w="459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2"/>
                <w:szCs w:val="22"/>
                <w:u w:val="none"/>
              </w:rPr>
            </w:pPr>
          </w:p>
        </w:tc>
        <w:tc>
          <w:tcPr>
            <w:tcW w:w="51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20" w:hRule="atLeast"/>
        </w:trPr>
        <w:tc>
          <w:tcPr>
            <w:tcW w:w="10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冶金企业监督检查</w:t>
            </w:r>
          </w:p>
        </w:tc>
        <w:tc>
          <w:tcPr>
            <w:tcW w:w="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细类</w:t>
            </w:r>
          </w:p>
        </w:tc>
        <w:tc>
          <w:tcPr>
            <w:tcW w:w="12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冶金等工贸企业随机抽查重点事项</w:t>
            </w:r>
          </w:p>
        </w:tc>
        <w:tc>
          <w:tcPr>
            <w:tcW w:w="10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主体</w:t>
            </w:r>
          </w:p>
        </w:tc>
        <w:tc>
          <w:tcPr>
            <w:tcW w:w="8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重点检查事项</w:t>
            </w:r>
          </w:p>
        </w:tc>
        <w:tc>
          <w:tcPr>
            <w:tcW w:w="49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安全生产法》第三十二条；2.《冶金企业安全生产监督管理规定》（国家安全监管总局令第26号）第二十一条；3.《炼钢安全规程》（AQ2001-2004）；4.《冶金企业安全生产监督管理规定》（国家安全监管总局令第26号）第二十三条。</w:t>
            </w:r>
          </w:p>
        </w:tc>
        <w:tc>
          <w:tcPr>
            <w:tcW w:w="45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核查较大危险因素辨识管控措施的落实情况；2核查会议室、活动室、休息室、更衣室等人员聚集场所是否设置在危险区域情况；3核查吊运铁水、钢水的起重机是否符合冶金铸造起重机要求及年检情况；4核查盛装铁水、钢水与液渣的罐（包、盆）等容器耳轴检测情况；5核查高温熔融金属冶炼、吊运区域是否存在积水情况；6核查煤气可能泄漏的危险区域警示标示及固定报警仪设置情况。</w:t>
            </w:r>
          </w:p>
        </w:tc>
        <w:tc>
          <w:tcPr>
            <w:tcW w:w="51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10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有色企业监督检查</w:t>
            </w:r>
          </w:p>
        </w:tc>
        <w:tc>
          <w:tcPr>
            <w:tcW w:w="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细类</w:t>
            </w:r>
          </w:p>
        </w:tc>
        <w:tc>
          <w:tcPr>
            <w:tcW w:w="12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冶金等工贸企业随机抽查重点事项</w:t>
            </w:r>
          </w:p>
        </w:tc>
        <w:tc>
          <w:tcPr>
            <w:tcW w:w="10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主体</w:t>
            </w:r>
          </w:p>
        </w:tc>
        <w:tc>
          <w:tcPr>
            <w:tcW w:w="8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重点检查事项</w:t>
            </w:r>
          </w:p>
        </w:tc>
        <w:tc>
          <w:tcPr>
            <w:tcW w:w="49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1.《氧化铝安全生产规程》（GB30186-2013）；2.《铝电解安全生产规范》（GB29741-2013），</w:t>
            </w:r>
          </w:p>
        </w:tc>
        <w:tc>
          <w:tcPr>
            <w:tcW w:w="45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1核查炉、窑、槽、罐类设备本体及附属设施定期检查情况；2核查吊运铜水等熔融有色金属及渣的起重机是否符合冶金起重机要求及年检情况；3核查高温熔融金属冶炼、吊运区域是否存在积水情况。</w:t>
            </w:r>
          </w:p>
        </w:tc>
        <w:tc>
          <w:tcPr>
            <w:tcW w:w="51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0" w:hRule="atLeast"/>
        </w:trPr>
        <w:tc>
          <w:tcPr>
            <w:tcW w:w="10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建材企业监督检查</w:t>
            </w:r>
          </w:p>
        </w:tc>
        <w:tc>
          <w:tcPr>
            <w:tcW w:w="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细类</w:t>
            </w:r>
          </w:p>
        </w:tc>
        <w:tc>
          <w:tcPr>
            <w:tcW w:w="12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冶金等工贸企业随机抽查重点事项</w:t>
            </w:r>
          </w:p>
        </w:tc>
        <w:tc>
          <w:tcPr>
            <w:tcW w:w="10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主体</w:t>
            </w:r>
          </w:p>
        </w:tc>
        <w:tc>
          <w:tcPr>
            <w:tcW w:w="8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重点检查事项</w:t>
            </w:r>
          </w:p>
        </w:tc>
        <w:tc>
          <w:tcPr>
            <w:tcW w:w="49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1.《水泥工厂筒形储存库人工清堵安全规程》（AQ 2047-2012）；2.《玻璃工厂职业卫生与安全技术规程》（GB 15081-1994）；3.《石油库设计规范》（GB50074-2014）；4.工业企业煤气安全规程(GB 6222-2005)。</w:t>
            </w:r>
          </w:p>
        </w:tc>
        <w:tc>
          <w:tcPr>
            <w:tcW w:w="45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1核查水泥筒形库清库清堵安全管理情况；2核查玻璃熔炉的防泄漏措施情况；3核查柴油罐等燃料罐采取防雷、防静电的措施情况；4核查煤气发生炉及煤气输送系统的防火、防爆情况。</w:t>
            </w:r>
          </w:p>
        </w:tc>
        <w:tc>
          <w:tcPr>
            <w:tcW w:w="51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35" w:hRule="atLeast"/>
        </w:trPr>
        <w:tc>
          <w:tcPr>
            <w:tcW w:w="10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机械企业监督检查</w:t>
            </w:r>
          </w:p>
        </w:tc>
        <w:tc>
          <w:tcPr>
            <w:tcW w:w="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细类</w:t>
            </w:r>
          </w:p>
        </w:tc>
        <w:tc>
          <w:tcPr>
            <w:tcW w:w="12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冶金等工贸企业随机抽查重点事项</w:t>
            </w:r>
          </w:p>
        </w:tc>
        <w:tc>
          <w:tcPr>
            <w:tcW w:w="10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主体</w:t>
            </w:r>
          </w:p>
        </w:tc>
        <w:tc>
          <w:tcPr>
            <w:tcW w:w="8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重点检查事项</w:t>
            </w:r>
          </w:p>
        </w:tc>
        <w:tc>
          <w:tcPr>
            <w:tcW w:w="49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1《工业企业总平面设计规范》（GB 50187-2012）2《起重机械安全规程 第1部分：总则》（GB 6067.1-2010）3《石油库设计规范》（GB 50074-2014）4《起重机械安全技术监察规程—桥式起重机》（TSG Q0002-2008）5《机械工业职业安全卫生设计规范》（JBJ 18-2000）6《机械工业职业安全卫生设计规范》（JBJ 18-2000）7《金属热处理生产过程安全卫生要求》（GB 15735-2012）8《金属热处理生产过程安全卫生要求》（GB15735-2004）9《金属热处理生产过程安全卫生要求》（GB15735-2004）10《电镀生产装置安全技术条件》（AQ 5203-2008）11《涂装作业安全规程安全管理通则》（GB 7691-2003）12《涂装作业安全规程涂层烘干室安全技术规定》（GB14443-2007）13《涂装作业安全规程安全管理通则》（GB 7691-2003）14《焊接与切割安全》（GB 9448-1999）15《冲压车间安全生产通则》（GB 8176-2012）16《涂装作业安全规程安全管理通则》（GB 7691-2003）</w:t>
            </w:r>
          </w:p>
        </w:tc>
        <w:tc>
          <w:tcPr>
            <w:tcW w:w="45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1核查危险介质管道穿越建（构）筑物、设备设施的情况；2核查超过20吨部件或物品起吊载荷质心的确定情况；3核查 使用、储存成品油和可燃液体的设备设施采取防雷、防静电的措施情况；4　核查吊运熔融金属的起重机械的选用和安全技术状况；5核查铸造熔炼炉前坑、沟或储运铁水和堆放熔渣出的防水措施；6核查造型地坑砂型底部与地下水位的安全距离；7核查热处理炉自动保护装置的设置和完好情况（含电阻炉、保护气氛和可控气氛炉、）；8核查 整体热处理的安全操作情况；9核查镁合金等轻金属采用盐浴炉热处理时的盐浴温度情况；10核查自动电镀生产线的安全保护措施；11核查 临时涂装作业的划定及安全措施的落实情况；12核查涂装烘干系统的烟囱中沉积物情况和定期清扫情况；13核查使用易燃易爆清洗剂时安全防护措施的落实情况；14核查集聚在密闭半密闭空间内易燃易爆气体的及时清理措施；15核查检修作业时的安全防护措施。</w:t>
            </w:r>
          </w:p>
        </w:tc>
        <w:tc>
          <w:tcPr>
            <w:tcW w:w="51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22" w:hRule="atLeast"/>
        </w:trPr>
        <w:tc>
          <w:tcPr>
            <w:tcW w:w="10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存在有限空间作业企业监督检查</w:t>
            </w:r>
          </w:p>
        </w:tc>
        <w:tc>
          <w:tcPr>
            <w:tcW w:w="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细类</w:t>
            </w:r>
          </w:p>
        </w:tc>
        <w:tc>
          <w:tcPr>
            <w:tcW w:w="12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冶金等工贸企业随机抽查重点事项</w:t>
            </w:r>
          </w:p>
        </w:tc>
        <w:tc>
          <w:tcPr>
            <w:tcW w:w="10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主体</w:t>
            </w:r>
          </w:p>
        </w:tc>
        <w:tc>
          <w:tcPr>
            <w:tcW w:w="8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重点检查事项</w:t>
            </w:r>
          </w:p>
        </w:tc>
        <w:tc>
          <w:tcPr>
            <w:tcW w:w="49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1工贸企业有限空间作业安全管理与监督暂行规定（国家安全监管总局令第59号。</w:t>
            </w:r>
          </w:p>
        </w:tc>
        <w:tc>
          <w:tcPr>
            <w:tcW w:w="45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1核实有限空间作业场所安全警示标志的设置情况；2核实有限空间作业审批制度的落实情况；3核实有限空间作业程序的规范和落实情况。</w:t>
            </w:r>
          </w:p>
        </w:tc>
        <w:tc>
          <w:tcPr>
            <w:tcW w:w="51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10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纺织企业监督检查</w:t>
            </w:r>
          </w:p>
        </w:tc>
        <w:tc>
          <w:tcPr>
            <w:tcW w:w="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细类</w:t>
            </w:r>
          </w:p>
        </w:tc>
        <w:tc>
          <w:tcPr>
            <w:tcW w:w="12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冶金等工贸企业随机抽查重点事项</w:t>
            </w:r>
          </w:p>
        </w:tc>
        <w:tc>
          <w:tcPr>
            <w:tcW w:w="10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主体</w:t>
            </w:r>
          </w:p>
        </w:tc>
        <w:tc>
          <w:tcPr>
            <w:tcW w:w="8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重点检查事项</w:t>
            </w:r>
          </w:p>
        </w:tc>
        <w:tc>
          <w:tcPr>
            <w:tcW w:w="49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1.《安全生产法》第三十二条；2.《纺织工业企业安全管理规范》(AQ 7002-2007)。</w:t>
            </w:r>
          </w:p>
        </w:tc>
        <w:tc>
          <w:tcPr>
            <w:tcW w:w="45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1核实较大危险因素辨识管控措施的落实情况；2核实热定型设备的安全技术状况；3核实燃气贮罐、管道和汽化室的安全防护措施；4核查危险品贮存安全措施的落实情况。</w:t>
            </w:r>
          </w:p>
        </w:tc>
        <w:tc>
          <w:tcPr>
            <w:tcW w:w="51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10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烟草企业监督检查</w:t>
            </w:r>
          </w:p>
        </w:tc>
        <w:tc>
          <w:tcPr>
            <w:tcW w:w="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细类</w:t>
            </w:r>
          </w:p>
        </w:tc>
        <w:tc>
          <w:tcPr>
            <w:tcW w:w="12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冶金等工贸企业随机抽查重点事项</w:t>
            </w:r>
          </w:p>
        </w:tc>
        <w:tc>
          <w:tcPr>
            <w:tcW w:w="10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主体</w:t>
            </w:r>
          </w:p>
        </w:tc>
        <w:tc>
          <w:tcPr>
            <w:tcW w:w="8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重点检查事项</w:t>
            </w:r>
          </w:p>
        </w:tc>
        <w:tc>
          <w:tcPr>
            <w:tcW w:w="49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1.《储烟虫害治理磷化氢与二氧化碳混合熏蒸安全规程》(YC301-2009)；2.《卷烟厂设计规范》（YC/T 9-2006）。</w:t>
            </w:r>
          </w:p>
        </w:tc>
        <w:tc>
          <w:tcPr>
            <w:tcW w:w="45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1核查熏蒸杀虫作业前安全防护措施的落实情况；2核实使用液态二氧化碳的生产线和场所安全防护设备的设置情况。</w:t>
            </w:r>
          </w:p>
        </w:tc>
        <w:tc>
          <w:tcPr>
            <w:tcW w:w="51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0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粮食仓储企业监督检查</w:t>
            </w:r>
          </w:p>
        </w:tc>
        <w:tc>
          <w:tcPr>
            <w:tcW w:w="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细类</w:t>
            </w:r>
          </w:p>
        </w:tc>
        <w:tc>
          <w:tcPr>
            <w:tcW w:w="12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冶金等工贸企业随机抽查重点事项</w:t>
            </w:r>
          </w:p>
        </w:tc>
        <w:tc>
          <w:tcPr>
            <w:tcW w:w="10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主体</w:t>
            </w:r>
          </w:p>
        </w:tc>
        <w:tc>
          <w:tcPr>
            <w:tcW w:w="8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重点检查事项</w:t>
            </w:r>
          </w:p>
        </w:tc>
        <w:tc>
          <w:tcPr>
            <w:tcW w:w="49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《粮食仓库安全操作规程》（LS1206-2005）</w:t>
            </w:r>
          </w:p>
        </w:tc>
        <w:tc>
          <w:tcPr>
            <w:tcW w:w="45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核实粮食出入仓作业、内部清理作业安全保护措施的落实情况。</w:t>
            </w:r>
          </w:p>
        </w:tc>
        <w:tc>
          <w:tcPr>
            <w:tcW w:w="51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0" w:hRule="atLeast"/>
        </w:trPr>
        <w:tc>
          <w:tcPr>
            <w:tcW w:w="10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粉尘涉爆企业监督检查</w:t>
            </w:r>
          </w:p>
        </w:tc>
        <w:tc>
          <w:tcPr>
            <w:tcW w:w="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细类</w:t>
            </w:r>
          </w:p>
        </w:tc>
        <w:tc>
          <w:tcPr>
            <w:tcW w:w="12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冶金等工贸企业随机抽查重点事项</w:t>
            </w:r>
          </w:p>
        </w:tc>
        <w:tc>
          <w:tcPr>
            <w:tcW w:w="10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主体</w:t>
            </w:r>
          </w:p>
        </w:tc>
        <w:tc>
          <w:tcPr>
            <w:tcW w:w="8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重点检查事项</w:t>
            </w:r>
          </w:p>
        </w:tc>
        <w:tc>
          <w:tcPr>
            <w:tcW w:w="49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1.《建筑设计防火规范》（GB50016-2014）；2.《粉尘防爆安全规程》（GB 15577-2007）；3.《工业建筑供暖通风与空气调节设计规范》  （GB 50019-2015）；4.《建筑设计防火规范》（GB 50016-2014）；5.《爆炸危险环境电力装置设计规范》。</w:t>
            </w:r>
          </w:p>
        </w:tc>
        <w:tc>
          <w:tcPr>
            <w:tcW w:w="45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核实粉尘爆炸危险场所的设置情况；2核实除尘系统的安全技术状况；3核实防爆电气设备设施的使用情况；4核实粉尘清扫情况；5核实粉碎、研磨、造粒等易于产生机械点火源的工艺前去除异物装置设置情况；6核实砂光机风管火花探测报警装置设置情况；7核实干式除尘系统是否规范设置锁气卸灰装置。</w:t>
            </w:r>
          </w:p>
        </w:tc>
        <w:tc>
          <w:tcPr>
            <w:tcW w:w="51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31" w:hRule="atLeast"/>
        </w:trPr>
        <w:tc>
          <w:tcPr>
            <w:tcW w:w="10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液氨制冷企业监督检查</w:t>
            </w:r>
          </w:p>
        </w:tc>
        <w:tc>
          <w:tcPr>
            <w:tcW w:w="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细类</w:t>
            </w:r>
          </w:p>
        </w:tc>
        <w:tc>
          <w:tcPr>
            <w:tcW w:w="12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冶金等工贸企业随机抽查重点事项</w:t>
            </w:r>
          </w:p>
        </w:tc>
        <w:tc>
          <w:tcPr>
            <w:tcW w:w="10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主体</w:t>
            </w:r>
          </w:p>
        </w:tc>
        <w:tc>
          <w:tcPr>
            <w:tcW w:w="8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重点检查事项</w:t>
            </w:r>
          </w:p>
        </w:tc>
        <w:tc>
          <w:tcPr>
            <w:tcW w:w="49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1.《冷库设计规范》（GB50072-2010)；2.《安全生产法》第三十七条；3.《危险化学品重大危险源监督管理暂行规定》（国家安全监管总局令第40号）有关条款。</w:t>
            </w:r>
          </w:p>
        </w:tc>
        <w:tc>
          <w:tcPr>
            <w:tcW w:w="45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1核实包装间、切割室、产品整理间等人员较多场所空调系统的制冷方式；2核实构成重大危险源的储氨单元的登记建档情况。</w:t>
            </w:r>
          </w:p>
        </w:tc>
        <w:tc>
          <w:tcPr>
            <w:tcW w:w="51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10" w:hRule="atLeast"/>
        </w:trPr>
        <w:tc>
          <w:tcPr>
            <w:tcW w:w="10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冶金等工贸企业综合督查检查</w:t>
            </w:r>
          </w:p>
        </w:tc>
        <w:tc>
          <w:tcPr>
            <w:tcW w:w="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细类</w:t>
            </w:r>
          </w:p>
        </w:tc>
        <w:tc>
          <w:tcPr>
            <w:tcW w:w="12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冶金等工贸企业随机抽查重点事项</w:t>
            </w:r>
          </w:p>
        </w:tc>
        <w:tc>
          <w:tcPr>
            <w:tcW w:w="10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主体</w:t>
            </w:r>
          </w:p>
        </w:tc>
        <w:tc>
          <w:tcPr>
            <w:tcW w:w="8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一般检查事项</w:t>
            </w:r>
          </w:p>
        </w:tc>
        <w:tc>
          <w:tcPr>
            <w:tcW w:w="49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安全生产法》有关条款；2.《生产经营单位安全培训规定》(国家安全监管总局令第3号)有关条款；3.《安全生产培训管理办法》（国家安全监管总局令第44号）有关条款；4.《特种作业人员安全技术培训考核管理规定》（国家安全监管总局令第30号）有关条款；5.《建设项目安全设施“三同时”监督管理办法》（国家安全监管总局令第36号）有关条款；6.《安全生产事故隐患排查治理暂行规定》（国家安全监管总局令第16号）有关条款；7.《生产安全事故应急预案管理办法》（国家安全监管总局令第88号）有关条款；8.《生产安全事故报告和调查处理条例》（国务院令第493号）第二十六条、第三十三条、第三十五条、第三十六条。</w:t>
            </w:r>
          </w:p>
        </w:tc>
        <w:tc>
          <w:tcPr>
            <w:tcW w:w="45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核查安全生产责任制和安全生产规章制度、操作规程制定、执行和适时修改情况；2核查安全投入及劳动防护用品经费、安全培训经费保障情况；3核查安全生产管理机构设置、安全生产管理人员配备情况；4核查从业人员安全生产教育和培训计划、实施及档案管理情况；5核查特种作业人员持证上岗、培训及档案情况；6核查建设项目安全评价及建设项目安全设施“三同时”情况；7核查安全警示标志情况；8核查安全设备情况；9核查重大危险源安全管理情况；10核查事故隐患排查治理情况；11核查生产经营场所与员工宿舍安全距离及安全出口情况；12核查危险作业安全管理情况；13核查劳动防护用品管理情况；14核查生产经营项目、场所、设备发包、出租管理情况；15核查应急预案编制、演练和应急组织人员设置及应急救援器材、设备及物质配备情况；16核查吸取事故教训，督促并落实事故防范整改措施情况；</w:t>
            </w:r>
          </w:p>
        </w:tc>
        <w:tc>
          <w:tcPr>
            <w:tcW w:w="51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30" w:hRule="atLeast"/>
        </w:trPr>
        <w:tc>
          <w:tcPr>
            <w:tcW w:w="10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轻工企业监督检查</w:t>
            </w:r>
          </w:p>
        </w:tc>
        <w:tc>
          <w:tcPr>
            <w:tcW w:w="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细类</w:t>
            </w:r>
          </w:p>
        </w:tc>
        <w:tc>
          <w:tcPr>
            <w:tcW w:w="12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冶金等工贸企业随机抽查重点事项</w:t>
            </w:r>
          </w:p>
        </w:tc>
        <w:tc>
          <w:tcPr>
            <w:tcW w:w="10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主体</w:t>
            </w:r>
          </w:p>
        </w:tc>
        <w:tc>
          <w:tcPr>
            <w:tcW w:w="8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重点检查事项</w:t>
            </w:r>
          </w:p>
        </w:tc>
        <w:tc>
          <w:tcPr>
            <w:tcW w:w="49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1.《食品生产企业安全生产监督管理暂行规定》(国家安全监管总局令第66号)第十六条、第二十条、第二十七条；2.《建筑物防雷设计规范》GB 50057；3.《爆炸和火灾危险环境电力装置设计规范》GB 50058；4.《浸出油工厂防火安全规范》（SJB 04-91）；5.《酒厂设计防火规范》(GB50694-2011）；6.《酒厂设计防火规范》(GB50694-2011）；7.《氯气安全规程》（GB 11984-2008；8.《工业企业煤气安全规程》（GB6222-2005）；</w:t>
            </w:r>
          </w:p>
        </w:tc>
        <w:tc>
          <w:tcPr>
            <w:tcW w:w="45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核查烘制、油炸等高温设备安全保护措施的配备情况；2核查木糖醇生产加氢环节氢气罐防雷、防静电的措施；3核查植物油加工企业浸出车间的安全防护措施；4核查白酒储存勾兑场所乙醇浓度报警装置的设置情况；5核实白酒储罐的防雷措施；6核实造纸企业液氯使用安全规程的落实情况；7核实日用玻璃、陶瓷、搪瓷制造企业燃气窑炉安全防护设备的设置情况。</w:t>
            </w:r>
          </w:p>
        </w:tc>
        <w:tc>
          <w:tcPr>
            <w:tcW w:w="51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2"/>
                <w:szCs w:val="22"/>
                <w:u w:val="none"/>
              </w:rPr>
            </w:pPr>
          </w:p>
        </w:tc>
      </w:tr>
    </w:tbl>
    <w:p>
      <w:pPr>
        <w:pStyle w:val="2"/>
        <w:ind w:left="0" w:leftChars="0" w:firstLine="0" w:firstLineChars="0"/>
      </w:pPr>
    </w:p>
    <w:p>
      <w:bookmarkStart w:id="0" w:name="_GoBack"/>
      <w:bookmarkEnd w:id="0"/>
    </w:p>
    <w:sectPr>
      <w:pgSz w:w="16838" w:h="11906" w:orient="landscape"/>
      <w:pgMar w:top="1803" w:right="1440" w:bottom="1803" w:left="1440" w:header="851" w:footer="992" w:gutter="0"/>
      <w:cols w:space="72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YyN2JjMWIyOTM5NzEzMzAwNDNjNzkwMzc3NzI4NmUifQ=="/>
  </w:docVars>
  <w:rsids>
    <w:rsidRoot w:val="13651D3F"/>
    <w:rsid w:val="13651D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7">
    <w:name w:val="Default Paragraph Font"/>
    <w:semiHidden/>
    <w:uiPriority w:val="0"/>
  </w:style>
  <w:style w:type="table" w:default="1" w:styleId="6">
    <w:name w:val="Normal Table"/>
    <w:semiHidden/>
    <w:qFormat/>
    <w:uiPriority w:val="0"/>
    <w:tblPr>
      <w:tblCellMar>
        <w:top w:w="0" w:type="dxa"/>
        <w:left w:w="108" w:type="dxa"/>
        <w:bottom w:w="0" w:type="dxa"/>
        <w:right w:w="108" w:type="dxa"/>
      </w:tblCellMar>
    </w:tblPr>
  </w:style>
  <w:style w:type="paragraph" w:customStyle="1" w:styleId="2">
    <w:name w:val="正文首行缩进 21"/>
    <w:basedOn w:val="3"/>
    <w:next w:val="4"/>
    <w:qFormat/>
    <w:uiPriority w:val="0"/>
    <w:pPr>
      <w:ind w:firstLine="200" w:firstLineChars="200"/>
    </w:pPr>
  </w:style>
  <w:style w:type="paragraph" w:customStyle="1" w:styleId="3">
    <w:name w:val="正文文本缩进1"/>
    <w:basedOn w:val="1"/>
    <w:qFormat/>
    <w:uiPriority w:val="0"/>
    <w:pPr>
      <w:ind w:left="200" w:leftChars="200"/>
    </w:pPr>
  </w:style>
  <w:style w:type="paragraph" w:styleId="4">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2022-12-09T03:18:00Z</dcterms:created>
  <dc:creator>oοゞ尩ゞοo</dc:creator>
  <cp:lastModifiedBy>oοゞ尩ゞοo</cp:lastModifiedBy>
  <dcterms:modified xsi:type="dcterms:W3CDTF">2022-12-09T03:18:56Z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418B81E732E5466CA3C167D78A322C1D</vt:lpwstr>
  </property>
</Properties>
</file>