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630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1558"/>
        <w:gridCol w:w="1620"/>
        <w:gridCol w:w="1742"/>
        <w:gridCol w:w="1983"/>
        <w:gridCol w:w="2055"/>
        <w:gridCol w:w="2085"/>
        <w:gridCol w:w="2040"/>
        <w:gridCol w:w="16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5965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2023年山西省重大动物疫病强制免疫工作计划统计表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5965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jc w:val="right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</w:t>
            </w:r>
          </w:p>
        </w:tc>
        <w:tc>
          <w:tcPr>
            <w:tcW w:w="49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牲畜口蹄疫疫苗</w:t>
            </w:r>
          </w:p>
        </w:tc>
        <w:tc>
          <w:tcPr>
            <w:tcW w:w="19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重组禽流感病毒（H5+H7）三价灭活疫苗(万毫升)</w:t>
            </w:r>
          </w:p>
        </w:tc>
        <w:tc>
          <w:tcPr>
            <w:tcW w:w="20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布氏菌病活疫苗（万头份）</w:t>
            </w:r>
          </w:p>
        </w:tc>
        <w:tc>
          <w:tcPr>
            <w:tcW w:w="20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小反刍兽</w:t>
            </w:r>
          </w:p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疫疫苗（万头份）</w:t>
            </w: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监测净化经费计划（万元）</w:t>
            </w:r>
          </w:p>
        </w:tc>
        <w:tc>
          <w:tcPr>
            <w:tcW w:w="1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购买动物防疫服务经费计划（万元）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猪口蹄疫O型灭活疫苗(万毫升)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猪口蹄疫O型合成肽疫苗(万毫升)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口蹄疫O型、A型二价灭活疫苗（万“牛"头份）</w:t>
            </w:r>
          </w:p>
        </w:tc>
        <w:tc>
          <w:tcPr>
            <w:tcW w:w="19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云州区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14.34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25.33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33.85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31.47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21.47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天镇县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14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55.8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41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54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52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阳高县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66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49.8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11.7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46.7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45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85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浑源县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5.36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20.49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19.53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iCs w:val="0"/>
                <w:color w:val="000000"/>
                <w:spacing w:val="0"/>
                <w:w w:val="100"/>
                <w:sz w:val="28"/>
                <w:szCs w:val="28"/>
              </w:rPr>
              <w:t>48.8</w:t>
            </w:r>
            <w:r>
              <w:rPr>
                <w:rFonts w:hint="eastAsia" w:ascii="仿宋_GB2312" w:hAnsi="宋体" w:cs="仿宋_GB2312"/>
                <w:b w:val="0"/>
                <w:i w:val="0"/>
                <w:iCs w:val="0"/>
                <w:color w:val="000000"/>
                <w:spacing w:val="0"/>
                <w:w w:val="1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iCs w:val="0"/>
                <w:color w:val="000000"/>
                <w:spacing w:val="0"/>
                <w:w w:val="100"/>
                <w:sz w:val="28"/>
                <w:szCs w:val="28"/>
              </w:rPr>
              <w:t>34.8</w:t>
            </w:r>
            <w:r>
              <w:rPr>
                <w:rFonts w:hint="eastAsia" w:ascii="仿宋_GB2312" w:hAnsi="宋体" w:cs="仿宋_GB2312"/>
                <w:b w:val="0"/>
                <w:i w:val="0"/>
                <w:iCs w:val="0"/>
                <w:color w:val="000000"/>
                <w:spacing w:val="0"/>
                <w:w w:val="1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35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FangSong_GB2312" w:hAnsi="宋体" w:eastAsia="仿宋_GB2312" w:cs="FangSong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FangSong_GB2312" w:hAnsi="宋体" w:cs="FangSong_GB2312"/>
                <w:color w:val="auto"/>
                <w:sz w:val="28"/>
                <w:szCs w:val="28"/>
              </w:rPr>
              <w:t>灵丘县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FangSong_GB2312" w:hAnsi="宋体" w:eastAsia="仿宋_GB2312" w:cs="FangSong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FangSong_GB2312" w:hAnsi="宋体" w:eastAsia="仿宋_GB2312" w:cs="FangSong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FangSong_GB2312" w:hAnsi="宋体" w:cs="FangSong_GB2312"/>
                <w:color w:val="auto"/>
                <w:sz w:val="28"/>
                <w:szCs w:val="28"/>
              </w:rPr>
              <w:t>18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FangSong_GB2312" w:hAnsi="宋体" w:eastAsia="仿宋_GB2312" w:cs="FangSong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FangSong_GB2312" w:hAnsi="宋体" w:cs="FangSong_GB2312"/>
                <w:color w:val="auto"/>
                <w:sz w:val="28"/>
                <w:szCs w:val="28"/>
              </w:rPr>
              <w:t>5</w:t>
            </w:r>
            <w:r>
              <w:rPr>
                <w:rFonts w:hint="eastAsia" w:ascii="FangSong_GB2312" w:hAnsi="宋体" w:cs="FangSong_GB2312"/>
                <w:color w:val="auto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FangSong_GB2312" w:hAnsi="宋体" w:cs="FangSong_GB2312"/>
                <w:color w:val="auto"/>
                <w:sz w:val="28"/>
                <w:szCs w:val="28"/>
              </w:rPr>
              <w:t>.1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FangSong_GB2312" w:hAnsi="宋体" w:eastAsia="仿宋_GB2312" w:cs="FangSong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FangSong_GB2312" w:hAnsi="宋体" w:cs="FangSong_GB2312"/>
                <w:color w:val="auto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FangSong_GB2312" w:hAnsi="宋体" w:eastAsia="仿宋_GB2312" w:cs="FangSong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FangSong_GB2312" w:hAnsi="宋体" w:cs="FangSong_GB2312"/>
                <w:color w:val="auto"/>
                <w:sz w:val="28"/>
                <w:szCs w:val="28"/>
              </w:rPr>
              <w:t>30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FangSong_GB2312" w:hAnsi="宋体" w:eastAsia="仿宋_GB2312" w:cs="FangSong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FangSong_GB2312" w:hAnsi="宋体" w:cs="FangSong_GB2312"/>
                <w:color w:val="auto"/>
                <w:sz w:val="28"/>
                <w:szCs w:val="28"/>
              </w:rPr>
              <w:t>43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FangSong_GB2312" w:hAnsi="宋体" w:eastAsia="仿宋_GB2312" w:cs="FangSong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FangSong_GB2312" w:hAnsi="宋体" w:cs="FangSong_GB2312"/>
                <w:color w:val="auto"/>
                <w:sz w:val="28"/>
                <w:szCs w:val="28"/>
              </w:rPr>
              <w:t>50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FangSong_GB2312" w:hAnsi="宋体" w:cs="FangSong_GB2312" w:eastAsiaTheme="minorEastAsia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FangSong_GB2312" w:hAnsi="宋体" w:cs="FangSong_GB2312"/>
                <w:color w:val="auto"/>
                <w:sz w:val="28"/>
                <w:szCs w:val="28"/>
              </w:rPr>
              <w:t>1</w:t>
            </w:r>
            <w:r>
              <w:rPr>
                <w:rFonts w:hint="eastAsia" w:ascii="FangSong_GB2312" w:hAnsi="宋体" w:cs="FangSong_GB2312"/>
                <w:color w:val="auto"/>
                <w:sz w:val="28"/>
                <w:szCs w:val="28"/>
                <w:lang w:val="en-US" w:eastAsia="zh-CN"/>
              </w:rP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  <w:t>广灵县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color w:val="000000"/>
                <w:sz w:val="28"/>
                <w:szCs w:val="28"/>
              </w:rPr>
              <w:t>8.52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color w:val="000000"/>
                <w:sz w:val="28"/>
                <w:szCs w:val="28"/>
                <w:lang w:val="en-US" w:eastAsia="zh-CN"/>
              </w:rPr>
              <w:t>26.59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color w:val="000000"/>
                <w:sz w:val="28"/>
                <w:szCs w:val="28"/>
              </w:rPr>
              <w:t>42.26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color w:val="000000"/>
                <w:sz w:val="28"/>
                <w:szCs w:val="28"/>
                <w:lang w:val="en-US" w:eastAsia="zh-CN"/>
              </w:rPr>
              <w:t>28.17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color w:val="000000"/>
                <w:sz w:val="28"/>
                <w:szCs w:val="28"/>
              </w:rPr>
              <w:t>22.86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hAnsi="宋体" w:cs="仿宋_GB2312"/>
                <w:color w:val="000000"/>
                <w:sz w:val="28"/>
                <w:szCs w:val="28"/>
                <w:lang w:val="en-US" w:eastAsia="zh-CN"/>
              </w:rPr>
              <w:t>24</w:t>
            </w:r>
            <w:r>
              <w:rPr>
                <w:rFonts w:hint="eastAsia" w:ascii="仿宋_GB2312" w:hAnsi="宋体" w:cs="仿宋_GB2312"/>
                <w:color w:val="000000"/>
                <w:sz w:val="28"/>
                <w:szCs w:val="28"/>
              </w:rPr>
              <w:t>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平城区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2.4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2.53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4.5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2.07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2.15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云冈区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8.04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7.4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14.5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24.49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7.5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25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新荣区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4.43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13.76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14.37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18.02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10.76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129.2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左云</w:t>
            </w: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default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2.44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default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12.82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default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2.18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default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11.63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default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10.53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仿宋_GB2312" w:hAnsi="宋体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default" w:ascii="仿宋_GB2312" w:hAnsi="宋体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143.53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266.62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209.89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295.37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250.11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default" w:ascii="仿宋_GB2312" w:hAnsi="宋体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default" w:ascii="仿宋_GB2312" w:hAnsi="宋体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1586.28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24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注：口蹄疫O型、A型二价灭活疫苗按每头份为2毫升（牛、羊统一折合为牛注射计量）测算。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02" w:right="85" w:bottom="102" w:left="85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ZDgxN2EzYmY2NDgwYTE4Zjg0OTE1NzVhNjc2NzgifQ=="/>
  </w:docVars>
  <w:rsids>
    <w:rsidRoot w:val="00000000"/>
    <w:rsid w:val="2C213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2022-12-09T08:47:29Z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CFD92BE6CCF54EDA807E353A1ED95FB3</vt:lpwstr>
  </property>
</Properties>
</file>