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F199">
      <w:pPr>
        <w:jc w:val="center"/>
        <w:rPr>
          <w:rFonts w:ascii="方正小标宋_GBK" w:hAnsi="Times New Roman" w:eastAsia="方正小标宋_GBK" w:cs="方正仿宋简体"/>
          <w:color w:val="000000"/>
          <w:sz w:val="32"/>
          <w:szCs w:val="32"/>
        </w:rPr>
      </w:pPr>
      <w:r>
        <w:rPr>
          <w:rFonts w:hint="eastAsia" w:ascii="方正小标宋_GBK" w:hAnsi="Times New Roman" w:eastAsia="方正小标宋_GBK" w:cs="方正仿宋简体"/>
          <w:color w:val="000000"/>
          <w:sz w:val="32"/>
          <w:szCs w:val="32"/>
        </w:rPr>
        <w:t>大同市产品质量监督抽查实施细则</w:t>
      </w:r>
    </w:p>
    <w:p w14:paraId="51E2D5F7">
      <w:pPr>
        <w:spacing w:line="500" w:lineRule="exact"/>
        <w:ind w:firstLine="3200" w:firstLineChars="1000"/>
        <w:rPr>
          <w:rFonts w:ascii="方正小标宋_GBK" w:hAnsi="Times New Roman" w:eastAsia="方正小标宋_GBK" w:cs="方正仿宋简体"/>
          <w:color w:val="000000"/>
          <w:sz w:val="32"/>
          <w:szCs w:val="32"/>
        </w:rPr>
      </w:pPr>
      <w:r>
        <w:rPr>
          <w:rFonts w:hint="eastAsia" w:ascii="方正小标宋_GBK" w:hAnsi="Times New Roman" w:eastAsia="方正小标宋_GBK" w:cs="方正仿宋简体"/>
          <w:color w:val="000000"/>
          <w:sz w:val="32"/>
          <w:szCs w:val="32"/>
        </w:rPr>
        <w:t>聚乙烯双壁波纹管材</w:t>
      </w:r>
    </w:p>
    <w:p w14:paraId="4A4C6C36">
      <w:pPr>
        <w:spacing w:line="500" w:lineRule="exact"/>
        <w:ind w:firstLine="420" w:firstLineChars="200"/>
        <w:rPr>
          <w:rFonts w:ascii="宋体" w:hAnsi="宋体" w:eastAsia="宋体" w:cs="宋体"/>
          <w:szCs w:val="21"/>
        </w:rPr>
      </w:pPr>
      <w:r>
        <w:rPr>
          <w:rFonts w:hint="eastAsia" w:ascii="宋体" w:hAnsi="宋体" w:eastAsia="宋体" w:cs="宋体"/>
          <w:szCs w:val="21"/>
        </w:rPr>
        <w:t>本细则适用大同市市场监督管理局组织的聚乙烯双壁波纹管材产品质量监督抽查。本细则规定了此类产品的抽样方法及数量、检验依据、检验项目、检验方法、依据标准、判定原则等。</w:t>
      </w:r>
    </w:p>
    <w:p w14:paraId="02ADDA77">
      <w:pPr>
        <w:spacing w:line="500" w:lineRule="exact"/>
        <w:rPr>
          <w:rFonts w:ascii="黑体" w:hAnsi="黑体" w:eastAsia="黑体" w:cs="黑体"/>
          <w:b/>
          <w:bCs/>
          <w:color w:val="000000"/>
          <w:szCs w:val="21"/>
        </w:rPr>
      </w:pPr>
      <w:r>
        <w:rPr>
          <w:rFonts w:hint="eastAsia" w:ascii="黑体" w:hAnsi="黑体" w:eastAsia="黑体" w:cs="黑体"/>
          <w:b/>
          <w:bCs/>
          <w:color w:val="000000"/>
          <w:szCs w:val="21"/>
        </w:rPr>
        <w:t xml:space="preserve">1 抽样方法 </w:t>
      </w:r>
    </w:p>
    <w:p w14:paraId="4D58D235">
      <w:pPr>
        <w:spacing w:line="500" w:lineRule="exact"/>
        <w:rPr>
          <w:rFonts w:ascii="Times New Roman" w:hAnsi="Times New Roman" w:eastAsia="宋体" w:cs="Times New Roman"/>
          <w:b/>
          <w:szCs w:val="21"/>
        </w:rPr>
      </w:pPr>
      <w:r>
        <w:rPr>
          <w:rFonts w:ascii="Times New Roman" w:hAnsi="Times New Roman" w:eastAsia="宋体" w:cs="Times New Roman"/>
          <w:szCs w:val="21"/>
        </w:rPr>
        <w:t>1.1</w:t>
      </w:r>
      <w:r>
        <w:rPr>
          <w:rFonts w:ascii="Times New Roman" w:hAnsi="Times New Roman" w:eastAsia="宋体" w:cs="Times New Roman"/>
          <w:color w:val="000000"/>
          <w:szCs w:val="21"/>
        </w:rPr>
        <w:t>以随机抽样的方式在被抽样生产者、销售者的待销产品中抽取。</w:t>
      </w:r>
    </w:p>
    <w:p w14:paraId="6DAF97CF">
      <w:pPr>
        <w:spacing w:line="50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1.2随机数一般可使用随机数表</w:t>
      </w:r>
      <w:r>
        <w:rPr>
          <w:rFonts w:hint="eastAsia" w:ascii="Times New Roman" w:hAnsi="Times New Roman" w:eastAsia="宋体" w:cs="Times New Roman"/>
          <w:color w:val="000000"/>
          <w:szCs w:val="21"/>
        </w:rPr>
        <w:t>、扑克牌</w:t>
      </w:r>
      <w:r>
        <w:rPr>
          <w:rFonts w:ascii="Times New Roman" w:hAnsi="Times New Roman" w:eastAsia="宋体" w:cs="Times New Roman"/>
          <w:color w:val="000000"/>
          <w:szCs w:val="21"/>
        </w:rPr>
        <w:t>等方法产生。</w:t>
      </w:r>
    </w:p>
    <w:p w14:paraId="6B88591A">
      <w:pPr>
        <w:spacing w:line="500" w:lineRule="exact"/>
        <w:rPr>
          <w:rFonts w:ascii="Times New Roman" w:hAnsi="Times New Roman" w:eastAsia="宋体" w:cs="Times New Roman"/>
          <w:color w:val="FF0000"/>
          <w:szCs w:val="21"/>
        </w:rPr>
      </w:pPr>
      <w:r>
        <w:rPr>
          <w:rFonts w:ascii="Times New Roman" w:hAnsi="Times New Roman" w:eastAsia="宋体" w:cs="Times New Roman"/>
          <w:szCs w:val="21"/>
        </w:rPr>
        <w:t>1.3</w:t>
      </w:r>
      <w:r>
        <w:rPr>
          <w:rFonts w:hint="eastAsia" w:ascii="宋体" w:hAnsi="宋体" w:eastAsia="宋体" w:cs="宋体"/>
          <w:szCs w:val="21"/>
        </w:rPr>
        <w:t>聚乙烯双壁波纹管材</w:t>
      </w:r>
      <w:r>
        <w:rPr>
          <w:rFonts w:ascii="Times New Roman" w:hAnsi="Times New Roman" w:eastAsia="宋体" w:cs="Times New Roman"/>
          <w:color w:val="000000"/>
          <w:szCs w:val="21"/>
        </w:rPr>
        <w:t>产品抽样时，</w:t>
      </w:r>
      <w:r>
        <w:rPr>
          <w:rFonts w:ascii="Times New Roman" w:hAnsi="Times New Roman" w:eastAsia="宋体" w:cs="Times New Roman"/>
          <w:color w:val="000000" w:themeColor="text1"/>
          <w:szCs w:val="21"/>
          <w14:textFill>
            <w14:solidFill>
              <w14:schemeClr w14:val="tx1"/>
            </w14:solidFill>
          </w14:textFill>
        </w:rPr>
        <w:t>每个样品抽</w:t>
      </w:r>
      <w:r>
        <w:rPr>
          <w:rFonts w:hint="eastAsia" w:ascii="Times New Roman" w:hAnsi="Times New Roman" w:eastAsia="宋体" w:cs="Times New Roman"/>
          <w:color w:val="000000" w:themeColor="text1"/>
          <w:szCs w:val="21"/>
          <w:lang w:val="en-US" w:eastAsia="zh-CN"/>
          <w14:textFill>
            <w14:solidFill>
              <w14:schemeClr w14:val="tx1"/>
            </w14:solidFill>
          </w14:textFill>
        </w:rPr>
        <w:t>取1根，截取两段，每段1m。</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段</w:t>
      </w:r>
      <w:r>
        <w:rPr>
          <w:rFonts w:ascii="Times New Roman" w:hAnsi="Times New Roman" w:eastAsia="宋体" w:cs="Times New Roman"/>
          <w:color w:val="000000" w:themeColor="text1"/>
          <w:szCs w:val="21"/>
          <w14:textFill>
            <w14:solidFill>
              <w14:schemeClr w14:val="tx1"/>
            </w14:solidFill>
          </w14:textFill>
        </w:rPr>
        <w:t>为检验样品，</w:t>
      </w:r>
      <w:r>
        <w:rPr>
          <w:rFonts w:hint="eastAsia" w:ascii="Times New Roman" w:hAnsi="Times New Roman" w:eastAsia="宋体" w:cs="Times New Roman"/>
          <w:color w:val="000000" w:themeColor="text1"/>
          <w:szCs w:val="21"/>
          <w:lang w:val="en-US" w:eastAsia="zh-CN"/>
          <w14:textFill>
            <w14:solidFill>
              <w14:schemeClr w14:val="tx1"/>
            </w14:solidFill>
          </w14:textFill>
        </w:rPr>
        <w:t>1段为</w:t>
      </w:r>
      <w:r>
        <w:rPr>
          <w:rFonts w:ascii="Times New Roman" w:hAnsi="Times New Roman" w:eastAsia="宋体" w:cs="Times New Roman"/>
          <w:color w:val="000000" w:themeColor="text1"/>
          <w:szCs w:val="21"/>
          <w14:textFill>
            <w14:solidFill>
              <w14:schemeClr w14:val="tx1"/>
            </w14:solidFill>
          </w14:textFill>
        </w:rPr>
        <w:t>备用样品</w:t>
      </w:r>
      <w:bookmarkStart w:id="0" w:name="_GoBack"/>
      <w:bookmarkEnd w:id="0"/>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取样时应将切割端修刮平整</w:t>
      </w:r>
      <w:r>
        <w:rPr>
          <w:rFonts w:hint="eastAsia" w:ascii="Times New Roman" w:hAnsi="Times New Roman" w:eastAsia="宋体" w:cs="Times New Roman"/>
          <w:color w:val="000000" w:themeColor="text1"/>
          <w:szCs w:val="21"/>
          <w14:textFill>
            <w14:solidFill>
              <w14:schemeClr w14:val="tx1"/>
            </w14:solidFill>
          </w14:textFill>
        </w:rPr>
        <w:t>。</w:t>
      </w:r>
    </w:p>
    <w:p w14:paraId="370E95B5">
      <w:pPr>
        <w:spacing w:line="500" w:lineRule="exact"/>
        <w:rPr>
          <w:rFonts w:ascii="Times New Roman" w:hAnsi="Times New Roman" w:eastAsia="黑体" w:cs="Times New Roman"/>
          <w:bCs/>
          <w:color w:val="000000"/>
          <w:szCs w:val="21"/>
        </w:rPr>
      </w:pPr>
      <w:r>
        <w:rPr>
          <w:rFonts w:hint="eastAsia" w:ascii="黑体" w:hAnsi="黑体" w:eastAsia="黑体" w:cs="黑体"/>
          <w:b/>
          <w:bCs/>
          <w:color w:val="000000"/>
          <w:szCs w:val="21"/>
        </w:rPr>
        <w:t>2 检验依据</w:t>
      </w:r>
    </w:p>
    <w:p w14:paraId="2FBA7F40">
      <w:pPr>
        <w:spacing w:line="500" w:lineRule="exact"/>
        <w:ind w:firstLine="3360" w:firstLineChars="1600"/>
        <w:rPr>
          <w:rFonts w:ascii="Times New Roman" w:hAnsi="Times New Roman" w:eastAsia="宋体" w:cs="Times New Roman"/>
          <w:color w:val="000000"/>
          <w:szCs w:val="21"/>
        </w:rPr>
      </w:pPr>
      <w:r>
        <w:rPr>
          <w:rFonts w:hint="eastAsia" w:ascii="宋体" w:hAnsi="宋体" w:eastAsia="宋体" w:cs="宋体"/>
          <w:color w:val="000000"/>
          <w:szCs w:val="21"/>
        </w:rPr>
        <w:t>聚乙烯双壁波纹</w:t>
      </w:r>
      <w:r>
        <w:rPr>
          <w:rFonts w:ascii="宋体" w:hAnsi="宋体" w:eastAsia="宋体" w:cs="宋体"/>
          <w:color w:val="000000"/>
          <w:szCs w:val="21"/>
        </w:rPr>
        <w:t>管材</w:t>
      </w:r>
      <w:r>
        <w:rPr>
          <w:rFonts w:ascii="Times New Roman" w:hAnsi="Times New Roman" w:eastAsia="宋体" w:cs="Times New Roman"/>
          <w:color w:val="000000"/>
          <w:szCs w:val="21"/>
        </w:rPr>
        <w:t>检验依据</w:t>
      </w:r>
    </w:p>
    <w:tbl>
      <w:tblPr>
        <w:tblStyle w:val="4"/>
        <w:tblW w:w="4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533"/>
        <w:gridCol w:w="3476"/>
      </w:tblGrid>
      <w:tr w14:paraId="2614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5" w:type="pct"/>
            <w:vAlign w:val="center"/>
          </w:tcPr>
          <w:p w14:paraId="1A6F5D5F">
            <w:pPr>
              <w:adjustRightInd w:val="0"/>
              <w:snapToGrid w:val="0"/>
              <w:spacing w:line="5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2190" w:type="pct"/>
            <w:vAlign w:val="center"/>
          </w:tcPr>
          <w:p w14:paraId="3F587D2B">
            <w:pPr>
              <w:adjustRightInd w:val="0"/>
              <w:snapToGrid w:val="0"/>
              <w:spacing w:line="5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检验项目</w:t>
            </w:r>
          </w:p>
        </w:tc>
        <w:tc>
          <w:tcPr>
            <w:tcW w:w="2155" w:type="pct"/>
            <w:vAlign w:val="center"/>
          </w:tcPr>
          <w:p w14:paraId="2A67A203">
            <w:pPr>
              <w:adjustRightInd w:val="0"/>
              <w:snapToGrid w:val="0"/>
              <w:spacing w:line="5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检验方法</w:t>
            </w:r>
          </w:p>
        </w:tc>
      </w:tr>
      <w:tr w14:paraId="668A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55" w:type="pct"/>
            <w:vAlign w:val="center"/>
          </w:tcPr>
          <w:p w14:paraId="738B9528">
            <w:pPr>
              <w:adjustRightInd w:val="0"/>
              <w:snapToGrid w:val="0"/>
              <w:spacing w:line="5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2190" w:type="pct"/>
            <w:vAlign w:val="center"/>
          </w:tcPr>
          <w:p w14:paraId="10B9EF4A">
            <w:pPr>
              <w:jc w:val="center"/>
              <w:rPr>
                <w:rFonts w:ascii="宋体" w:hAnsi="宋体" w:eastAsia="宋体"/>
              </w:rPr>
            </w:pPr>
            <w:r>
              <w:rPr>
                <w:rFonts w:hint="eastAsia" w:ascii="宋体" w:hAnsi="宋体" w:eastAsia="宋体"/>
              </w:rPr>
              <w:t>外观</w:t>
            </w:r>
          </w:p>
        </w:tc>
        <w:tc>
          <w:tcPr>
            <w:tcW w:w="2155" w:type="pct"/>
            <w:vAlign w:val="center"/>
          </w:tcPr>
          <w:p w14:paraId="2F3CFD39">
            <w:pPr>
              <w:spacing w:line="500" w:lineRule="exact"/>
              <w:jc w:val="center"/>
              <w:rPr>
                <w:rFonts w:ascii="宋体" w:hAnsi="宋体" w:eastAsia="宋体" w:cs="宋体"/>
                <w:color w:val="000000"/>
                <w:szCs w:val="21"/>
              </w:rPr>
            </w:pPr>
            <w:r>
              <w:rPr>
                <w:rFonts w:ascii="宋体" w:hAnsi="宋体" w:eastAsia="宋体" w:cs="宋体"/>
                <w:color w:val="000000"/>
                <w:szCs w:val="21"/>
              </w:rPr>
              <w:t>GB/T19472.1-2019 中 8.2</w:t>
            </w:r>
          </w:p>
        </w:tc>
      </w:tr>
      <w:tr w14:paraId="74B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5" w:type="pct"/>
            <w:vAlign w:val="center"/>
          </w:tcPr>
          <w:p w14:paraId="581ECB3C">
            <w:pPr>
              <w:adjustRightInd w:val="0"/>
              <w:snapToGrid w:val="0"/>
              <w:spacing w:line="5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2190" w:type="pct"/>
            <w:vAlign w:val="center"/>
          </w:tcPr>
          <w:p w14:paraId="05A550CA">
            <w:pPr>
              <w:jc w:val="center"/>
              <w:rPr>
                <w:rFonts w:ascii="宋体" w:hAnsi="宋体" w:eastAsia="宋体"/>
              </w:rPr>
            </w:pPr>
            <w:r>
              <w:rPr>
                <w:rFonts w:hint="eastAsia" w:ascii="宋体" w:hAnsi="宋体" w:eastAsia="宋体"/>
              </w:rPr>
              <w:t>规格尺寸</w:t>
            </w:r>
          </w:p>
        </w:tc>
        <w:tc>
          <w:tcPr>
            <w:tcW w:w="2155" w:type="pct"/>
            <w:vAlign w:val="center"/>
          </w:tcPr>
          <w:p w14:paraId="4F2309C2">
            <w:pPr>
              <w:spacing w:line="500" w:lineRule="exact"/>
              <w:jc w:val="center"/>
              <w:rPr>
                <w:rFonts w:ascii="宋体" w:hAnsi="宋体" w:eastAsia="宋体" w:cs="宋体"/>
                <w:color w:val="000000"/>
                <w:szCs w:val="21"/>
              </w:rPr>
            </w:pPr>
            <w:r>
              <w:rPr>
                <w:rFonts w:ascii="宋体" w:hAnsi="宋体" w:eastAsia="宋体" w:cs="宋体"/>
                <w:color w:val="000000"/>
                <w:szCs w:val="21"/>
              </w:rPr>
              <w:t>GB/T19472.1-2019 中 8.3</w:t>
            </w:r>
          </w:p>
        </w:tc>
      </w:tr>
      <w:tr w14:paraId="1091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5" w:type="pct"/>
            <w:vAlign w:val="center"/>
          </w:tcPr>
          <w:p w14:paraId="6F3EDDF5">
            <w:pPr>
              <w:adjustRightInd w:val="0"/>
              <w:snapToGrid w:val="0"/>
              <w:spacing w:line="5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2190" w:type="pct"/>
            <w:vAlign w:val="center"/>
          </w:tcPr>
          <w:p w14:paraId="0452EA4A">
            <w:pPr>
              <w:jc w:val="center"/>
              <w:rPr>
                <w:rFonts w:ascii="宋体" w:hAnsi="宋体" w:eastAsia="宋体"/>
              </w:rPr>
            </w:pPr>
            <w:r>
              <w:rPr>
                <w:rFonts w:hint="eastAsia" w:ascii="宋体" w:hAnsi="宋体" w:eastAsia="宋体"/>
              </w:rPr>
              <w:t>环刚度</w:t>
            </w:r>
          </w:p>
        </w:tc>
        <w:tc>
          <w:tcPr>
            <w:tcW w:w="2155" w:type="pct"/>
            <w:vAlign w:val="center"/>
          </w:tcPr>
          <w:p w14:paraId="0B67B18E">
            <w:pPr>
              <w:spacing w:line="500" w:lineRule="exact"/>
              <w:jc w:val="center"/>
              <w:rPr>
                <w:rFonts w:ascii="宋体" w:hAnsi="宋体" w:eastAsia="宋体" w:cs="宋体"/>
                <w:color w:val="000000"/>
                <w:szCs w:val="21"/>
              </w:rPr>
            </w:pPr>
            <w:r>
              <w:rPr>
                <w:rFonts w:ascii="宋体" w:hAnsi="宋体" w:eastAsia="宋体" w:cs="宋体"/>
                <w:color w:val="000000"/>
                <w:szCs w:val="21"/>
              </w:rPr>
              <w:t>GB/T9647-2015</w:t>
            </w:r>
          </w:p>
        </w:tc>
      </w:tr>
    </w:tbl>
    <w:p w14:paraId="6B7C7BE0">
      <w:pPr>
        <w:adjustRightInd w:val="0"/>
        <w:snapToGrid w:val="0"/>
        <w:spacing w:line="50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执行企业标准、团体标准、地方标准的产品，检验项目参照上述内容执行。</w:t>
      </w:r>
    </w:p>
    <w:p w14:paraId="61A95E32">
      <w:pPr>
        <w:adjustRightInd w:val="0"/>
        <w:snapToGrid w:val="0"/>
        <w:spacing w:line="50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凡是注日期的文件，其随后所有的修改单（不包括勘误的内容）或修订版不适用于本细则。凡是不注日期的文件，其最新版本适用于本细则。</w:t>
      </w:r>
    </w:p>
    <w:p w14:paraId="606C333D">
      <w:pPr>
        <w:spacing w:line="500" w:lineRule="exact"/>
        <w:rPr>
          <w:rFonts w:ascii="黑体" w:hAnsi="黑体" w:eastAsia="黑体" w:cs="黑体"/>
          <w:b/>
          <w:bCs/>
          <w:color w:val="000000"/>
          <w:szCs w:val="21"/>
        </w:rPr>
      </w:pPr>
      <w:r>
        <w:rPr>
          <w:rFonts w:hint="eastAsia" w:ascii="黑体" w:hAnsi="黑体" w:eastAsia="黑体" w:cs="黑体"/>
          <w:b/>
          <w:bCs/>
          <w:color w:val="000000"/>
          <w:szCs w:val="21"/>
        </w:rPr>
        <w:t>3 判定规则</w:t>
      </w:r>
    </w:p>
    <w:p w14:paraId="41003500">
      <w:pPr>
        <w:adjustRightInd w:val="0"/>
        <w:snapToGrid w:val="0"/>
        <w:spacing w:line="50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3.1依据标准</w:t>
      </w:r>
    </w:p>
    <w:p w14:paraId="4E81E440">
      <w:pPr>
        <w:adjustRightInd w:val="0"/>
        <w:snapToGrid w:val="0"/>
        <w:spacing w:line="500" w:lineRule="exact"/>
        <w:ind w:firstLine="420" w:firstLineChars="200"/>
        <w:rPr>
          <w:rFonts w:ascii="宋体" w:hAnsi="宋体" w:eastAsia="宋体" w:cs="宋体"/>
          <w:color w:val="000000"/>
          <w:szCs w:val="21"/>
        </w:rPr>
      </w:pPr>
      <w:r>
        <w:rPr>
          <w:rFonts w:ascii="宋体" w:hAnsi="宋体" w:eastAsia="宋体" w:cs="宋体"/>
          <w:color w:val="000000"/>
          <w:szCs w:val="21"/>
        </w:rPr>
        <w:t xml:space="preserve">GB/T19472.1-2019   </w:t>
      </w:r>
      <w:r>
        <w:rPr>
          <w:rFonts w:hint="eastAsia" w:ascii="宋体" w:hAnsi="宋体" w:eastAsia="宋体" w:cs="宋体"/>
          <w:color w:val="000000"/>
          <w:szCs w:val="21"/>
        </w:rPr>
        <w:t>《埋地用聚乙烯</w:t>
      </w:r>
      <w:r>
        <w:rPr>
          <w:rFonts w:ascii="宋体" w:hAnsi="宋体" w:eastAsia="宋体" w:cs="宋体"/>
          <w:color w:val="000000"/>
          <w:szCs w:val="21"/>
        </w:rPr>
        <w:t>(PE)结构壁管道系统 第 1 部分：聚乙烯双壁波纹管材》</w:t>
      </w:r>
    </w:p>
    <w:p w14:paraId="3D50A45C">
      <w:pPr>
        <w:adjustRightInd w:val="0"/>
        <w:snapToGrid w:val="0"/>
        <w:spacing w:line="500" w:lineRule="exact"/>
        <w:ind w:firstLine="420" w:firstLineChars="200"/>
        <w:rPr>
          <w:rFonts w:ascii="宋体" w:hAnsi="宋体" w:eastAsia="宋体" w:cs="Times New Roman"/>
          <w:szCs w:val="21"/>
        </w:rPr>
      </w:pPr>
      <w:r>
        <w:rPr>
          <w:rFonts w:ascii="宋体" w:hAnsi="宋体" w:eastAsia="宋体" w:cs="Times New Roman"/>
          <w:szCs w:val="21"/>
        </w:rPr>
        <w:t>现行有效的企业标准、团体标准、地方标准及产品明示质量要求</w:t>
      </w:r>
    </w:p>
    <w:p w14:paraId="3622C928">
      <w:pPr>
        <w:adjustRightInd w:val="0"/>
        <w:snapToGrid w:val="0"/>
        <w:spacing w:line="500" w:lineRule="exact"/>
        <w:rPr>
          <w:rFonts w:ascii="宋体" w:hAnsi="宋体" w:eastAsia="宋体" w:cs="Times New Roman"/>
          <w:szCs w:val="21"/>
        </w:rPr>
      </w:pPr>
      <w:r>
        <w:rPr>
          <w:rFonts w:ascii="宋体" w:hAnsi="宋体" w:eastAsia="宋体" w:cs="Times New Roman"/>
          <w:szCs w:val="21"/>
        </w:rPr>
        <w:t>3.2判定规则</w:t>
      </w:r>
    </w:p>
    <w:p w14:paraId="5C7DC608">
      <w:pPr>
        <w:adjustRightInd w:val="0"/>
        <w:snapToGrid w:val="0"/>
        <w:spacing w:line="500" w:lineRule="exact"/>
        <w:ind w:firstLine="420" w:firstLineChars="200"/>
        <w:rPr>
          <w:rFonts w:ascii="宋体" w:hAnsi="宋体" w:eastAsia="宋体" w:cs="Times New Roman"/>
          <w:color w:val="000000"/>
          <w:szCs w:val="21"/>
        </w:rPr>
      </w:pPr>
      <w:r>
        <w:rPr>
          <w:rFonts w:ascii="宋体" w:hAnsi="宋体" w:eastAsia="宋体" w:cs="Times New Roman"/>
          <w:szCs w:val="21"/>
        </w:rPr>
        <w:t>经检验，检验项目全部合格，判定为被抽</w:t>
      </w:r>
      <w:r>
        <w:rPr>
          <w:rFonts w:ascii="宋体" w:hAnsi="宋体" w:eastAsia="宋体" w:cs="Times New Roman"/>
          <w:color w:val="000000"/>
          <w:szCs w:val="21"/>
        </w:rPr>
        <w:t>查产品所检项目未发现不合格；检验项目中任一项或一项以上不合格，判定为被抽查产品不合格。</w:t>
      </w:r>
    </w:p>
    <w:p w14:paraId="464BC350">
      <w:pPr>
        <w:adjustRightInd w:val="0"/>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若被检产品明示的质量要求高于本细则中检验项目依据的标准要求时，应按被检产品明示的质量要求判定。</w:t>
      </w:r>
    </w:p>
    <w:p w14:paraId="0EB4FEF3">
      <w:pPr>
        <w:adjustRightInd w:val="0"/>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若被检产品明示的质量要求低于本细则中检验项目依据的强制性标准要求时，应按照强制性标准要求判定。</w:t>
      </w:r>
    </w:p>
    <w:p w14:paraId="5214CB39">
      <w:pPr>
        <w:adjustRightInd w:val="0"/>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若被检产品明示的质量要求低于或包含本细则中检验项目依据的推荐性标准要求时，应以被检产品明示的质量要求判定。</w:t>
      </w:r>
    </w:p>
    <w:p w14:paraId="2169CEA7">
      <w:pPr>
        <w:adjustRightInd w:val="0"/>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若被检产品明示的质量要求缺少本细则中检验项目依据的强制性标准要求时，应按照强制性标准要求判定。</w:t>
      </w:r>
    </w:p>
    <w:p w14:paraId="0608E4BE">
      <w:pPr>
        <w:adjustRightInd w:val="0"/>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若被检产品明示的质量要求缺少本细则中检验项目依据的推荐性标准要求时，该项目不参与判定</w:t>
      </w:r>
    </w:p>
    <w:p w14:paraId="7139CFC5">
      <w:pPr>
        <w:adjustRightInd w:val="0"/>
        <w:snapToGrid w:val="0"/>
        <w:spacing w:line="500" w:lineRule="exact"/>
        <w:rPr>
          <w:rFonts w:ascii="宋体" w:hAnsi="宋体" w:eastAsia="宋体" w:cs="Times New Roman"/>
          <w:color w:val="FF0000"/>
          <w:szCs w:val="21"/>
        </w:rPr>
      </w:pPr>
      <w:r>
        <w:rPr>
          <w:rFonts w:ascii="宋体" w:hAnsi="宋体" w:eastAsia="宋体" w:cs="Times New Roman"/>
          <w:szCs w:val="21"/>
        </w:rPr>
        <w:t>3.3判定结论用语</w:t>
      </w:r>
    </w:p>
    <w:p w14:paraId="78CBAFA1">
      <w:pPr>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szCs w:val="21"/>
        </w:rPr>
        <w:t>3.3.1合格结论用语：经抽样检验，所</w:t>
      </w:r>
      <w:r>
        <w:rPr>
          <w:rFonts w:ascii="宋体" w:hAnsi="宋体" w:eastAsia="宋体" w:cs="Times New Roman"/>
          <w:color w:val="000000"/>
          <w:szCs w:val="21"/>
        </w:rPr>
        <w:t>检项</w:t>
      </w:r>
      <w:r>
        <w:rPr>
          <w:rFonts w:ascii="宋体" w:hAnsi="宋体" w:eastAsia="宋体" w:cs="Times New Roman"/>
          <w:szCs w:val="21"/>
        </w:rPr>
        <w:t>目符合GB/T19472.1-2019《埋地用聚乙烯(PE)结构壁管道系统 第 1 部分：聚乙烯双壁波纹管材》,依据大同市市场监督管理局《大同市</w:t>
      </w:r>
      <w:r>
        <w:rPr>
          <w:rFonts w:hint="eastAsia" w:ascii="宋体" w:hAnsi="宋体" w:eastAsia="宋体" w:cs="Times New Roman"/>
          <w:szCs w:val="21"/>
        </w:rPr>
        <w:t>聚乙烯双壁波纹管材</w:t>
      </w:r>
      <w:r>
        <w:rPr>
          <w:rFonts w:ascii="宋体" w:hAnsi="宋体" w:eastAsia="宋体" w:cs="Times New Roman"/>
          <w:szCs w:val="21"/>
        </w:rPr>
        <w:t>产品质量监督抽查实施细则》</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年度</w:t>
      </w:r>
      <w:r>
        <w:rPr>
          <w:rFonts w:ascii="宋体" w:hAnsi="宋体" w:eastAsia="宋体" w:cs="Times New Roman"/>
          <w:szCs w:val="21"/>
        </w:rPr>
        <w:t>，判定该被抽查产品所检项目未发现不合格。</w:t>
      </w:r>
    </w:p>
    <w:p w14:paraId="1366AA7D">
      <w:pPr>
        <w:snapToGrid w:val="0"/>
        <w:spacing w:line="500" w:lineRule="exact"/>
        <w:ind w:firstLine="417" w:firstLineChars="199"/>
        <w:rPr>
          <w:rFonts w:ascii="宋体" w:hAnsi="宋体" w:eastAsia="宋体" w:cs="Times New Roman"/>
          <w:color w:val="000000"/>
          <w:szCs w:val="21"/>
        </w:rPr>
      </w:pPr>
      <w:r>
        <w:rPr>
          <w:rFonts w:ascii="宋体" w:hAnsi="宋体" w:eastAsia="宋体" w:cs="Times New Roman"/>
          <w:color w:val="000000"/>
          <w:szCs w:val="21"/>
        </w:rPr>
        <w:t>3.3.2 不合格结论用语：经抽样检验，XXX项目不符</w:t>
      </w:r>
      <w:r>
        <w:rPr>
          <w:rFonts w:hint="eastAsia" w:ascii="宋体" w:hAnsi="宋体" w:eastAsia="宋体" w:cs="Times New Roman"/>
          <w:color w:val="000000"/>
          <w:szCs w:val="21"/>
        </w:rPr>
        <w:t>合</w:t>
      </w:r>
      <w:r>
        <w:rPr>
          <w:rFonts w:ascii="宋体" w:hAnsi="宋体" w:eastAsia="宋体" w:cs="Times New Roman"/>
          <w:color w:val="000000"/>
          <w:szCs w:val="21"/>
        </w:rPr>
        <w:t>GB/T19472.1-2019</w:t>
      </w:r>
      <w:r>
        <w:rPr>
          <w:rFonts w:hint="eastAsia" w:ascii="宋体" w:hAnsi="宋体" w:eastAsia="宋体" w:cs="Times New Roman"/>
          <w:color w:val="000000"/>
          <w:szCs w:val="21"/>
        </w:rPr>
        <w:t>《埋地用聚乙烯</w:t>
      </w:r>
      <w:r>
        <w:rPr>
          <w:rFonts w:ascii="宋体" w:hAnsi="宋体" w:eastAsia="宋体" w:cs="Times New Roman"/>
          <w:color w:val="000000"/>
          <w:szCs w:val="21"/>
        </w:rPr>
        <w:t>(PE)结构壁管道系统 第 1 部分：聚乙烯双壁波纹管材》</w:t>
      </w:r>
      <w:r>
        <w:rPr>
          <w:rFonts w:ascii="宋体" w:hAnsi="宋体" w:eastAsia="宋体" w:cs="Times New Roman"/>
          <w:szCs w:val="21"/>
        </w:rPr>
        <w:t>,依据大同市市场监督管理局《大同市</w:t>
      </w:r>
      <w:r>
        <w:rPr>
          <w:rFonts w:hint="eastAsia" w:ascii="宋体" w:hAnsi="宋体" w:eastAsia="宋体" w:cs="Times New Roman"/>
          <w:szCs w:val="21"/>
        </w:rPr>
        <w:t>聚乙烯双壁波纹管材</w:t>
      </w:r>
      <w:r>
        <w:rPr>
          <w:rFonts w:ascii="宋体" w:hAnsi="宋体" w:eastAsia="宋体" w:cs="Times New Roman"/>
          <w:szCs w:val="21"/>
        </w:rPr>
        <w:t>产品质量监督抽查实施细则》</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年度</w:t>
      </w:r>
      <w:r>
        <w:rPr>
          <w:rFonts w:ascii="宋体" w:hAnsi="宋体" w:eastAsia="宋体" w:cs="Times New Roman"/>
          <w:color w:val="000000"/>
          <w:szCs w:val="21"/>
        </w:rPr>
        <w:t>，判定该被抽查产品为不合格。</w:t>
      </w:r>
    </w:p>
    <w:p w14:paraId="7CFA4B70">
      <w:pPr>
        <w:spacing w:line="500" w:lineRule="exact"/>
        <w:rPr>
          <w:rFonts w:ascii="宋体" w:hAnsi="宋体" w:eastAsia="宋体" w:cs="Times New Roman"/>
          <w:color w:val="FF0000"/>
          <w:sz w:val="28"/>
          <w:szCs w:val="28"/>
        </w:rPr>
      </w:pPr>
    </w:p>
    <w:p w14:paraId="6E889126">
      <w:pPr>
        <w:rPr>
          <w:rFonts w:ascii="宋体" w:hAnsi="宋体" w:eastAsia="宋体" w:cs="Times New Roman"/>
        </w:rPr>
      </w:pPr>
    </w:p>
    <w:p w14:paraId="542F6E3D">
      <w:pPr>
        <w:rPr>
          <w:rFonts w:ascii="宋体" w:hAnsi="宋体" w:eastAsia="宋体"/>
        </w:rPr>
      </w:pPr>
    </w:p>
    <w:sectPr>
      <w:headerReference r:id="rId3" w:type="default"/>
      <w:footerReference r:id="rId4" w:type="default"/>
      <w:pgSz w:w="11906" w:h="16838"/>
      <w:pgMar w:top="1134" w:right="1134" w:bottom="737" w:left="1418" w:header="851"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4C2B08-0D6A-4954-BF4A-2CA8B76E92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embedRegular r:id="rId2" w:fontKey="{70CCB7E0-222A-4E64-9C64-EFE4E07D3C48}"/>
  </w:font>
  <w:font w:name="方正仿宋简体">
    <w:panose1 w:val="02000000000000000000"/>
    <w:charset w:val="86"/>
    <w:family w:val="auto"/>
    <w:pitch w:val="default"/>
    <w:sig w:usb0="A00002BF" w:usb1="184F6CFA" w:usb2="00000012" w:usb3="00000000" w:csb0="00040001" w:csb1="00000000"/>
    <w:embedRegular r:id="rId3" w:fontKey="{4081A46F-AA1C-4716-B23D-881EAC9984C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23EE">
    <w:pPr>
      <w:pStyle w:val="2"/>
    </w:pPr>
  </w:p>
  <w:p w14:paraId="173BA6B2">
    <w:pPr>
      <w:pStyle w:val="2"/>
    </w:pPr>
    <w:r>
      <mc:AlternateContent>
        <mc:Choice Requires="wps">
          <w:drawing>
            <wp:anchor distT="0" distB="0" distL="114300" distR="114300" simplePos="0" relativeHeight="251659264" behindDoc="0" locked="0" layoutInCell="1" allowOverlap="1">
              <wp:simplePos x="0" y="0"/>
              <wp:positionH relativeFrom="margin">
                <wp:posOffset>2971800</wp:posOffset>
              </wp:positionH>
              <wp:positionV relativeFrom="paragraph">
                <wp:posOffset>61595</wp:posOffset>
              </wp:positionV>
              <wp:extent cx="57785" cy="131445"/>
              <wp:effectExtent l="0" t="0" r="18415"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A19F7FB">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34pt;margin-top:4.85pt;height:10.35pt;width:4.55pt;mso-position-horizontal-relative:margin;mso-wrap-style:none;z-index:251659264;mso-width-relative:page;mso-height-relative:page;" filled="f" stroked="f" coordsize="21600,21600" o:gfxdata="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FhkjVAAAACAEAAA8AAAAAAAAAAQAgAAAAIgAAAGRy&#10;cy9kb3ducmV2LnhtbFBLAQIUABQAAAAIAIdO4kAC7Y7mCAIAAAEEAAAOAAAAAAAAAAEAIAAAACQB&#10;AABkcnMvZTJvRG9jLnhtbFBLBQYAAAAABgAGAFkBAACeBQAAAAA=&#10;">
              <v:fill on="f" focussize="0,0"/>
              <v:stroke on="f"/>
              <v:imagedata o:title=""/>
              <o:lock v:ext="edit" aspectratio="f"/>
              <v:textbox inset="0mm,0mm,0mm,0mm" style="mso-fit-shape-to-text:t;">
                <w:txbxContent>
                  <w:p w14:paraId="4A19F7FB">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1C6BEDA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4D5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11"/>
    <w:rsid w:val="000918C1"/>
    <w:rsid w:val="001941CE"/>
    <w:rsid w:val="002A0D19"/>
    <w:rsid w:val="00465D0E"/>
    <w:rsid w:val="00483001"/>
    <w:rsid w:val="004913E5"/>
    <w:rsid w:val="004A317A"/>
    <w:rsid w:val="004D44CE"/>
    <w:rsid w:val="00584511"/>
    <w:rsid w:val="006B4F5C"/>
    <w:rsid w:val="006C6806"/>
    <w:rsid w:val="00AD2063"/>
    <w:rsid w:val="00AE7A36"/>
    <w:rsid w:val="00C519EF"/>
    <w:rsid w:val="00E27632"/>
    <w:rsid w:val="00EB673C"/>
    <w:rsid w:val="00F752B1"/>
    <w:rsid w:val="1C40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脚 字符"/>
    <w:basedOn w:val="5"/>
    <w:link w:val="2"/>
    <w:uiPriority w:val="0"/>
    <w:rPr>
      <w:rFonts w:ascii="Times New Roman" w:hAnsi="Times New Roman" w:eastAsia="宋体" w:cs="Times New Roman"/>
      <w:sz w:val="18"/>
      <w:szCs w:val="18"/>
    </w:rPr>
  </w:style>
  <w:style w:type="character" w:customStyle="1" w:styleId="7">
    <w:name w:val="页眉 字符"/>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962</Words>
  <Characters>1090</Characters>
  <Lines>8</Lines>
  <Paragraphs>2</Paragraphs>
  <TotalTime>21</TotalTime>
  <ScaleCrop>false</ScaleCrop>
  <LinksUpToDate>false</LinksUpToDate>
  <CharactersWithSpaces>1111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2024-06-25T08:35:00Z</dcterms:created>
  <dc:creator>Administrator</dc:creator>
  <cp:lastModifiedBy>桃核儿</cp:lastModifiedBy>
  <dcterms:modified xsi:type="dcterms:W3CDTF">2025-05-14T04:45:26Z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eyJoZGlkIjoiYmM3YjAwNzg0N2FkMDE1NWJjZGUzOTQ5OTc4YjRiZGYiLCJ1c2VySWQiOiI5ODI1Mzc5ODMifQ==</vt:lpwstr>
  </property>
  <property fmtid="{D5CDD505-2E9C-101B-9397-08002B2CF9AE}" pid="3" name="KSOProductBuildVer">
    <vt:lpwstr>2052-12.1.0.21171</vt:lpwstr>
  </property>
  <property fmtid="{D5CDD505-2E9C-101B-9397-08002B2CF9AE}" pid="4" name="ICV">
    <vt:lpwstr>F845BC2D7CC54787B3AED72D611D620C_12</vt:lpwstr>
  </property>
</Properties>
</file>