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AAB84">
      <w:pPr>
        <w:pStyle w:val="2"/>
        <w:spacing w:before="56" w:line="240" w:lineRule="auto"/>
        <w:jc w:val="center"/>
        <w:rPr>
          <w:sz w:val="28"/>
          <w:szCs w:val="28"/>
        </w:rPr>
      </w:pPr>
      <w:bookmarkStart w:id="0" w:name="_GoBack"/>
      <w:r>
        <w:rPr>
          <w:rFonts w:hint="eastAsia"/>
          <w:b/>
          <w:bCs/>
          <w:spacing w:val="-4"/>
          <w:sz w:val="28"/>
          <w:szCs w:val="28"/>
          <w:lang w:val="en-US" w:eastAsia="zh-CN"/>
        </w:rPr>
        <w:t>大同市手洗餐具用洗涤剂</w:t>
      </w:r>
      <w:r>
        <w:rPr>
          <w:b/>
          <w:bCs/>
          <w:spacing w:val="-4"/>
          <w:sz w:val="28"/>
          <w:szCs w:val="28"/>
        </w:rPr>
        <w:t>产品质量监督抽查实施细则</w:t>
      </w:r>
    </w:p>
    <w:p w14:paraId="6389DB94">
      <w:pPr>
        <w:pStyle w:val="2"/>
        <w:spacing w:before="211" w:line="240" w:lineRule="auto"/>
        <w:jc w:val="center"/>
        <w:rPr>
          <w:sz w:val="28"/>
          <w:szCs w:val="28"/>
        </w:rPr>
      </w:pPr>
      <w:r>
        <w:rPr>
          <w:b/>
          <w:bCs/>
          <w:spacing w:val="-7"/>
          <w:sz w:val="28"/>
          <w:szCs w:val="28"/>
        </w:rPr>
        <w:t>（2025</w:t>
      </w:r>
      <w:r>
        <w:rPr>
          <w:spacing w:val="-57"/>
          <w:sz w:val="28"/>
          <w:szCs w:val="28"/>
        </w:rPr>
        <w:t xml:space="preserve"> </w:t>
      </w:r>
      <w:r>
        <w:rPr>
          <w:b/>
          <w:bCs/>
          <w:spacing w:val="-7"/>
          <w:sz w:val="28"/>
          <w:szCs w:val="28"/>
        </w:rPr>
        <w:t>年版）</w:t>
      </w:r>
    </w:p>
    <w:bookmarkEnd w:id="0"/>
    <w:p w14:paraId="172D5E7F">
      <w:pPr>
        <w:pStyle w:val="2"/>
        <w:spacing w:before="198" w:line="240" w:lineRule="auto"/>
        <w:ind w:left="119"/>
      </w:pPr>
      <w:r>
        <w:rPr>
          <w:b/>
          <w:bCs/>
          <w:spacing w:val="-11"/>
        </w:rPr>
        <w:t>1</w:t>
      </w:r>
      <w:r>
        <w:rPr>
          <w:spacing w:val="7"/>
        </w:rPr>
        <w:t xml:space="preserve"> </w:t>
      </w:r>
      <w:r>
        <w:rPr>
          <w:b/>
          <w:bCs/>
          <w:spacing w:val="-11"/>
        </w:rPr>
        <w:t>抽样</w:t>
      </w:r>
    </w:p>
    <w:p w14:paraId="75578065">
      <w:pPr>
        <w:pStyle w:val="2"/>
        <w:spacing w:before="156" w:line="240" w:lineRule="auto"/>
        <w:ind w:left="119"/>
      </w:pPr>
      <w:r>
        <w:rPr>
          <w:spacing w:val="-5"/>
        </w:rPr>
        <w:t>1.1</w:t>
      </w:r>
      <w:r>
        <w:rPr>
          <w:spacing w:val="-41"/>
        </w:rPr>
        <w:t xml:space="preserve"> </w:t>
      </w:r>
      <w:r>
        <w:rPr>
          <w:spacing w:val="-5"/>
        </w:rPr>
        <w:t>抽样方法</w:t>
      </w:r>
    </w:p>
    <w:p w14:paraId="4F2863D4">
      <w:pPr>
        <w:pStyle w:val="2"/>
        <w:spacing w:before="156" w:line="240" w:lineRule="auto"/>
        <w:ind w:left="548"/>
      </w:pPr>
      <w:r>
        <w:rPr>
          <w:spacing w:val="-1"/>
        </w:rPr>
        <w:t>以随机抽样的方式在被抽样生产者、销售者的待销产品中抽取。</w:t>
      </w:r>
    </w:p>
    <w:p w14:paraId="5E529F2D">
      <w:pPr>
        <w:pStyle w:val="2"/>
        <w:spacing w:before="160" w:line="240" w:lineRule="auto"/>
        <w:ind w:left="119"/>
      </w:pPr>
      <w:r>
        <w:rPr>
          <w:spacing w:val="-5"/>
        </w:rPr>
        <w:t>1.2</w:t>
      </w:r>
      <w:r>
        <w:rPr>
          <w:spacing w:val="-41"/>
        </w:rPr>
        <w:t xml:space="preserve"> </w:t>
      </w:r>
      <w:r>
        <w:rPr>
          <w:spacing w:val="-5"/>
        </w:rPr>
        <w:t>抽样基数</w:t>
      </w:r>
    </w:p>
    <w:p w14:paraId="4B3DE236">
      <w:pPr>
        <w:pStyle w:val="2"/>
        <w:spacing w:before="156" w:line="240" w:lineRule="auto"/>
        <w:ind w:left="523"/>
      </w:pPr>
      <w:r>
        <w:rPr>
          <w:spacing w:val="-1"/>
        </w:rPr>
        <w:t>抽查样品基数满足抽样数量即可。</w:t>
      </w:r>
    </w:p>
    <w:p w14:paraId="2B75F363">
      <w:pPr>
        <w:pStyle w:val="2"/>
        <w:spacing w:before="157" w:line="240" w:lineRule="auto"/>
        <w:ind w:left="119"/>
      </w:pPr>
      <w:r>
        <w:rPr>
          <w:spacing w:val="-5"/>
        </w:rPr>
        <w:t>1.3</w:t>
      </w:r>
      <w:r>
        <w:rPr>
          <w:spacing w:val="-41"/>
        </w:rPr>
        <w:t xml:space="preserve"> </w:t>
      </w:r>
      <w:r>
        <w:rPr>
          <w:spacing w:val="-5"/>
        </w:rPr>
        <w:t>抽样数量</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164"/>
        <w:gridCol w:w="2664"/>
        <w:gridCol w:w="1541"/>
        <w:gridCol w:w="1520"/>
      </w:tblGrid>
      <w:tr w14:paraId="6CEF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0" w:type="pct"/>
            <w:vAlign w:val="center"/>
          </w:tcPr>
          <w:p w14:paraId="2B3D5F7D">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序号</w:t>
            </w:r>
          </w:p>
        </w:tc>
        <w:tc>
          <w:tcPr>
            <w:tcW w:w="1278" w:type="pct"/>
            <w:vAlign w:val="center"/>
          </w:tcPr>
          <w:p w14:paraId="5F67C3DC">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产品种类</w:t>
            </w:r>
          </w:p>
        </w:tc>
        <w:tc>
          <w:tcPr>
            <w:tcW w:w="1573" w:type="pct"/>
            <w:vAlign w:val="center"/>
          </w:tcPr>
          <w:p w14:paraId="7A2396CB">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抽样数量（个）</w:t>
            </w:r>
          </w:p>
        </w:tc>
        <w:tc>
          <w:tcPr>
            <w:tcW w:w="910" w:type="pct"/>
            <w:vAlign w:val="center"/>
          </w:tcPr>
          <w:p w14:paraId="7F50E47E">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检验样品数量（个）</w:t>
            </w:r>
          </w:p>
        </w:tc>
        <w:tc>
          <w:tcPr>
            <w:tcW w:w="897" w:type="pct"/>
            <w:vAlign w:val="center"/>
          </w:tcPr>
          <w:p w14:paraId="0209A6EE">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备用样品数量（个）</w:t>
            </w:r>
          </w:p>
        </w:tc>
      </w:tr>
      <w:tr w14:paraId="43C9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0" w:type="pct"/>
            <w:vAlign w:val="center"/>
          </w:tcPr>
          <w:p w14:paraId="7E7EF4FE">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1</w:t>
            </w:r>
          </w:p>
        </w:tc>
        <w:tc>
          <w:tcPr>
            <w:tcW w:w="1278" w:type="pct"/>
            <w:vAlign w:val="center"/>
          </w:tcPr>
          <w:p w14:paraId="70DA8641">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包装规格＜2kg（L）</w:t>
            </w:r>
          </w:p>
        </w:tc>
        <w:tc>
          <w:tcPr>
            <w:tcW w:w="1573" w:type="pct"/>
            <w:vAlign w:val="center"/>
          </w:tcPr>
          <w:p w14:paraId="3C1D365D">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不少于2kg（L）且不少于6个独立包装</w:t>
            </w:r>
          </w:p>
        </w:tc>
        <w:tc>
          <w:tcPr>
            <w:tcW w:w="910" w:type="pct"/>
            <w:vAlign w:val="center"/>
          </w:tcPr>
          <w:p w14:paraId="05A72F19">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4</w:t>
            </w:r>
          </w:p>
        </w:tc>
        <w:tc>
          <w:tcPr>
            <w:tcW w:w="897" w:type="pct"/>
            <w:vAlign w:val="center"/>
          </w:tcPr>
          <w:p w14:paraId="2AE154B1">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2</w:t>
            </w:r>
          </w:p>
        </w:tc>
      </w:tr>
      <w:tr w14:paraId="4267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0" w:type="pct"/>
            <w:vAlign w:val="center"/>
          </w:tcPr>
          <w:p w14:paraId="43C489E0">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2</w:t>
            </w:r>
          </w:p>
        </w:tc>
        <w:tc>
          <w:tcPr>
            <w:tcW w:w="1278" w:type="pct"/>
            <w:vAlign w:val="center"/>
          </w:tcPr>
          <w:p w14:paraId="4B044B9D">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包装规格≥2kg（L）且＜10kg（L）的独立包装</w:t>
            </w:r>
          </w:p>
        </w:tc>
        <w:tc>
          <w:tcPr>
            <w:tcW w:w="1573" w:type="pct"/>
            <w:vAlign w:val="center"/>
          </w:tcPr>
          <w:p w14:paraId="25663293">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不少于3个独立包装</w:t>
            </w:r>
          </w:p>
        </w:tc>
        <w:tc>
          <w:tcPr>
            <w:tcW w:w="910" w:type="pct"/>
            <w:vAlign w:val="center"/>
          </w:tcPr>
          <w:p w14:paraId="7D00719E">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2</w:t>
            </w:r>
          </w:p>
        </w:tc>
        <w:tc>
          <w:tcPr>
            <w:tcW w:w="897" w:type="pct"/>
            <w:vAlign w:val="center"/>
          </w:tcPr>
          <w:p w14:paraId="29E2B692">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1</w:t>
            </w:r>
          </w:p>
        </w:tc>
      </w:tr>
      <w:tr w14:paraId="2647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0" w:type="pct"/>
            <w:vAlign w:val="center"/>
          </w:tcPr>
          <w:p w14:paraId="32880884">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3</w:t>
            </w:r>
          </w:p>
        </w:tc>
        <w:tc>
          <w:tcPr>
            <w:tcW w:w="1278" w:type="pct"/>
            <w:vAlign w:val="center"/>
          </w:tcPr>
          <w:p w14:paraId="154D661A">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包装规格≥10kg（L）的大包装</w:t>
            </w:r>
          </w:p>
        </w:tc>
        <w:tc>
          <w:tcPr>
            <w:tcW w:w="1573" w:type="pct"/>
            <w:vAlign w:val="center"/>
          </w:tcPr>
          <w:p w14:paraId="5AB5ABE7">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3个大包装，从每个大包装产品中分别分装成相应小包装样品，每一个小包装量不少于1kg（L）</w:t>
            </w:r>
          </w:p>
        </w:tc>
        <w:tc>
          <w:tcPr>
            <w:tcW w:w="910" w:type="pct"/>
            <w:vAlign w:val="center"/>
          </w:tcPr>
          <w:p w14:paraId="1769C6AB">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2</w:t>
            </w:r>
          </w:p>
        </w:tc>
        <w:tc>
          <w:tcPr>
            <w:tcW w:w="897" w:type="pct"/>
            <w:vAlign w:val="center"/>
          </w:tcPr>
          <w:p w14:paraId="516103D4">
            <w:pPr>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1</w:t>
            </w:r>
          </w:p>
        </w:tc>
      </w:tr>
    </w:tbl>
    <w:p w14:paraId="7702E7F7">
      <w:pPr>
        <w:pStyle w:val="2"/>
        <w:spacing w:before="156" w:line="240" w:lineRule="auto"/>
        <w:ind w:left="106"/>
        <w:rPr>
          <w:b/>
          <w:bCs/>
          <w:spacing w:val="-2"/>
        </w:rPr>
      </w:pPr>
    </w:p>
    <w:p w14:paraId="653C048A">
      <w:pPr>
        <w:pStyle w:val="2"/>
        <w:spacing w:before="156" w:line="240" w:lineRule="auto"/>
        <w:ind w:left="106"/>
      </w:pPr>
      <w:r>
        <w:rPr>
          <w:b/>
          <w:bCs/>
          <w:spacing w:val="-2"/>
        </w:rPr>
        <w:t>2</w:t>
      </w:r>
      <w:r>
        <w:rPr>
          <w:spacing w:val="-2"/>
        </w:rPr>
        <w:t xml:space="preserve"> </w:t>
      </w:r>
      <w:r>
        <w:rPr>
          <w:b/>
          <w:bCs/>
          <w:spacing w:val="-2"/>
        </w:rPr>
        <w:t>检验项目及检测方法</w:t>
      </w:r>
    </w:p>
    <w:p w14:paraId="0859267A">
      <w:pPr>
        <w:pStyle w:val="2"/>
        <w:spacing w:before="159" w:line="240" w:lineRule="auto"/>
        <w:ind w:left="2752"/>
      </w:pPr>
      <w:r>
        <w:rPr>
          <w:b/>
          <w:bCs/>
          <w:spacing w:val="-4"/>
        </w:rPr>
        <w:t>表</w:t>
      </w:r>
      <w:r>
        <w:rPr>
          <w:spacing w:val="-27"/>
        </w:rPr>
        <w:t xml:space="preserve"> </w:t>
      </w:r>
      <w:r>
        <w:rPr>
          <w:b/>
          <w:bCs/>
          <w:spacing w:val="-4"/>
        </w:rPr>
        <w:t>1</w:t>
      </w:r>
      <w:r>
        <w:rPr>
          <w:spacing w:val="-41"/>
        </w:rPr>
        <w:t xml:space="preserve"> </w:t>
      </w:r>
      <w:r>
        <w:rPr>
          <w:rFonts w:hint="eastAsia"/>
          <w:b/>
          <w:bCs/>
          <w:spacing w:val="-4"/>
          <w:lang w:val="en-US" w:eastAsia="zh-CN"/>
        </w:rPr>
        <w:t>手洗餐具用洗涤剂</w:t>
      </w:r>
      <w:r>
        <w:rPr>
          <w:b/>
          <w:bCs/>
          <w:spacing w:val="-4"/>
        </w:rPr>
        <w:t>产品检验项目</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875"/>
        <w:gridCol w:w="4896"/>
      </w:tblGrid>
      <w:tr w14:paraId="5291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0" w:type="pct"/>
            <w:vAlign w:val="center"/>
          </w:tcPr>
          <w:p w14:paraId="352F3F04">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序号</w:t>
            </w:r>
          </w:p>
        </w:tc>
        <w:tc>
          <w:tcPr>
            <w:tcW w:w="1698" w:type="pct"/>
            <w:vAlign w:val="center"/>
          </w:tcPr>
          <w:p w14:paraId="243458F9">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检验项目</w:t>
            </w:r>
          </w:p>
        </w:tc>
        <w:tc>
          <w:tcPr>
            <w:tcW w:w="2891" w:type="pct"/>
            <w:vAlign w:val="center"/>
          </w:tcPr>
          <w:p w14:paraId="1C740A5D">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检验方法</w:t>
            </w:r>
          </w:p>
        </w:tc>
      </w:tr>
      <w:tr w14:paraId="6489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10" w:type="pct"/>
            <w:vAlign w:val="center"/>
          </w:tcPr>
          <w:p w14:paraId="4A5E3AB9">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1</w:t>
            </w:r>
          </w:p>
        </w:tc>
        <w:tc>
          <w:tcPr>
            <w:tcW w:w="1698" w:type="pct"/>
            <w:vAlign w:val="center"/>
          </w:tcPr>
          <w:p w14:paraId="586DFB37">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总砷（以As计）</w:t>
            </w:r>
          </w:p>
        </w:tc>
        <w:tc>
          <w:tcPr>
            <w:tcW w:w="2891" w:type="pct"/>
            <w:vAlign w:val="center"/>
          </w:tcPr>
          <w:p w14:paraId="4EA4D9CD">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 14930.1—2022</w:t>
            </w:r>
          </w:p>
          <w:p w14:paraId="1622EB38">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GB/T 30797—2014</w:t>
            </w:r>
          </w:p>
        </w:tc>
      </w:tr>
      <w:tr w14:paraId="4FDC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10" w:type="pct"/>
            <w:vAlign w:val="center"/>
          </w:tcPr>
          <w:p w14:paraId="6463AC24">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2</w:t>
            </w:r>
          </w:p>
        </w:tc>
        <w:tc>
          <w:tcPr>
            <w:tcW w:w="1698" w:type="pct"/>
            <w:vAlign w:val="center"/>
          </w:tcPr>
          <w:p w14:paraId="3C563DAB">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重金属（以Pb计）</w:t>
            </w:r>
          </w:p>
        </w:tc>
        <w:tc>
          <w:tcPr>
            <w:tcW w:w="2891" w:type="pct"/>
            <w:vAlign w:val="center"/>
          </w:tcPr>
          <w:p w14:paraId="3DC5B81C">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 14930.1—2022</w:t>
            </w:r>
          </w:p>
          <w:p w14:paraId="7552DAB8">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GB/T 30799—2014</w:t>
            </w:r>
          </w:p>
        </w:tc>
      </w:tr>
      <w:tr w14:paraId="6BAC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pct"/>
            <w:vAlign w:val="center"/>
          </w:tcPr>
          <w:p w14:paraId="7EA92746">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3</w:t>
            </w:r>
          </w:p>
        </w:tc>
        <w:tc>
          <w:tcPr>
            <w:tcW w:w="1698" w:type="pct"/>
            <w:vAlign w:val="center"/>
          </w:tcPr>
          <w:p w14:paraId="1808FC50">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甲醇</w:t>
            </w:r>
          </w:p>
        </w:tc>
        <w:tc>
          <w:tcPr>
            <w:tcW w:w="2891" w:type="pct"/>
            <w:vAlign w:val="center"/>
          </w:tcPr>
          <w:p w14:paraId="12546D27">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 14930.1—2022</w:t>
            </w:r>
          </w:p>
          <w:p w14:paraId="13D0DFA6">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GB/T 30795—2014</w:t>
            </w:r>
          </w:p>
        </w:tc>
      </w:tr>
      <w:tr w14:paraId="6180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pct"/>
            <w:vAlign w:val="center"/>
          </w:tcPr>
          <w:p w14:paraId="0FA8F554">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4</w:t>
            </w:r>
          </w:p>
        </w:tc>
        <w:tc>
          <w:tcPr>
            <w:tcW w:w="1698" w:type="pct"/>
            <w:vAlign w:val="center"/>
          </w:tcPr>
          <w:p w14:paraId="6727328A">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甲醛</w:t>
            </w:r>
          </w:p>
        </w:tc>
        <w:tc>
          <w:tcPr>
            <w:tcW w:w="2891" w:type="pct"/>
            <w:vAlign w:val="center"/>
          </w:tcPr>
          <w:p w14:paraId="78BB47B9">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 14930.1—2022</w:t>
            </w:r>
          </w:p>
          <w:p w14:paraId="566FDDF3">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GB/T 30796—2014</w:t>
            </w:r>
          </w:p>
        </w:tc>
      </w:tr>
      <w:tr w14:paraId="2A25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0" w:type="pct"/>
            <w:vAlign w:val="center"/>
          </w:tcPr>
          <w:p w14:paraId="3F4C1AE3">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5</w:t>
            </w:r>
          </w:p>
        </w:tc>
        <w:tc>
          <w:tcPr>
            <w:tcW w:w="1698" w:type="pct"/>
            <w:vAlign w:val="center"/>
          </w:tcPr>
          <w:p w14:paraId="785BCFA9">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菌落总数</w:t>
            </w:r>
          </w:p>
        </w:tc>
        <w:tc>
          <w:tcPr>
            <w:tcW w:w="2891" w:type="pct"/>
            <w:vAlign w:val="center"/>
          </w:tcPr>
          <w:p w14:paraId="7A6E82B5">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 14930.1—2022</w:t>
            </w:r>
          </w:p>
          <w:p w14:paraId="10EECDB8">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 4789.2—2022</w:t>
            </w:r>
          </w:p>
        </w:tc>
      </w:tr>
      <w:tr w14:paraId="376C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0" w:type="pct"/>
            <w:vAlign w:val="center"/>
          </w:tcPr>
          <w:p w14:paraId="344EBCEE">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6</w:t>
            </w:r>
          </w:p>
        </w:tc>
        <w:tc>
          <w:tcPr>
            <w:tcW w:w="1698" w:type="pct"/>
            <w:vAlign w:val="center"/>
          </w:tcPr>
          <w:p w14:paraId="52AE1034">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大肠菌群</w:t>
            </w:r>
          </w:p>
        </w:tc>
        <w:tc>
          <w:tcPr>
            <w:tcW w:w="2891" w:type="pct"/>
            <w:vAlign w:val="center"/>
          </w:tcPr>
          <w:p w14:paraId="5E501439">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 14930.1—2022</w:t>
            </w:r>
          </w:p>
          <w:p w14:paraId="27A6E22A">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 4789.3—2016大肠菌群平板计数法</w:t>
            </w:r>
          </w:p>
        </w:tc>
      </w:tr>
      <w:tr w14:paraId="0BF0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0" w:type="pct"/>
            <w:vAlign w:val="center"/>
          </w:tcPr>
          <w:p w14:paraId="63E912DE">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7</w:t>
            </w:r>
          </w:p>
        </w:tc>
        <w:tc>
          <w:tcPr>
            <w:tcW w:w="1698" w:type="pct"/>
            <w:vAlign w:val="center"/>
          </w:tcPr>
          <w:p w14:paraId="5F8B1A56">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稳定性</w:t>
            </w:r>
          </w:p>
        </w:tc>
        <w:tc>
          <w:tcPr>
            <w:tcW w:w="2891" w:type="pct"/>
            <w:vAlign w:val="center"/>
          </w:tcPr>
          <w:p w14:paraId="01F3A05A">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w:t>
            </w: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/T</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9985</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—2022</w:t>
            </w:r>
          </w:p>
          <w:p w14:paraId="2B009AD1">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GB/T 13173—2021</w:t>
            </w:r>
          </w:p>
        </w:tc>
      </w:tr>
      <w:tr w14:paraId="3158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pct"/>
            <w:vAlign w:val="center"/>
          </w:tcPr>
          <w:p w14:paraId="7088E06B">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8</w:t>
            </w:r>
          </w:p>
        </w:tc>
        <w:tc>
          <w:tcPr>
            <w:tcW w:w="1698" w:type="pct"/>
            <w:vAlign w:val="center"/>
          </w:tcPr>
          <w:p w14:paraId="260EAEB7">
            <w:pPr>
              <w:adjustRightInd w:val="0"/>
              <w:snapToGrid w:val="0"/>
              <w:spacing w:line="240" w:lineRule="auto"/>
              <w:jc w:val="center"/>
              <w:rPr>
                <w:rFonts w:hint="eastAsia" w:ascii="宋体" w:hAnsi="宋体" w:eastAsia="宋体" w:cs="宋体"/>
                <w:color w:val="0D0D0D" w:themeColor="text1" w:themeTint="F2"/>
                <w:sz w:val="21"/>
                <w:szCs w:val="21"/>
                <w:vertAlign w:val="superscript"/>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总有效物含量</w:t>
            </w:r>
          </w:p>
        </w:tc>
        <w:tc>
          <w:tcPr>
            <w:tcW w:w="2891" w:type="pct"/>
            <w:vAlign w:val="center"/>
          </w:tcPr>
          <w:p w14:paraId="5830A179">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w:t>
            </w: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/T</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9985</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—2022</w:t>
            </w:r>
          </w:p>
          <w:p w14:paraId="35D1DC8F">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GB/T 13173—2021</w:t>
            </w:r>
          </w:p>
        </w:tc>
      </w:tr>
      <w:tr w14:paraId="3BEF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pct"/>
            <w:vAlign w:val="center"/>
          </w:tcPr>
          <w:p w14:paraId="381502B7">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9</w:t>
            </w:r>
          </w:p>
        </w:tc>
        <w:tc>
          <w:tcPr>
            <w:tcW w:w="1698" w:type="pct"/>
            <w:vAlign w:val="center"/>
          </w:tcPr>
          <w:p w14:paraId="51C65554">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pH</w:t>
            </w:r>
          </w:p>
        </w:tc>
        <w:tc>
          <w:tcPr>
            <w:tcW w:w="2891" w:type="pct"/>
            <w:vAlign w:val="center"/>
          </w:tcPr>
          <w:p w14:paraId="2AAF3EE8">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w:t>
            </w: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/T</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9985</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—2022</w:t>
            </w:r>
          </w:p>
          <w:p w14:paraId="1F100D6B">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GB/T 6368—2008</w:t>
            </w:r>
          </w:p>
        </w:tc>
      </w:tr>
      <w:tr w14:paraId="58C6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pct"/>
            <w:vAlign w:val="center"/>
          </w:tcPr>
          <w:p w14:paraId="59A76A66">
            <w:pPr>
              <w:adjustRightInd w:val="0"/>
              <w:snapToGrid w:val="0"/>
              <w:spacing w:line="240" w:lineRule="auto"/>
              <w:jc w:val="center"/>
              <w:rPr>
                <w:rFonts w:hint="default"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10</w:t>
            </w:r>
          </w:p>
        </w:tc>
        <w:tc>
          <w:tcPr>
            <w:tcW w:w="1698" w:type="pct"/>
            <w:vAlign w:val="center"/>
          </w:tcPr>
          <w:p w14:paraId="5DC0F1AD">
            <w:pPr>
              <w:adjustRightInd w:val="0"/>
              <w:snapToGrid w:val="0"/>
              <w:spacing w:line="240" w:lineRule="auto"/>
              <w:jc w:val="cente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去污力</w:t>
            </w:r>
          </w:p>
        </w:tc>
        <w:tc>
          <w:tcPr>
            <w:tcW w:w="2891" w:type="pct"/>
            <w:vAlign w:val="center"/>
          </w:tcPr>
          <w:p w14:paraId="4FFD696A">
            <w:pPr>
              <w:adjustRightInd w:val="0"/>
              <w:snapToGrid w:val="0"/>
              <w:spacing w:line="240" w:lineRule="auto"/>
              <w:jc w:val="cente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GB</w:t>
            </w: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/T</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 w:val="21"/>
                <w:szCs w:val="21"/>
                <w:lang w:val="en-US" w:eastAsia="zh-CN"/>
                <w14:textFill>
                  <w14:solidFill>
                    <w14:schemeClr w14:val="tx1">
                      <w14:lumMod w14:val="95000"/>
                      <w14:lumOff w14:val="5000"/>
                    </w14:schemeClr>
                  </w14:solidFill>
                </w14:textFill>
              </w:rPr>
              <w:t>9985</w:t>
            </w: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—2022</w:t>
            </w:r>
          </w:p>
        </w:tc>
      </w:tr>
    </w:tbl>
    <w:p w14:paraId="0B7B2405">
      <w:pPr>
        <w:spacing w:line="240" w:lineRule="auto"/>
      </w:pPr>
    </w:p>
    <w:p w14:paraId="7322809B">
      <w:pPr>
        <w:pStyle w:val="2"/>
        <w:spacing w:before="30" w:line="360" w:lineRule="auto"/>
        <w:ind w:left="524"/>
      </w:pPr>
      <w:r>
        <w:rPr>
          <w:spacing w:val="-14"/>
        </w:rPr>
        <w:t>注：</w:t>
      </w:r>
    </w:p>
    <w:p w14:paraId="4073DF8A">
      <w:pPr>
        <w:pStyle w:val="2"/>
        <w:spacing w:before="152" w:line="360" w:lineRule="auto"/>
        <w:ind w:left="524"/>
      </w:pPr>
      <w:r>
        <w:rPr>
          <w:spacing w:val="-1"/>
        </w:rPr>
        <w:t>执行企业标准、团体标准、地方标准的产品，检验项目参照上述内容执行。</w:t>
      </w:r>
    </w:p>
    <w:p w14:paraId="2EF23551">
      <w:pPr>
        <w:pStyle w:val="2"/>
        <w:spacing w:before="156" w:line="360" w:lineRule="auto"/>
        <w:ind w:left="105" w:right="93" w:firstLine="423"/>
      </w:pPr>
      <w:r>
        <w:rPr>
          <w:spacing w:val="1"/>
        </w:rPr>
        <w:t>凡是注日期的文件，其随后所有的修改单（不包括勘误的内容）或修订版不适用于本</w:t>
      </w:r>
      <w:r>
        <w:rPr>
          <w:spacing w:val="10"/>
        </w:rPr>
        <w:t xml:space="preserve"> </w:t>
      </w:r>
      <w:r>
        <w:rPr>
          <w:spacing w:val="-1"/>
        </w:rPr>
        <w:t>细则。凡是不注日期的文件，其最新版本适用于本细则。</w:t>
      </w:r>
    </w:p>
    <w:p w14:paraId="7106C52B">
      <w:pPr>
        <w:pStyle w:val="2"/>
        <w:spacing w:before="1" w:line="360" w:lineRule="auto"/>
        <w:ind w:left="108"/>
      </w:pPr>
      <w:r>
        <w:rPr>
          <w:b/>
          <w:bCs/>
          <w:spacing w:val="-6"/>
        </w:rPr>
        <w:t>3</w:t>
      </w:r>
      <w:r>
        <w:rPr>
          <w:spacing w:val="12"/>
        </w:rPr>
        <w:t xml:space="preserve"> </w:t>
      </w:r>
      <w:r>
        <w:rPr>
          <w:b/>
          <w:bCs/>
          <w:spacing w:val="-6"/>
        </w:rPr>
        <w:t>判定规则</w:t>
      </w:r>
    </w:p>
    <w:p w14:paraId="56A22169">
      <w:pPr>
        <w:pStyle w:val="2"/>
        <w:spacing w:before="156" w:line="360" w:lineRule="auto"/>
        <w:ind w:left="108"/>
      </w:pPr>
      <w:r>
        <w:rPr>
          <w:spacing w:val="-3"/>
        </w:rPr>
        <w:t>3.1</w:t>
      </w:r>
      <w:r>
        <w:rPr>
          <w:spacing w:val="-43"/>
        </w:rPr>
        <w:t xml:space="preserve"> </w:t>
      </w:r>
      <w:r>
        <w:rPr>
          <w:spacing w:val="-3"/>
        </w:rPr>
        <w:t>标准依据</w:t>
      </w:r>
    </w:p>
    <w:p w14:paraId="713FB6BD">
      <w:pPr>
        <w:snapToGrid w:val="0"/>
        <w:spacing w:line="360" w:lineRule="auto"/>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GB 14930.1—2022 食品安全国家标准 洗涤剂</w:t>
      </w:r>
    </w:p>
    <w:p w14:paraId="5CB8E83B">
      <w:pPr>
        <w:tabs>
          <w:tab w:val="left" w:pos="3812"/>
        </w:tabs>
        <w:snapToGrid w:val="0"/>
        <w:spacing w:line="360" w:lineRule="auto"/>
        <w:ind w:firstLine="420" w:firstLineChars="200"/>
        <w:rPr>
          <w:rFonts w:hint="eastAsia" w:ascii="宋体" w:hAnsi="宋体" w:eastAsia="宋体" w:cs="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GB/T 9985—2022 手洗餐具用洗涤剂</w:t>
      </w:r>
    </w:p>
    <w:p w14:paraId="5DED003C">
      <w:pPr>
        <w:pStyle w:val="2"/>
        <w:spacing w:before="156" w:line="360" w:lineRule="auto"/>
        <w:ind w:left="450"/>
      </w:pPr>
      <w:r>
        <w:rPr>
          <w:spacing w:val="-1"/>
        </w:rPr>
        <w:t>相关的法律、行政法规、部门规章、规范性文件</w:t>
      </w:r>
    </w:p>
    <w:p w14:paraId="3BBB1DBD">
      <w:pPr>
        <w:pStyle w:val="2"/>
        <w:spacing w:before="159" w:line="360" w:lineRule="auto"/>
        <w:ind w:left="452"/>
      </w:pPr>
      <w:r>
        <w:t>现行有效的企业标准、团体标准、地方标准及产品明</w:t>
      </w:r>
      <w:r>
        <w:rPr>
          <w:spacing w:val="-1"/>
        </w:rPr>
        <w:t>示质量要求</w:t>
      </w:r>
    </w:p>
    <w:p w14:paraId="66162727">
      <w:pPr>
        <w:pStyle w:val="2"/>
        <w:spacing w:before="157" w:line="360" w:lineRule="auto"/>
        <w:ind w:left="34"/>
        <w:outlineLvl w:val="0"/>
      </w:pPr>
      <w:r>
        <w:rPr>
          <w:spacing w:val="-3"/>
        </w:rPr>
        <w:t>3.2</w:t>
      </w:r>
      <w:r>
        <w:rPr>
          <w:spacing w:val="-43"/>
        </w:rPr>
        <w:t xml:space="preserve"> </w:t>
      </w:r>
      <w:r>
        <w:rPr>
          <w:spacing w:val="-3"/>
        </w:rPr>
        <w:t>判定原则</w:t>
      </w:r>
    </w:p>
    <w:p w14:paraId="6990AD95">
      <w:pPr>
        <w:snapToGrid w:val="0"/>
        <w:spacing w:line="360" w:lineRule="auto"/>
        <w:ind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经检验，检验项目全部合格，判定为被抽查产品</w:t>
      </w:r>
      <w:r>
        <w:rPr>
          <w:color w:val="0D0D0D" w:themeColor="text1" w:themeTint="F2"/>
          <w14:textFill>
            <w14:solidFill>
              <w14:schemeClr w14:val="tx1">
                <w14:lumMod w14:val="95000"/>
                <w14:lumOff w14:val="5000"/>
              </w14:schemeClr>
            </w14:solidFill>
          </w14:textFill>
        </w:rPr>
        <w:t>所检项目未发现不合格</w:t>
      </w:r>
      <w:r>
        <w:rPr>
          <w:color w:val="0D0D0D" w:themeColor="text1" w:themeTint="F2"/>
          <w:szCs w:val="21"/>
          <w14:textFill>
            <w14:solidFill>
              <w14:schemeClr w14:val="tx1">
                <w14:lumMod w14:val="95000"/>
                <w14:lumOff w14:val="5000"/>
              </w14:schemeClr>
            </w14:solidFill>
          </w14:textFill>
        </w:rPr>
        <w:t>；检验项目中任一项或一项以上不合格，判定为被抽查产品不合格。</w:t>
      </w:r>
    </w:p>
    <w:p w14:paraId="589448EF">
      <w:pPr>
        <w:snapToGrid w:val="0"/>
        <w:spacing w:line="360" w:lineRule="auto"/>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若被检产品明示的质量要求高于本细则中检验项目依据的标准要求时，应按被检产品明示的质量要求判定。</w:t>
      </w:r>
    </w:p>
    <w:p w14:paraId="7B7C6DDC">
      <w:pPr>
        <w:snapToGrid w:val="0"/>
        <w:spacing w:line="360" w:lineRule="auto"/>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若被检产品明示的质量要求低于本细则中检验项目依据的强制性标准要求时，应按照强制性标准要求判定。</w:t>
      </w:r>
    </w:p>
    <w:p w14:paraId="60538FF0">
      <w:pPr>
        <w:snapToGrid w:val="0"/>
        <w:spacing w:line="360" w:lineRule="auto"/>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若被检产品明示的质量要求低于或包含本细则中检验项目依据的推荐性标准要求时，应以被检产品明示的质量要求判定。</w:t>
      </w:r>
    </w:p>
    <w:p w14:paraId="01CBC8B2">
      <w:pPr>
        <w:snapToGrid w:val="0"/>
        <w:spacing w:line="360" w:lineRule="auto"/>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若被检产品明示的质量要求缺少本细则中检验项目依据的强制性标准要求时，应按照强制性标准要求判定。</w:t>
      </w:r>
    </w:p>
    <w:p w14:paraId="2A3B6C81">
      <w:pPr>
        <w:snapToGrid w:val="0"/>
        <w:spacing w:line="360" w:lineRule="auto"/>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若被检产品明示的质量要求缺少本细则中检验项目依据的推荐性标准要求时，该项目不参与判定。</w:t>
      </w:r>
    </w:p>
    <w:p w14:paraId="122801D4">
      <w:pPr>
        <w:pStyle w:val="2"/>
        <w:spacing w:line="360" w:lineRule="auto"/>
        <w:ind w:left="29"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依据GB 4789.1</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2016 《食品安全国家标准 食品微生物学检验 总则》第7.3条规定“检验结果报告后，剩余样品和同批产品不进行微生物项目的复检”，微生物指标不合格不进行复检。</w:t>
      </w:r>
    </w:p>
    <w:p w14:paraId="685FA269">
      <w:pPr>
        <w:pStyle w:val="2"/>
        <w:spacing w:line="360" w:lineRule="auto"/>
        <w:ind w:left="29"/>
      </w:pPr>
      <w:r>
        <w:rPr>
          <w:b/>
          <w:bCs/>
          <w:spacing w:val="-5"/>
        </w:rPr>
        <w:t>4</w:t>
      </w:r>
      <w:r>
        <w:rPr>
          <w:spacing w:val="13"/>
        </w:rPr>
        <w:t xml:space="preserve"> </w:t>
      </w:r>
      <w:r>
        <w:rPr>
          <w:b/>
          <w:bCs/>
          <w:spacing w:val="-5"/>
        </w:rPr>
        <w:t>异议复检</w:t>
      </w:r>
    </w:p>
    <w:p w14:paraId="0D791396">
      <w:pPr>
        <w:pStyle w:val="2"/>
        <w:spacing w:before="157" w:line="360" w:lineRule="auto"/>
        <w:ind w:left="449"/>
      </w:pPr>
      <w:r>
        <w:rPr>
          <w:spacing w:val="-1"/>
        </w:rPr>
        <w:t>本细则中确定的全部检验项目，采用备用样品进行复检。</w:t>
      </w:r>
    </w:p>
    <w:sectPr>
      <w:pgSz w:w="11852" w:h="16784"/>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E23B97"/>
    <w:rsid w:val="08FF7BB1"/>
    <w:rsid w:val="3CE85830"/>
    <w:rsid w:val="689C16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1002</Words>
  <Characters>1246</Characters>
  <TotalTime>1</TotalTime>
  <ScaleCrop>false</ScaleCrop>
  <LinksUpToDate>false</LinksUpToDate>
  <CharactersWithSpaces>1287</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2025-02-20T15:48:00Z</dcterms:created>
  <dc:creator>郝好</dc:creator>
  <cp:lastModifiedBy>小魔仙</cp:lastModifiedBy>
  <dcterms:modified xsi:type="dcterms:W3CDTF">2025-06-18T08:44:32Z</dcterms:modified>
  <dc:title>山东省婴幼儿用塑料奶瓶产品质量监督抽查实施细则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2025-05-18T18:26:11Z</vt:filetime>
  </property>
  <property fmtid="{D5CDD505-2E9C-101B-9397-08002B2CF9AE}" pid="4" name="KSOTemplateDocerSaveRecord">
    <vt:lpwstr>eyJoZGlkIjoiMmVjMmM0MGQ5MTYwYTdmMzlhNTI4MTY2NWNhNzg3MTIiLCJ1c2VySWQiOiIyNTU3MjczMDYifQ==</vt:lpwstr>
  </property>
  <property fmtid="{D5CDD505-2E9C-101B-9397-08002B2CF9AE}" pid="5" name="KSOProductBuildVer">
    <vt:lpwstr>2052-12.1.0.21171</vt:lpwstr>
  </property>
  <property fmtid="{D5CDD505-2E9C-101B-9397-08002B2CF9AE}" pid="6" name="ICV">
    <vt:lpwstr>726F2C6C457F49A2BF34DE2298FB55A5_13</vt:lpwstr>
  </property>
</Properties>
</file>