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DE714">
      <w:pPr>
        <w:tabs>
          <w:tab w:val="left" w:pos="420"/>
        </w:tabs>
        <w:spacing w:line="360" w:lineRule="auto"/>
        <w:jc w:val="center"/>
        <w:rPr>
          <w:rFonts w:hint="eastAsia" w:ascii="宋体" w:hAnsi="宋体" w:cs="方正小标宋_GBK"/>
          <w:b/>
          <w:sz w:val="36"/>
          <w:szCs w:val="36"/>
          <w:lang w:val="en-US" w:eastAsia="zh-CN"/>
        </w:rPr>
      </w:pPr>
      <w:r>
        <w:rPr>
          <w:rFonts w:hint="eastAsia" w:ascii="宋体" w:hAnsi="宋体" w:cs="方正小标宋_GBK"/>
          <w:b/>
          <w:sz w:val="36"/>
          <w:szCs w:val="36"/>
        </w:rPr>
        <w:t>202</w:t>
      </w:r>
      <w:r>
        <w:rPr>
          <w:rFonts w:hint="eastAsia" w:ascii="宋体" w:hAnsi="宋体" w:cs="方正小标宋_GBK"/>
          <w:b/>
          <w:sz w:val="36"/>
          <w:szCs w:val="36"/>
          <w:lang w:val="en-US" w:eastAsia="zh-CN"/>
        </w:rPr>
        <w:t>5</w:t>
      </w:r>
      <w:r>
        <w:rPr>
          <w:rFonts w:hint="eastAsia" w:ascii="宋体" w:hAnsi="宋体" w:cs="方正小标宋_GBK"/>
          <w:b/>
          <w:sz w:val="36"/>
          <w:szCs w:val="36"/>
        </w:rPr>
        <w:t>年</w:t>
      </w:r>
      <w:r>
        <w:rPr>
          <w:rFonts w:hint="eastAsia" w:ascii="宋体" w:hAnsi="宋体" w:cs="方正小标宋_GBK"/>
          <w:b/>
          <w:sz w:val="36"/>
          <w:szCs w:val="36"/>
          <w:lang w:val="en-US" w:eastAsia="zh-CN"/>
        </w:rPr>
        <w:t>大同市学生文具（仅限于液体胶、固体胶、</w:t>
      </w:r>
    </w:p>
    <w:p w14:paraId="4D7B376B">
      <w:pPr>
        <w:tabs>
          <w:tab w:val="left" w:pos="420"/>
        </w:tabs>
        <w:spacing w:line="360" w:lineRule="auto"/>
        <w:jc w:val="center"/>
        <w:rPr>
          <w:rFonts w:ascii="仿宋_GB2312" w:hAnsi="仿宋" w:eastAsia="仿宋_GB2312" w:cs="宋体-方正超大字符集"/>
          <w:b/>
          <w:bCs/>
          <w:sz w:val="28"/>
          <w:szCs w:val="28"/>
        </w:rPr>
      </w:pPr>
      <w:r>
        <w:rPr>
          <w:rFonts w:hint="eastAsia" w:ascii="宋体" w:hAnsi="宋体" w:cs="方正小标宋_GBK"/>
          <w:b/>
          <w:sz w:val="36"/>
          <w:szCs w:val="36"/>
          <w:lang w:val="en-US" w:eastAsia="zh-CN"/>
        </w:rPr>
        <w:t>浆糊）</w:t>
      </w:r>
      <w:r>
        <w:rPr>
          <w:rFonts w:hint="eastAsia" w:ascii="宋体" w:hAnsi="宋体" w:cs="方正小标宋_GBK"/>
          <w:b/>
          <w:sz w:val="36"/>
          <w:szCs w:val="36"/>
        </w:rPr>
        <w:t>产品风险监测项目实施方案</w:t>
      </w:r>
    </w:p>
    <w:p w14:paraId="0B09F53E">
      <w:pPr>
        <w:tabs>
          <w:tab w:val="left" w:pos="420"/>
        </w:tabs>
        <w:spacing w:line="360" w:lineRule="auto"/>
        <w:rPr>
          <w:rFonts w:ascii="宋体" w:hAnsi="宋体" w:cs="宋体"/>
          <w:b/>
          <w:bCs/>
          <w:szCs w:val="21"/>
        </w:rPr>
      </w:pPr>
      <w:r>
        <w:rPr>
          <w:rFonts w:hint="eastAsia" w:ascii="宋体" w:hAnsi="宋体" w:cs="宋体"/>
          <w:b/>
          <w:bCs/>
          <w:szCs w:val="21"/>
        </w:rPr>
        <w:t>1、网络舆情收集</w:t>
      </w:r>
    </w:p>
    <w:p w14:paraId="1811F82F">
      <w:pPr>
        <w:spacing w:line="360" w:lineRule="auto"/>
        <w:ind w:firstLine="420" w:firstLineChars="200"/>
        <w:rPr>
          <w:rFonts w:hint="eastAsia" w:ascii="宋体" w:hAnsi="宋体" w:cs="宋体"/>
          <w:lang w:val="en-US" w:eastAsia="zh-CN"/>
        </w:rPr>
      </w:pPr>
      <w:r>
        <w:rPr>
          <w:rFonts w:hint="default" w:ascii="宋体" w:hAnsi="宋体" w:cs="宋体"/>
          <w:lang w:val="en-US" w:eastAsia="zh-CN"/>
        </w:rPr>
        <w:t>关于</w:t>
      </w:r>
      <w:r>
        <w:rPr>
          <w:rFonts w:hint="eastAsia" w:ascii="宋体" w:hAnsi="宋体" w:cs="宋体"/>
          <w:lang w:val="en-US" w:eastAsia="zh-CN"/>
        </w:rPr>
        <w:t>学生文具（仅限于液体胶、固体胶、浆糊）</w:t>
      </w:r>
      <w:r>
        <w:rPr>
          <w:rFonts w:hint="default" w:ascii="宋体" w:hAnsi="宋体" w:cs="宋体"/>
          <w:lang w:val="en-US" w:eastAsia="zh-CN"/>
        </w:rPr>
        <w:t>的舆情主要集中在产品质量安全问题上</w:t>
      </w:r>
      <w:r>
        <w:rPr>
          <w:rFonts w:hint="eastAsia" w:ascii="宋体" w:hAnsi="宋体" w:cs="宋体"/>
          <w:lang w:val="en-US" w:eastAsia="zh-CN"/>
        </w:rPr>
        <w:t>。近三年网络舆情呈现：</w:t>
      </w:r>
    </w:p>
    <w:p w14:paraId="21C038DA">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舆情1: 抽</w:t>
      </w:r>
      <w:r>
        <w:rPr>
          <w:rFonts w:hint="default" w:ascii="宋体" w:hAnsi="宋体" w:cs="宋体"/>
          <w:lang w:val="en-US" w:eastAsia="zh-CN"/>
        </w:rPr>
        <w:t>检不合格问题：</w:t>
      </w:r>
      <w:r>
        <w:rPr>
          <w:rFonts w:hint="eastAsia" w:ascii="宋体" w:hAnsi="宋体" w:cs="宋体"/>
          <w:lang w:val="en-US" w:eastAsia="zh-CN"/>
        </w:rPr>
        <w:t>2024年北京市市场监督管理局组织开展了学生用品产品质量监督抽查。检出7批次产品质量不符合GB 21027-2020《学生用品的安全通用要求》，不合格项目为可触及的塑料件中邻苯二甲酸酯增塑剂的限量、游离甲醛。其中，GB 21027-2020 标准对液体胶、固体胶、浆糊中游离甲醛的限量值为≤1000 mg/kg。胶水在生产过程中必须添加甲醛等物质以保存固有物质，且增加组织弹性,让胶水具有更加稳定的性能。甲醛是一种无色易溶的刺激性气体，如果长期接触，可能会引起慢性呼吸道疾病，或对皮肤有致敏的可能性。</w:t>
      </w:r>
    </w:p>
    <w:p w14:paraId="01734030">
      <w:pPr>
        <w:spacing w:line="360" w:lineRule="auto"/>
        <w:ind w:firstLine="420" w:firstLineChars="200"/>
        <w:rPr>
          <w:rFonts w:hint="eastAsia" w:ascii="宋体" w:hAnsi="宋体" w:cs="宋体"/>
          <w:lang w:val="en-US" w:eastAsia="zh-CN"/>
        </w:rPr>
      </w:pPr>
      <w:r>
        <w:rPr>
          <w:rFonts w:hint="eastAsia" w:ascii="宋体" w:hAnsi="宋体" w:cs="宋体"/>
          <w:lang w:val="en-US" w:eastAsia="zh-CN"/>
        </w:rPr>
        <w:t>舆情2： 2023年2月，《消费者报道》整理了国家、省市级市场监督管理局于2020年至2023年这3年发布的关于文具用品的抽检数据。</w:t>
      </w:r>
      <w:r>
        <w:rPr>
          <w:rFonts w:hint="default" w:ascii="宋体" w:hAnsi="宋体" w:cs="宋体"/>
          <w:lang w:val="en-US" w:eastAsia="zh-CN"/>
        </w:rPr>
        <w:t>结果显示，国家、省市级监管部门3年内共抽检发现791批次文具产品不达标，涉及晨光、真彩、得力、百乐、马培德、英雄、派克等品牌，涉及作业本、数学本、笔记本、簿册、水彩笔、铅笔、中性笔、固体胶、橡皮、笔袋、文具盒等产品。</w:t>
      </w:r>
      <w:r>
        <w:rPr>
          <w:rFonts w:hint="eastAsia" w:ascii="宋体" w:hAnsi="宋体" w:cs="宋体"/>
        </w:rPr>
        <w:t>固体胶、胶粘类文具的主要不达标指标为游离甲醛、不挥发物含量、总挥发性有机物。</w:t>
      </w:r>
      <w:r>
        <w:rPr>
          <w:rFonts w:hint="default" w:ascii="宋体" w:hAnsi="宋体" w:cs="宋体"/>
        </w:rPr>
        <w:t>游离甲醛是因为固体胶通常需要使用甲醛作为改性剂，产品中可能残留对健康有害的物质。另外，固体胶中的某些易挥发添加物对人体也有伤害，所以需控制不挥发物的含量，而甲醛易挥发，不挥发物含量不达标也有可能由甲醛挥发导致。</w:t>
      </w:r>
    </w:p>
    <w:p w14:paraId="5E9EB426">
      <w:pPr>
        <w:tabs>
          <w:tab w:val="left" w:pos="420"/>
        </w:tabs>
        <w:spacing w:line="360" w:lineRule="auto"/>
        <w:rPr>
          <w:rFonts w:ascii="宋体" w:hAnsi="宋体" w:cs="宋体"/>
          <w:b/>
          <w:bCs/>
          <w:szCs w:val="21"/>
        </w:rPr>
      </w:pPr>
      <w:r>
        <w:rPr>
          <w:rFonts w:hint="eastAsia" w:ascii="宋体" w:hAnsi="宋体" w:cs="宋体"/>
          <w:b/>
          <w:bCs/>
          <w:szCs w:val="21"/>
        </w:rPr>
        <w:t>2、相关抽查情况或类似缺陷产品召回</w:t>
      </w:r>
    </w:p>
    <w:p w14:paraId="0971EF1F">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国内召回案例</w:t>
      </w:r>
    </w:p>
    <w:p w14:paraId="45466344">
      <w:pPr>
        <w:tabs>
          <w:tab w:val="left" w:pos="420"/>
        </w:tabs>
        <w:spacing w:line="360" w:lineRule="auto"/>
        <w:ind w:firstLine="420" w:firstLineChars="200"/>
        <w:rPr>
          <w:rFonts w:hint="default" w:ascii="宋体" w:hAnsi="宋体" w:cs="宋体"/>
          <w:szCs w:val="21"/>
          <w:lang w:val="en-US" w:eastAsia="zh-CN"/>
        </w:rPr>
      </w:pPr>
      <w:r>
        <w:rPr>
          <w:rFonts w:hint="default" w:ascii="宋体" w:hAnsi="宋体" w:cs="宋体"/>
          <w:szCs w:val="21"/>
          <w:lang w:val="en-US" w:eastAsia="zh-CN"/>
        </w:rPr>
        <w:t>广东省市场监督管理局官网显示，因游离甲醛含量超标，揭阳市榕城区汇林文具厂召回2020年12月10日制造的部分汇林牌固体胶，涉及数量为3240支。召回信息显示，揭阳市榕城区汇林文具厂制造的汇林牌固体胶（型号/规格8210/10g；生产批号/批次P20201210）不合格。据介绍，本次召回范围内的固体胶由于产品游离甲醛含量超过GB21027-2007标准限值，可能通过呼吸，皮肤接触等方式对消费者健康造成影响。</w:t>
      </w:r>
    </w:p>
    <w:p w14:paraId="0890B539">
      <w:pPr>
        <w:tabs>
          <w:tab w:val="left" w:pos="420"/>
        </w:tabs>
        <w:spacing w:line="360" w:lineRule="auto"/>
        <w:rPr>
          <w:rFonts w:ascii="宋体" w:hAnsi="宋体" w:cs="宋体"/>
          <w:b/>
          <w:bCs/>
          <w:szCs w:val="21"/>
        </w:rPr>
      </w:pPr>
      <w:r>
        <w:rPr>
          <w:rFonts w:hint="eastAsia" w:ascii="宋体" w:hAnsi="宋体" w:cs="宋体"/>
          <w:b/>
          <w:bCs/>
          <w:szCs w:val="21"/>
        </w:rPr>
        <w:t>3、风险监测产品范围</w:t>
      </w:r>
    </w:p>
    <w:p w14:paraId="3284F06C">
      <w:pPr>
        <w:tabs>
          <w:tab w:val="left" w:pos="420"/>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产品。</w:t>
      </w:r>
    </w:p>
    <w:p w14:paraId="31083939">
      <w:pPr>
        <w:tabs>
          <w:tab w:val="left" w:pos="420"/>
        </w:tabs>
        <w:spacing w:line="360" w:lineRule="auto"/>
        <w:rPr>
          <w:rFonts w:ascii="宋体" w:hAnsi="宋体" w:cs="宋体"/>
          <w:b/>
          <w:bCs/>
          <w:szCs w:val="21"/>
        </w:rPr>
      </w:pPr>
      <w:r>
        <w:rPr>
          <w:rFonts w:hint="eastAsia" w:ascii="宋体" w:hAnsi="宋体" w:cs="宋体"/>
          <w:b/>
          <w:bCs/>
          <w:szCs w:val="21"/>
        </w:rPr>
        <w:t>4、产品标准（国内国外）</w:t>
      </w:r>
    </w:p>
    <w:p w14:paraId="359B8CF6">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国内：我国学生文具的标准体系根据标准的性质分为强制性标准、推荐性标准、产品标准和检测方法标准。GB 21027-2020 《学生用品的安全通用要求》2020年7月23日，中国国家市场监督管理总局和国家标准化管理委员会</w:t>
      </w:r>
      <w:bookmarkStart w:id="9" w:name="_GoBack"/>
      <w:bookmarkEnd w:id="9"/>
      <w:r>
        <w:rPr>
          <w:rFonts w:hint="eastAsia" w:ascii="宋体" w:hAnsi="宋体" w:eastAsia="宋体" w:cs="宋体"/>
          <w:szCs w:val="21"/>
          <w:lang w:val="en-US" w:eastAsia="zh-CN"/>
        </w:rPr>
        <w:t>批准发布了新版学生用品的安全通用要求标准GB 21027-2020，新标准替代了旧版GB 21027-2007，并于2022年2月1日正式生效。该标准规定了学生用品的要求、试验方法、标识。适用于14周岁以下(含14周岁)学生使用的用于学习的用品,包括水彩画颜料、蜡笔、油画棒、彩泥、橡皮擦、修正液、修正带、修正贴、修正笔、液体胶、固体胶、浆糊、水彩笔、自来水笔、油墨圆珠笔、中性墨水圆珠笔、水性墨水圆珠笔、记号笔、白板笔、荧光笔、铅笔、活动铅笔、墨水、铅芯、绘图仪尺(直尺、三角尺、比例尺.量角器、绘图模板,不包含丁字尺)、学生圆规、课业簿册、书套、书包、笔袋、文具剪刀、文具盒、手动削笔机、卷笔刀、美工刀等学生用品。</w:t>
      </w:r>
    </w:p>
    <w:p w14:paraId="1375698C">
      <w:pPr>
        <w:tabs>
          <w:tab w:val="left" w:pos="420"/>
        </w:tabs>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国外：国外对于文具产品，一般是采用玩具标准来管控文具产品，标准包括EN 71-1:2014 + A1:2018《玩具安全 第1部分:机械与物理性能》，EN 71-2:2020《玩具安全标准 第2部分:易燃性》，EN 71-3:2019+A1:2021《玩具安全 第3部分:特定元素的迁移》。但是，对于文具所使用到的各种材料的有害物质，欧美有较为严格的法规和指令管控，如欧盟REACH法规、美国CPSC、加州65等等。</w:t>
      </w:r>
    </w:p>
    <w:p w14:paraId="37946FBF">
      <w:pPr>
        <w:tabs>
          <w:tab w:val="left" w:pos="420"/>
        </w:tabs>
        <w:spacing w:line="360" w:lineRule="auto"/>
        <w:rPr>
          <w:rFonts w:hint="eastAsia" w:ascii="宋体" w:hAnsi="宋体" w:cs="宋体"/>
          <w:b/>
          <w:bCs/>
          <w:szCs w:val="21"/>
        </w:rPr>
      </w:pPr>
    </w:p>
    <w:p w14:paraId="2D2ED161">
      <w:pPr>
        <w:tabs>
          <w:tab w:val="left" w:pos="420"/>
        </w:tabs>
        <w:spacing w:line="360" w:lineRule="auto"/>
        <w:rPr>
          <w:rFonts w:ascii="宋体" w:hAnsi="宋体" w:cs="宋体"/>
          <w:b/>
          <w:bCs/>
          <w:szCs w:val="21"/>
          <w:highlight w:val="yellow"/>
        </w:rPr>
      </w:pPr>
      <w:r>
        <w:rPr>
          <w:rFonts w:hint="eastAsia" w:ascii="宋体" w:hAnsi="宋体" w:cs="宋体"/>
          <w:b/>
          <w:bCs/>
          <w:szCs w:val="21"/>
        </w:rPr>
        <w:t>5、</w:t>
      </w:r>
      <w:r>
        <w:rPr>
          <w:rFonts w:hint="eastAsia" w:ascii="宋体" w:hAnsi="宋体" w:cs="宋体"/>
          <w:b/>
          <w:bCs/>
          <w:szCs w:val="21"/>
          <w:highlight w:val="none"/>
        </w:rPr>
        <w:t>检测方法相关标准（国内国外）</w:t>
      </w:r>
    </w:p>
    <w:p w14:paraId="78233AF2">
      <w:pPr>
        <w:tabs>
          <w:tab w:val="left" w:pos="420"/>
        </w:tabs>
        <w:spacing w:line="360" w:lineRule="auto"/>
        <w:ind w:firstLine="422" w:firstLineChars="200"/>
        <w:rPr>
          <w:rFonts w:ascii="宋体" w:hAnsi="宋体" w:cs="宋体"/>
          <w:b/>
          <w:bCs/>
          <w:szCs w:val="21"/>
        </w:rPr>
      </w:pPr>
      <w:r>
        <w:rPr>
          <w:rFonts w:hint="eastAsia" w:ascii="宋体" w:hAnsi="宋体" w:cs="宋体"/>
          <w:b/>
          <w:bCs/>
          <w:szCs w:val="21"/>
        </w:rPr>
        <w:t>国内检测方法：</w:t>
      </w:r>
    </w:p>
    <w:p w14:paraId="0FA5B9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游离甲醛：GB/T 32606-2016《</w:t>
      </w:r>
      <w:r>
        <w:rPr>
          <w:rFonts w:hint="default" w:ascii="宋体" w:hAnsi="宋体" w:eastAsia="宋体" w:cs="宋体"/>
          <w:b w:val="0"/>
          <w:bCs w:val="0"/>
          <w:kern w:val="2"/>
          <w:sz w:val="21"/>
          <w:szCs w:val="21"/>
          <w:lang w:val="en-US" w:eastAsia="zh-CN" w:bidi="ar-SA"/>
        </w:rPr>
        <w:t>文具用品中游离甲醛的测定方法 乙酰丙酮分光光度法</w:t>
      </w:r>
      <w:r>
        <w:rPr>
          <w:rFonts w:hint="eastAsia" w:ascii="宋体" w:hAnsi="宋体" w:eastAsia="宋体" w:cs="宋体"/>
          <w:b w:val="0"/>
          <w:bCs w:val="0"/>
          <w:kern w:val="2"/>
          <w:sz w:val="21"/>
          <w:szCs w:val="21"/>
          <w:lang w:val="en-US" w:eastAsia="zh-CN" w:bidi="ar-SA"/>
        </w:rPr>
        <w:t>》</w:t>
      </w:r>
    </w:p>
    <w:p w14:paraId="073A01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：GB/T 22048-2022《玩具及儿童用品中特定邻苯二甲酸酯增塑剂的测定》</w:t>
      </w:r>
    </w:p>
    <w:p w14:paraId="26A286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特定元素的迁移：GB 6675.4-2014 《</w:t>
      </w:r>
      <w:r>
        <w:rPr>
          <w:rFonts w:hint="default" w:ascii="宋体" w:hAnsi="宋体" w:eastAsia="宋体" w:cs="宋体"/>
          <w:b w:val="0"/>
          <w:bCs w:val="0"/>
          <w:kern w:val="2"/>
          <w:sz w:val="21"/>
          <w:szCs w:val="21"/>
          <w:lang w:val="en-US" w:eastAsia="zh-CN" w:bidi="ar-SA"/>
        </w:rPr>
        <w:t>玩具安全 第4部分：特定元素的迁移</w:t>
      </w:r>
      <w:r>
        <w:rPr>
          <w:rFonts w:hint="eastAsia" w:ascii="宋体" w:hAnsi="宋体" w:cs="宋体"/>
          <w:b w:val="0"/>
          <w:bCs w:val="0"/>
          <w:kern w:val="2"/>
          <w:sz w:val="21"/>
          <w:szCs w:val="21"/>
          <w:lang w:val="en-US" w:eastAsia="zh-CN" w:bidi="ar-SA"/>
        </w:rPr>
        <w:t>》</w:t>
      </w:r>
    </w:p>
    <w:p w14:paraId="04A466B4">
      <w:pPr>
        <w:adjustRightInd w:val="0"/>
        <w:snapToGrid w:val="0"/>
        <w:ind w:firstLine="420" w:firstLineChars="200"/>
        <w:jc w:val="both"/>
        <w:rPr>
          <w:rFonts w:hint="eastAsia" w:ascii="宋体" w:hAnsi="宋体" w:cs="宋体"/>
          <w:szCs w:val="21"/>
        </w:rPr>
      </w:pPr>
    </w:p>
    <w:p w14:paraId="09B65CD8">
      <w:pPr>
        <w:tabs>
          <w:tab w:val="left" w:pos="420"/>
        </w:tabs>
        <w:spacing w:line="360" w:lineRule="auto"/>
        <w:ind w:firstLine="422" w:firstLineChars="200"/>
        <w:rPr>
          <w:rFonts w:hint="eastAsia" w:ascii="宋体" w:hAnsi="宋体" w:cs="宋体"/>
          <w:b/>
          <w:bCs/>
          <w:szCs w:val="21"/>
        </w:rPr>
      </w:pPr>
      <w:r>
        <w:rPr>
          <w:rFonts w:hint="eastAsia" w:ascii="宋体" w:hAnsi="宋体" w:cs="宋体"/>
          <w:b/>
          <w:bCs/>
          <w:szCs w:val="21"/>
        </w:rPr>
        <w:t>国外检测方法(欧盟)：</w:t>
      </w:r>
    </w:p>
    <w:p w14:paraId="0B5406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游离甲醛：(EU)2019/1929(2009/48/EC附录C) 玩具中的甲醛</w:t>
      </w:r>
    </w:p>
    <w:p w14:paraId="32F62EF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可触及的塑料件中邻苯二甲酸酯增塑剂的限量</w:t>
      </w:r>
      <w:r>
        <w:rPr>
          <w:rFonts w:hint="eastAsia" w:ascii="宋体" w:hAnsi="宋体" w:cs="宋体"/>
          <w:b w:val="0"/>
          <w:bCs w:val="0"/>
          <w:kern w:val="2"/>
          <w:sz w:val="21"/>
          <w:szCs w:val="21"/>
          <w:lang w:val="en-US" w:eastAsia="zh-CN" w:bidi="ar-SA"/>
        </w:rPr>
        <w:t>：REACH 附录XVII</w:t>
      </w:r>
    </w:p>
    <w:p w14:paraId="22389F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特定元素的迁移：</w:t>
      </w:r>
      <w:r>
        <w:rPr>
          <w:rFonts w:hint="eastAsia" w:ascii="宋体" w:hAnsi="宋体" w:eastAsia="宋体" w:cs="宋体"/>
          <w:szCs w:val="21"/>
          <w:lang w:val="en-US" w:eastAsia="zh-CN"/>
        </w:rPr>
        <w:t>EN 71-3:2019+A1:2021《玩具安全 第3部分:特定元素的迁移》</w:t>
      </w:r>
    </w:p>
    <w:p w14:paraId="7F473697">
      <w:pPr>
        <w:tabs>
          <w:tab w:val="left" w:pos="420"/>
        </w:tabs>
        <w:spacing w:line="360" w:lineRule="auto"/>
        <w:ind w:firstLine="422" w:firstLineChars="200"/>
        <w:rPr>
          <w:rFonts w:hint="eastAsia" w:ascii="宋体" w:hAnsi="宋体" w:cs="宋体"/>
          <w:b/>
          <w:bCs/>
          <w:szCs w:val="21"/>
        </w:rPr>
      </w:pPr>
    </w:p>
    <w:p w14:paraId="5566139A">
      <w:pPr>
        <w:tabs>
          <w:tab w:val="left" w:pos="420"/>
        </w:tabs>
        <w:spacing w:line="360" w:lineRule="auto"/>
        <w:ind w:left="630" w:leftChars="200" w:hanging="210" w:hangingChars="100"/>
        <w:rPr>
          <w:rFonts w:hint="eastAsia" w:ascii="宋体" w:hAnsi="宋体" w:cs="宋体"/>
          <w:szCs w:val="21"/>
          <w:lang w:val="en-US" w:eastAsia="zh-CN"/>
        </w:rPr>
      </w:pPr>
      <w:bookmarkStart w:id="0" w:name="_Toc9074"/>
    </w:p>
    <w:p w14:paraId="3DB9D088">
      <w:pPr>
        <w:spacing w:line="360" w:lineRule="auto"/>
        <w:rPr>
          <w:b/>
          <w:bCs/>
        </w:rPr>
      </w:pPr>
      <w:r>
        <w:rPr>
          <w:rFonts w:hint="eastAsia"/>
          <w:b/>
          <w:bCs/>
        </w:rPr>
        <w:t>6、采样方案及评估方法</w:t>
      </w:r>
      <w:bookmarkEnd w:id="0"/>
    </w:p>
    <w:p w14:paraId="1C81C04F">
      <w:pPr>
        <w:spacing w:line="360" w:lineRule="auto"/>
        <w:ind w:firstLine="210" w:firstLineChars="100"/>
      </w:pPr>
      <w:bookmarkStart w:id="1" w:name="_Toc423"/>
      <w:r>
        <w:rPr>
          <w:rFonts w:hint="eastAsia"/>
        </w:rPr>
        <w:t>6.1、样品覆盖率设计</w:t>
      </w:r>
      <w:bookmarkEnd w:id="1"/>
    </w:p>
    <w:p w14:paraId="38BB5471">
      <w:pPr>
        <w:tabs>
          <w:tab w:val="left" w:pos="420"/>
        </w:tabs>
        <w:spacing w:line="360" w:lineRule="auto"/>
        <w:rPr>
          <w:rFonts w:ascii="宋体" w:hAnsi="宋体" w:cs="宋体"/>
          <w:color w:val="000000"/>
          <w:szCs w:val="21"/>
        </w:rPr>
      </w:pPr>
      <w:r>
        <w:rPr>
          <w:rFonts w:hint="eastAsia" w:ascii="宋体" w:hAnsi="宋体" w:cs="宋体"/>
          <w:color w:val="000000"/>
          <w:szCs w:val="21"/>
        </w:rPr>
        <w:t>本次监测的产品为</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产品。</w:t>
      </w:r>
      <w:r>
        <w:rPr>
          <w:rFonts w:hint="eastAsia" w:ascii="宋体" w:hAnsi="宋体" w:cs="宋体"/>
          <w:color w:val="000000"/>
          <w:szCs w:val="21"/>
        </w:rPr>
        <w:t>典型的产品图片如下图。</w:t>
      </w:r>
    </w:p>
    <w:p w14:paraId="05A3404E">
      <w:pPr>
        <w:pStyle w:val="9"/>
        <w:rPr>
          <w:sz w:val="21"/>
          <w:szCs w:val="21"/>
          <w:lang w:val="en-US"/>
        </w:rPr>
      </w:pPr>
      <w:r>
        <w:rPr>
          <w:rFonts w:hint="eastAsia"/>
          <w:sz w:val="21"/>
          <w:szCs w:val="21"/>
        </w:rPr>
        <w:t xml:space="preserve"> </w:t>
      </w:r>
      <w:r>
        <w:rPr>
          <w:rFonts w:hint="eastAsia" w:ascii="宋体" w:hAnsi="宋体" w:eastAsia="宋体" w:cs="宋体"/>
          <w:color w:val="000000" w:themeColor="text1"/>
          <w:sz w:val="24"/>
          <w:szCs w:val="24"/>
          <w:highlight w:val="none"/>
          <w:lang w:val="en-US" w:bidi="ar-SA"/>
          <w14:textFill>
            <w14:solidFill>
              <w14:schemeClr w14:val="tx1"/>
            </w14:solidFill>
          </w14:textFill>
        </w:rPr>
        <w:drawing>
          <wp:inline distT="0" distB="0" distL="0" distR="0">
            <wp:extent cx="1381125" cy="1381125"/>
            <wp:effectExtent l="0" t="0" r="5715" b="5715"/>
            <wp:docPr id="27" name="图片 27" descr="https://img0.baidu.com/it/u=3254954619,436504415&amp;fm=253&amp;fmt=auto&amp;app=138&amp;f=JPEG?w=418&amp;h=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s://img0.baidu.com/it/u=3254954619,436504415&amp;fm=253&amp;fmt=auto&amp;app=138&amp;f=JPEG?w=418&amp;h=4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81125" cy="1381125"/>
                    </a:xfrm>
                    <a:prstGeom prst="rect">
                      <a:avLst/>
                    </a:prstGeom>
                    <a:noFill/>
                    <a:ln>
                      <a:noFill/>
                    </a:ln>
                  </pic:spPr>
                </pic:pic>
              </a:graphicData>
            </a:graphic>
          </wp:inline>
        </w:drawing>
      </w:r>
      <w:r>
        <w:rPr>
          <w:rFonts w:hint="eastAsia" w:ascii="宋体" w:hAnsi="宋体" w:eastAsia="宋体" w:cs="宋体"/>
          <w:color w:val="000000" w:themeColor="text1"/>
          <w:sz w:val="24"/>
          <w:szCs w:val="24"/>
          <w:highlight w:val="none"/>
          <w:lang w:val="en-US" w:bidi="ar-SA"/>
          <w14:textFill>
            <w14:solidFill>
              <w14:schemeClr w14:val="tx1"/>
            </w14:solidFill>
          </w14:textFill>
        </w:rPr>
        <w:drawing>
          <wp:inline distT="0" distB="0" distL="0" distR="0">
            <wp:extent cx="1378585" cy="1378585"/>
            <wp:effectExtent l="0" t="0" r="8255" b="8255"/>
            <wp:docPr id="29" name="图片 29" descr="http://t13.baidu.com/it/u=1985552581,2573733998&amp;fm=224&amp;app=112&amp;f=JPEG?w=500&amp;h=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t13.baidu.com/it/u=1985552581,2573733998&amp;fm=224&amp;app=112&amp;f=JPEG?w=500&amp;h=5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78585" cy="1378585"/>
                    </a:xfrm>
                    <a:prstGeom prst="rect">
                      <a:avLst/>
                    </a:prstGeom>
                    <a:noFill/>
                    <a:ln>
                      <a:noFill/>
                    </a:ln>
                  </pic:spPr>
                </pic:pic>
              </a:graphicData>
            </a:graphic>
          </wp:inline>
        </w:drawing>
      </w:r>
      <w:r>
        <w:rPr>
          <w:rFonts w:hint="eastAsia" w:ascii="宋体" w:hAnsi="宋体" w:eastAsia="宋体" w:cs="宋体"/>
          <w:color w:val="000000" w:themeColor="text1"/>
          <w:sz w:val="24"/>
          <w:szCs w:val="24"/>
          <w:highlight w:val="none"/>
          <w:lang w:val="en-US" w:bidi="ar-SA"/>
          <w14:textFill>
            <w14:solidFill>
              <w14:schemeClr w14:val="tx1"/>
            </w14:solidFill>
          </w14:textFill>
        </w:rPr>
        <w:drawing>
          <wp:inline distT="0" distB="0" distL="0" distR="0">
            <wp:extent cx="1367155" cy="1367155"/>
            <wp:effectExtent l="0" t="0" r="4445" b="4445"/>
            <wp:docPr id="30" name="图片 30" descr="http://t14.baidu.com/it/u=1735829779,621633358&amp;fm=224&amp;app=112&amp;f=JPEG?w=500&amp;h=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t14.baidu.com/it/u=1735829779,621633358&amp;fm=224&amp;app=112&amp;f=JPEG?w=500&amp;h=5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7155" cy="1367155"/>
                    </a:xfrm>
                    <a:prstGeom prst="rect">
                      <a:avLst/>
                    </a:prstGeom>
                    <a:noFill/>
                    <a:ln>
                      <a:noFill/>
                    </a:ln>
                  </pic:spPr>
                </pic:pic>
              </a:graphicData>
            </a:graphic>
          </wp:inline>
        </w:drawing>
      </w:r>
    </w:p>
    <w:p w14:paraId="62E6AE3A">
      <w:pPr>
        <w:spacing w:line="360" w:lineRule="auto"/>
        <w:ind w:firstLine="420" w:firstLineChars="200"/>
        <w:rPr>
          <w:rFonts w:ascii="宋体" w:hAnsi="宋体" w:cs="宋体"/>
          <w:color w:val="000000"/>
          <w:szCs w:val="21"/>
        </w:rPr>
      </w:pPr>
      <w:r>
        <w:rPr>
          <w:rFonts w:hint="eastAsia" w:ascii="宋体" w:hAnsi="宋体" w:cs="宋体"/>
          <w:color w:val="000000"/>
          <w:szCs w:val="21"/>
        </w:rPr>
        <w:t>本次计划抽取</w:t>
      </w:r>
      <w:r>
        <w:rPr>
          <w:rFonts w:hint="eastAsia" w:ascii="宋体" w:hAnsi="宋体" w:cs="宋体"/>
          <w:lang w:val="en-US" w:eastAsia="zh-CN"/>
        </w:rPr>
        <w:t>液体胶、固体胶、浆糊</w:t>
      </w:r>
      <w:r>
        <w:rPr>
          <w:rFonts w:hint="eastAsia" w:ascii="宋体" w:hAnsi="宋体" w:cs="宋体"/>
          <w:color w:val="000000"/>
          <w:szCs w:val="21"/>
        </w:rPr>
        <w:t>样品数量</w:t>
      </w:r>
      <w:r>
        <w:rPr>
          <w:rFonts w:hint="eastAsia" w:ascii="宋体" w:hAnsi="宋体" w:cs="宋体"/>
          <w:color w:val="000000"/>
          <w:szCs w:val="21"/>
          <w:highlight w:val="none"/>
        </w:rPr>
        <w:t>为</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批次。</w:t>
      </w:r>
    </w:p>
    <w:p w14:paraId="46B6C242">
      <w:pPr>
        <w:spacing w:line="360" w:lineRule="auto"/>
        <w:ind w:firstLine="420" w:firstLineChars="200"/>
        <w:rPr>
          <w:rFonts w:ascii="宋体" w:hAnsi="宋体" w:cs="宋体"/>
          <w:szCs w:val="21"/>
        </w:rPr>
      </w:pPr>
      <w:r>
        <w:rPr>
          <w:rFonts w:hint="eastAsia" w:ascii="宋体" w:hAnsi="宋体" w:cs="宋体"/>
          <w:szCs w:val="21"/>
        </w:rPr>
        <w:t>本次监测以高、中、低档产品兼顾的原则，既要反映市场上主流品牌产品的风险状况，也要反映低档产品的风险状况，以保证风险监测结果能够反映出</w:t>
      </w:r>
      <w:r>
        <w:rPr>
          <w:rFonts w:hint="eastAsia" w:ascii="宋体" w:hAnsi="宋体" w:cs="宋体"/>
          <w:szCs w:val="21"/>
          <w:lang w:val="en-US" w:eastAsia="zh-CN"/>
        </w:rPr>
        <w:t>学生文具</w:t>
      </w:r>
      <w:r>
        <w:rPr>
          <w:rFonts w:hint="eastAsia" w:ascii="宋体" w:hAnsi="宋体" w:cs="宋体"/>
          <w:szCs w:val="21"/>
        </w:rPr>
        <w:t>行业的风险程度。</w:t>
      </w:r>
    </w:p>
    <w:p w14:paraId="6C4739FC">
      <w:pPr>
        <w:spacing w:line="360" w:lineRule="auto"/>
        <w:ind w:firstLine="420" w:firstLineChars="200"/>
        <w:rPr>
          <w:rFonts w:ascii="宋体" w:hAnsi="宋体" w:cs="宋体"/>
          <w:szCs w:val="21"/>
        </w:rPr>
      </w:pPr>
      <w:r>
        <w:rPr>
          <w:rFonts w:hint="eastAsia" w:ascii="宋体" w:hAnsi="宋体" w:cs="宋体"/>
          <w:szCs w:val="21"/>
        </w:rPr>
        <w:t>（1）抽样领域：市场实体店抽</w:t>
      </w:r>
      <w:r>
        <w:rPr>
          <w:rFonts w:hint="eastAsia" w:ascii="宋体" w:hAnsi="宋体" w:cs="宋体"/>
          <w:szCs w:val="21"/>
          <w:lang w:val="en-US" w:eastAsia="zh-CN"/>
        </w:rPr>
        <w:t>5</w:t>
      </w:r>
      <w:r>
        <w:rPr>
          <w:rFonts w:hint="eastAsia" w:ascii="宋体" w:hAnsi="宋体" w:cs="宋体"/>
          <w:szCs w:val="21"/>
        </w:rPr>
        <w:t>批次，抽样范围覆盖商场、超市、以及专卖店三类抽样地点。实体店抽样时，原则上同一个生产厂家可抽取不超过</w:t>
      </w:r>
      <w:r>
        <w:rPr>
          <w:rFonts w:ascii="宋体" w:hAnsi="宋体" w:cs="宋体"/>
          <w:szCs w:val="21"/>
        </w:rPr>
        <w:t>2</w:t>
      </w:r>
      <w:r>
        <w:rPr>
          <w:rFonts w:hint="eastAsia" w:ascii="宋体" w:hAnsi="宋体" w:cs="宋体"/>
          <w:szCs w:val="21"/>
        </w:rPr>
        <w:t>个批次产品。</w:t>
      </w:r>
    </w:p>
    <w:p w14:paraId="03887ADA">
      <w:pPr>
        <w:spacing w:line="360" w:lineRule="auto"/>
        <w:ind w:firstLine="420" w:firstLineChars="200"/>
        <w:rPr>
          <w:rFonts w:hint="eastAsia" w:ascii="宋体" w:hAnsi="宋体" w:cs="宋体"/>
          <w:szCs w:val="21"/>
        </w:rPr>
      </w:pPr>
      <w:r>
        <w:rPr>
          <w:rFonts w:hint="eastAsia" w:ascii="宋体" w:hAnsi="宋体" w:cs="宋体"/>
          <w:szCs w:val="21"/>
        </w:rPr>
        <w:t>（2）抽样型号或规格：抽样基数满足抽样数量即可，样品应为同一生产企业、同一标准生产、同一商标、同一规格型号的产品。</w:t>
      </w:r>
    </w:p>
    <w:p w14:paraId="685BA29E">
      <w:pPr>
        <w:adjustRightInd w:val="0"/>
        <w:snapToGrid w:val="0"/>
        <w:spacing w:line="440" w:lineRule="exact"/>
        <w:jc w:val="center"/>
        <w:rPr>
          <w:szCs w:val="21"/>
        </w:rPr>
      </w:pPr>
      <w:r>
        <w:rPr>
          <w:szCs w:val="21"/>
        </w:rPr>
        <w:t>表1 抽取样品数量</w:t>
      </w:r>
    </w:p>
    <w:tbl>
      <w:tblPr>
        <w:tblStyle w:val="10"/>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87"/>
        <w:gridCol w:w="1534"/>
        <w:gridCol w:w="1765"/>
        <w:gridCol w:w="1832"/>
        <w:gridCol w:w="1765"/>
      </w:tblGrid>
      <w:tr w14:paraId="3959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blHeader/>
          <w:jc w:val="center"/>
        </w:trPr>
        <w:tc>
          <w:tcPr>
            <w:tcW w:w="655" w:type="dxa"/>
            <w:noWrap w:val="0"/>
            <w:vAlign w:val="center"/>
          </w:tcPr>
          <w:p w14:paraId="682B60F0">
            <w:pPr>
              <w:adjustRightInd w:val="0"/>
              <w:snapToGrid w:val="0"/>
              <w:jc w:val="center"/>
              <w:rPr>
                <w:szCs w:val="21"/>
              </w:rPr>
            </w:pPr>
            <w:r>
              <w:rPr>
                <w:szCs w:val="21"/>
              </w:rPr>
              <w:t>序号</w:t>
            </w:r>
          </w:p>
        </w:tc>
        <w:tc>
          <w:tcPr>
            <w:tcW w:w="2321" w:type="dxa"/>
            <w:gridSpan w:val="2"/>
            <w:noWrap w:val="0"/>
            <w:vAlign w:val="center"/>
          </w:tcPr>
          <w:p w14:paraId="3F13E71B">
            <w:pPr>
              <w:adjustRightInd w:val="0"/>
              <w:snapToGrid w:val="0"/>
              <w:jc w:val="center"/>
              <w:rPr>
                <w:szCs w:val="21"/>
              </w:rPr>
            </w:pPr>
            <w:r>
              <w:rPr>
                <w:szCs w:val="21"/>
              </w:rPr>
              <w:t>产品种类</w:t>
            </w:r>
          </w:p>
        </w:tc>
        <w:tc>
          <w:tcPr>
            <w:tcW w:w="1765" w:type="dxa"/>
            <w:noWrap w:val="0"/>
            <w:vAlign w:val="center"/>
          </w:tcPr>
          <w:p w14:paraId="1AD42CC8">
            <w:pPr>
              <w:adjustRightInd w:val="0"/>
              <w:snapToGrid w:val="0"/>
              <w:jc w:val="center"/>
              <w:rPr>
                <w:szCs w:val="21"/>
              </w:rPr>
            </w:pPr>
            <w:r>
              <w:rPr>
                <w:szCs w:val="21"/>
              </w:rPr>
              <w:t>抽样数量</w:t>
            </w:r>
          </w:p>
        </w:tc>
        <w:tc>
          <w:tcPr>
            <w:tcW w:w="1832" w:type="dxa"/>
            <w:noWrap w:val="0"/>
            <w:vAlign w:val="center"/>
          </w:tcPr>
          <w:p w14:paraId="40B4A8E3">
            <w:pPr>
              <w:adjustRightInd w:val="0"/>
              <w:snapToGrid w:val="0"/>
              <w:jc w:val="center"/>
              <w:rPr>
                <w:szCs w:val="21"/>
              </w:rPr>
            </w:pPr>
            <w:r>
              <w:rPr>
                <w:szCs w:val="21"/>
              </w:rPr>
              <w:t>检验样品数量</w:t>
            </w:r>
          </w:p>
        </w:tc>
        <w:tc>
          <w:tcPr>
            <w:tcW w:w="1765" w:type="dxa"/>
            <w:noWrap w:val="0"/>
            <w:vAlign w:val="center"/>
          </w:tcPr>
          <w:p w14:paraId="490BDC07">
            <w:pPr>
              <w:adjustRightInd w:val="0"/>
              <w:snapToGrid w:val="0"/>
              <w:jc w:val="center"/>
              <w:rPr>
                <w:szCs w:val="21"/>
              </w:rPr>
            </w:pPr>
            <w:r>
              <w:rPr>
                <w:szCs w:val="21"/>
              </w:rPr>
              <w:t>备用样品数量</w:t>
            </w:r>
          </w:p>
        </w:tc>
      </w:tr>
      <w:tr w14:paraId="7BED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55" w:type="dxa"/>
            <w:vMerge w:val="restart"/>
            <w:noWrap w:val="0"/>
            <w:vAlign w:val="center"/>
          </w:tcPr>
          <w:p w14:paraId="63AFEBB5">
            <w:pPr>
              <w:adjustRightInd w:val="0"/>
              <w:snapToGrid w:val="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p>
        </w:tc>
        <w:tc>
          <w:tcPr>
            <w:tcW w:w="787" w:type="dxa"/>
            <w:vMerge w:val="restart"/>
            <w:noWrap w:val="0"/>
            <w:vAlign w:val="center"/>
          </w:tcPr>
          <w:p w14:paraId="6F1C778C">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胶黏剂</w:t>
            </w:r>
          </w:p>
        </w:tc>
        <w:tc>
          <w:tcPr>
            <w:tcW w:w="1534" w:type="dxa"/>
            <w:noWrap w:val="0"/>
            <w:vAlign w:val="center"/>
          </w:tcPr>
          <w:p w14:paraId="0684FA6F">
            <w:pPr>
              <w:adjustRightInd w:val="0"/>
              <w:snapToGrid w:val="0"/>
              <w:jc w:val="center"/>
              <w:rPr>
                <w:rFonts w:hint="eastAsia" w:ascii="宋体" w:hAnsi="宋体" w:eastAsia="宋体" w:cs="宋体"/>
                <w:szCs w:val="21"/>
                <w:highlight w:val="none"/>
              </w:rPr>
            </w:pPr>
            <w:bookmarkStart w:id="2" w:name="_Hlk101878026"/>
            <w:r>
              <w:rPr>
                <w:rFonts w:hint="eastAsia" w:ascii="宋体" w:hAnsi="宋体" w:eastAsia="宋体" w:cs="宋体"/>
                <w:szCs w:val="21"/>
                <w:highlight w:val="none"/>
              </w:rPr>
              <w:t>液体胶</w:t>
            </w:r>
            <w:bookmarkEnd w:id="2"/>
          </w:p>
        </w:tc>
        <w:tc>
          <w:tcPr>
            <w:tcW w:w="1765" w:type="dxa"/>
            <w:noWrap w:val="0"/>
            <w:vAlign w:val="center"/>
          </w:tcPr>
          <w:p w14:paraId="2F2874AE">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360mL</w:t>
            </w:r>
          </w:p>
        </w:tc>
        <w:tc>
          <w:tcPr>
            <w:tcW w:w="1832" w:type="dxa"/>
            <w:noWrap w:val="0"/>
            <w:vAlign w:val="center"/>
          </w:tcPr>
          <w:p w14:paraId="4F77F70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240mL</w:t>
            </w:r>
          </w:p>
        </w:tc>
        <w:tc>
          <w:tcPr>
            <w:tcW w:w="1765" w:type="dxa"/>
            <w:noWrap w:val="0"/>
            <w:vAlign w:val="center"/>
          </w:tcPr>
          <w:p w14:paraId="7906A0CB">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120mL</w:t>
            </w:r>
          </w:p>
        </w:tc>
      </w:tr>
      <w:tr w14:paraId="7210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55" w:type="dxa"/>
            <w:vMerge w:val="continue"/>
            <w:noWrap w:val="0"/>
            <w:vAlign w:val="center"/>
          </w:tcPr>
          <w:p w14:paraId="4287C51E">
            <w:pPr>
              <w:adjustRightInd w:val="0"/>
              <w:snapToGrid w:val="0"/>
              <w:jc w:val="center"/>
              <w:rPr>
                <w:rFonts w:hint="eastAsia" w:ascii="宋体" w:hAnsi="宋体" w:eastAsia="宋体" w:cs="宋体"/>
                <w:szCs w:val="21"/>
                <w:highlight w:val="none"/>
              </w:rPr>
            </w:pPr>
          </w:p>
        </w:tc>
        <w:tc>
          <w:tcPr>
            <w:tcW w:w="787" w:type="dxa"/>
            <w:vMerge w:val="continue"/>
            <w:noWrap w:val="0"/>
            <w:vAlign w:val="center"/>
          </w:tcPr>
          <w:p w14:paraId="690EA47B">
            <w:pPr>
              <w:adjustRightInd w:val="0"/>
              <w:snapToGrid w:val="0"/>
              <w:jc w:val="center"/>
              <w:rPr>
                <w:rFonts w:hint="eastAsia" w:ascii="宋体" w:hAnsi="宋体" w:eastAsia="宋体" w:cs="宋体"/>
                <w:szCs w:val="21"/>
                <w:highlight w:val="none"/>
              </w:rPr>
            </w:pPr>
          </w:p>
        </w:tc>
        <w:tc>
          <w:tcPr>
            <w:tcW w:w="1534" w:type="dxa"/>
            <w:noWrap w:val="0"/>
            <w:vAlign w:val="center"/>
          </w:tcPr>
          <w:p w14:paraId="282CA35A">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固体胶</w:t>
            </w:r>
          </w:p>
        </w:tc>
        <w:tc>
          <w:tcPr>
            <w:tcW w:w="1765" w:type="dxa"/>
            <w:noWrap w:val="0"/>
            <w:vAlign w:val="center"/>
          </w:tcPr>
          <w:p w14:paraId="096E993B">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120g</w:t>
            </w:r>
          </w:p>
        </w:tc>
        <w:tc>
          <w:tcPr>
            <w:tcW w:w="1832" w:type="dxa"/>
            <w:noWrap w:val="0"/>
            <w:vAlign w:val="center"/>
          </w:tcPr>
          <w:p w14:paraId="623CBB00">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80g</w:t>
            </w:r>
          </w:p>
        </w:tc>
        <w:tc>
          <w:tcPr>
            <w:tcW w:w="1765" w:type="dxa"/>
            <w:noWrap w:val="0"/>
            <w:vAlign w:val="center"/>
          </w:tcPr>
          <w:p w14:paraId="5C27208E">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40g</w:t>
            </w:r>
          </w:p>
        </w:tc>
      </w:tr>
      <w:tr w14:paraId="41EA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55" w:type="dxa"/>
            <w:vMerge w:val="continue"/>
            <w:noWrap w:val="0"/>
            <w:vAlign w:val="center"/>
          </w:tcPr>
          <w:p w14:paraId="7A9B7244">
            <w:pPr>
              <w:adjustRightInd w:val="0"/>
              <w:snapToGrid w:val="0"/>
              <w:jc w:val="center"/>
              <w:rPr>
                <w:rFonts w:hint="eastAsia" w:ascii="宋体" w:hAnsi="宋体" w:eastAsia="宋体" w:cs="宋体"/>
                <w:szCs w:val="21"/>
                <w:highlight w:val="none"/>
              </w:rPr>
            </w:pPr>
          </w:p>
        </w:tc>
        <w:tc>
          <w:tcPr>
            <w:tcW w:w="787" w:type="dxa"/>
            <w:vMerge w:val="continue"/>
            <w:noWrap w:val="0"/>
            <w:vAlign w:val="center"/>
          </w:tcPr>
          <w:p w14:paraId="3818223E">
            <w:pPr>
              <w:adjustRightInd w:val="0"/>
              <w:snapToGrid w:val="0"/>
              <w:jc w:val="center"/>
              <w:rPr>
                <w:rFonts w:hint="eastAsia" w:ascii="宋体" w:hAnsi="宋体" w:eastAsia="宋体" w:cs="宋体"/>
                <w:szCs w:val="21"/>
                <w:highlight w:val="none"/>
              </w:rPr>
            </w:pPr>
          </w:p>
        </w:tc>
        <w:tc>
          <w:tcPr>
            <w:tcW w:w="1534" w:type="dxa"/>
            <w:noWrap w:val="0"/>
            <w:vAlign w:val="center"/>
          </w:tcPr>
          <w:p w14:paraId="2E284675">
            <w:pPr>
              <w:adjustRightInd w:val="0"/>
              <w:snapToGrid w:val="0"/>
              <w:jc w:val="center"/>
              <w:rPr>
                <w:rFonts w:hint="eastAsia" w:ascii="宋体" w:hAnsi="宋体" w:eastAsia="宋体" w:cs="宋体"/>
                <w:szCs w:val="21"/>
                <w:highlight w:val="none"/>
              </w:rPr>
            </w:pPr>
            <w:bookmarkStart w:id="3" w:name="_Hlk101878034"/>
            <w:r>
              <w:rPr>
                <w:rFonts w:hint="eastAsia" w:ascii="宋体" w:hAnsi="宋体" w:eastAsia="宋体" w:cs="宋体"/>
                <w:szCs w:val="21"/>
                <w:highlight w:val="none"/>
              </w:rPr>
              <w:t>浆糊</w:t>
            </w:r>
            <w:bookmarkEnd w:id="3"/>
          </w:p>
        </w:tc>
        <w:tc>
          <w:tcPr>
            <w:tcW w:w="1765" w:type="dxa"/>
            <w:noWrap w:val="0"/>
            <w:vAlign w:val="center"/>
          </w:tcPr>
          <w:p w14:paraId="0E9228B3">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400mL/460g</w:t>
            </w:r>
          </w:p>
        </w:tc>
        <w:tc>
          <w:tcPr>
            <w:tcW w:w="1832" w:type="dxa"/>
            <w:noWrap w:val="0"/>
            <w:vAlign w:val="center"/>
          </w:tcPr>
          <w:p w14:paraId="19691E8F">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260mL/300g</w:t>
            </w:r>
          </w:p>
        </w:tc>
        <w:tc>
          <w:tcPr>
            <w:tcW w:w="1765" w:type="dxa"/>
            <w:noWrap w:val="0"/>
            <w:vAlign w:val="center"/>
          </w:tcPr>
          <w:p w14:paraId="088B9795">
            <w:pPr>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140mL/160g</w:t>
            </w:r>
          </w:p>
        </w:tc>
      </w:tr>
      <w:tr w14:paraId="0108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338" w:type="dxa"/>
            <w:gridSpan w:val="6"/>
            <w:noWrap w:val="0"/>
            <w:vAlign w:val="center"/>
          </w:tcPr>
          <w:p w14:paraId="320EB435">
            <w:pPr>
              <w:adjustRightInd w:val="0"/>
              <w:snapToGrid w:val="0"/>
              <w:jc w:val="left"/>
              <w:rPr>
                <w:szCs w:val="21"/>
              </w:rPr>
            </w:pPr>
            <w:r>
              <w:rPr>
                <w:szCs w:val="21"/>
              </w:rPr>
              <w:t>注：抽样时以最小独立包装为抽样单元，样品数满足上述抽样数量。</w:t>
            </w:r>
          </w:p>
        </w:tc>
      </w:tr>
    </w:tbl>
    <w:p w14:paraId="78879043">
      <w:pPr>
        <w:spacing w:line="360" w:lineRule="auto"/>
        <w:ind w:firstLine="420" w:firstLineChars="200"/>
        <w:rPr>
          <w:rFonts w:hint="eastAsia" w:ascii="宋体" w:hAnsi="宋体" w:cs="宋体"/>
          <w:szCs w:val="21"/>
        </w:rPr>
      </w:pPr>
    </w:p>
    <w:p w14:paraId="25DDABE1">
      <w:pPr>
        <w:spacing w:line="360" w:lineRule="auto"/>
        <w:ind w:firstLine="420" w:firstLineChars="200"/>
        <w:rPr>
          <w:rFonts w:ascii="宋体" w:hAnsi="宋体" w:cs="宋体"/>
          <w:szCs w:val="21"/>
        </w:rPr>
      </w:pPr>
      <w:r>
        <w:rPr>
          <w:rFonts w:hint="eastAsia" w:ascii="宋体" w:hAnsi="宋体" w:cs="宋体"/>
          <w:szCs w:val="21"/>
        </w:rPr>
        <w:t>（3）检验样品获取方式：付费购买。保留发票、店铺名称、价格截图等重要信息凭证。</w:t>
      </w:r>
    </w:p>
    <w:p w14:paraId="4417906F">
      <w:pPr>
        <w:spacing w:line="360" w:lineRule="auto"/>
        <w:ind w:firstLine="420" w:firstLineChars="200"/>
        <w:rPr>
          <w:rFonts w:ascii="宋体" w:hAnsi="宋体" w:cs="宋体"/>
          <w:szCs w:val="21"/>
        </w:rPr>
      </w:pPr>
      <w:r>
        <w:rPr>
          <w:rFonts w:hint="eastAsia" w:ascii="宋体" w:hAnsi="宋体" w:cs="宋体"/>
          <w:szCs w:val="21"/>
        </w:rPr>
        <w:t>（4）样品运输：对于易碎品、危险化学品等对运输、贮存过程有特殊要求的样品，应当写明采取具体的有效措施，保证样品的运输、贮存过程符合国家有关规定或相关标准要求，不发生影响检验结论的变化。</w:t>
      </w:r>
    </w:p>
    <w:p w14:paraId="570CC6EB">
      <w:pPr>
        <w:spacing w:line="360" w:lineRule="auto"/>
        <w:ind w:firstLine="210" w:firstLineChars="100"/>
      </w:pPr>
      <w:r>
        <w:rPr>
          <w:rFonts w:hint="eastAsia"/>
        </w:rPr>
        <w:t>6.2、风险监测项目和依据</w:t>
      </w:r>
    </w:p>
    <w:p w14:paraId="203801FC">
      <w:pPr>
        <w:spacing w:line="360" w:lineRule="auto"/>
        <w:jc w:val="center"/>
        <w:rPr>
          <w:rFonts w:ascii="宋体" w:hAnsi="宋体" w:cs="宋体"/>
          <w:szCs w:val="21"/>
        </w:rPr>
      </w:pPr>
      <w:r>
        <w:rPr>
          <w:rFonts w:hint="eastAsia" w:ascii="宋体" w:hAnsi="宋体" w:cs="宋体"/>
          <w:szCs w:val="21"/>
        </w:rPr>
        <w:t>表</w:t>
      </w:r>
      <w:r>
        <w:rPr>
          <w:rFonts w:hint="eastAsia" w:ascii="宋体" w:hAnsi="宋体" w:cs="宋体"/>
          <w:szCs w:val="21"/>
          <w:lang w:val="en-US" w:eastAsia="zh-CN"/>
        </w:rPr>
        <w:t>2</w:t>
      </w:r>
      <w:r>
        <w:rPr>
          <w:rFonts w:hint="eastAsia" w:ascii="宋体" w:hAnsi="宋体" w:cs="宋体"/>
          <w:szCs w:val="21"/>
        </w:rPr>
        <w:t xml:space="preserve">   检验项目</w:t>
      </w:r>
    </w:p>
    <w:tbl>
      <w:tblPr>
        <w:tblStyle w:val="10"/>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3119"/>
        <w:gridCol w:w="2560"/>
        <w:gridCol w:w="1976"/>
      </w:tblGrid>
      <w:tr w14:paraId="39B4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68" w:type="dxa"/>
            <w:vAlign w:val="center"/>
          </w:tcPr>
          <w:p w14:paraId="1FB0E782">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序号</w:t>
            </w:r>
          </w:p>
        </w:tc>
        <w:tc>
          <w:tcPr>
            <w:tcW w:w="1417" w:type="dxa"/>
            <w:vAlign w:val="center"/>
          </w:tcPr>
          <w:p w14:paraId="60AE1A3A">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产品名称</w:t>
            </w:r>
          </w:p>
        </w:tc>
        <w:tc>
          <w:tcPr>
            <w:tcW w:w="3119" w:type="dxa"/>
            <w:vAlign w:val="center"/>
          </w:tcPr>
          <w:p w14:paraId="1230FF29">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检验项目</w:t>
            </w:r>
          </w:p>
        </w:tc>
        <w:tc>
          <w:tcPr>
            <w:tcW w:w="2560" w:type="dxa"/>
            <w:vAlign w:val="center"/>
          </w:tcPr>
          <w:p w14:paraId="7CB9846F">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指标要求</w:t>
            </w:r>
          </w:p>
        </w:tc>
        <w:tc>
          <w:tcPr>
            <w:tcW w:w="1976" w:type="dxa"/>
            <w:vAlign w:val="center"/>
          </w:tcPr>
          <w:p w14:paraId="741A8D88">
            <w:pPr>
              <w:jc w:val="center"/>
              <w:rPr>
                <w:rFonts w:ascii="宋体" w:hAnsi="宋体" w:cs="宋体"/>
                <w:color w:val="191919"/>
                <w:szCs w:val="21"/>
                <w:shd w:val="clear" w:color="auto" w:fill="FFFFFF"/>
              </w:rPr>
            </w:pPr>
            <w:r>
              <w:rPr>
                <w:rFonts w:hint="eastAsia" w:ascii="宋体" w:hAnsi="宋体" w:cs="宋体"/>
                <w:color w:val="191919"/>
                <w:szCs w:val="21"/>
                <w:shd w:val="clear" w:color="auto" w:fill="FFFFFF"/>
              </w:rPr>
              <w:t>检验依据</w:t>
            </w:r>
          </w:p>
        </w:tc>
      </w:tr>
      <w:tr w14:paraId="7544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07517460">
            <w:pPr>
              <w:jc w:val="center"/>
              <w:rPr>
                <w:rFonts w:hint="eastAsia" w:ascii="宋体" w:hAnsi="宋体" w:eastAsia="宋体" w:cs="宋体"/>
                <w:color w:val="191919"/>
                <w:szCs w:val="21"/>
                <w:shd w:val="clear" w:color="auto" w:fill="FFFFFF"/>
                <w:lang w:val="en-US" w:eastAsia="zh-CN"/>
              </w:rPr>
            </w:pPr>
            <w:bookmarkStart w:id="4" w:name="_Hlk105632181"/>
            <w:r>
              <w:rPr>
                <w:rFonts w:hint="eastAsia" w:ascii="宋体" w:hAnsi="宋体" w:cs="宋体"/>
                <w:color w:val="191919"/>
                <w:szCs w:val="21"/>
                <w:shd w:val="clear" w:color="auto" w:fill="FFFFFF"/>
                <w:lang w:val="en-US" w:eastAsia="zh-CN"/>
              </w:rPr>
              <w:t>1</w:t>
            </w:r>
          </w:p>
        </w:tc>
        <w:tc>
          <w:tcPr>
            <w:tcW w:w="1417" w:type="dxa"/>
            <w:vMerge w:val="restart"/>
            <w:vAlign w:val="center"/>
          </w:tcPr>
          <w:p w14:paraId="5AEA2EA9">
            <w:pPr>
              <w:jc w:val="left"/>
              <w:rPr>
                <w:rFonts w:ascii="宋体" w:hAnsi="宋体" w:cs="宋体"/>
                <w:color w:val="191919"/>
                <w:szCs w:val="21"/>
                <w:shd w:val="clear" w:color="auto" w:fill="FFFFFF"/>
              </w:rPr>
            </w:pPr>
            <w:r>
              <w:rPr>
                <w:rFonts w:hint="eastAsia" w:ascii="宋体" w:hAnsi="宋体" w:cs="宋体"/>
                <w:lang w:val="en-US" w:eastAsia="zh-CN"/>
              </w:rPr>
              <w:t>液体胶、固体胶、浆糊</w:t>
            </w:r>
          </w:p>
        </w:tc>
        <w:tc>
          <w:tcPr>
            <w:tcW w:w="3119" w:type="dxa"/>
            <w:vAlign w:val="center"/>
          </w:tcPr>
          <w:p w14:paraId="650CF48A">
            <w:pPr>
              <w:jc w:val="center"/>
              <w:rPr>
                <w:rFonts w:ascii="宋体" w:hAnsi="宋体" w:cs="宋体"/>
                <w:color w:val="191919"/>
                <w:szCs w:val="21"/>
                <w:shd w:val="clear" w:color="auto" w:fill="FFFFFF"/>
              </w:rPr>
            </w:pPr>
            <w:r>
              <w:rPr>
                <w:rFonts w:hint="eastAsia" w:ascii="Times New Roman" w:hAnsi="Times New Roman" w:eastAsia="宋体" w:cs="Times New Roman"/>
                <w:szCs w:val="21"/>
              </w:rPr>
              <w:t>游离甲醛</w:t>
            </w:r>
          </w:p>
        </w:tc>
        <w:tc>
          <w:tcPr>
            <w:tcW w:w="2560" w:type="dxa"/>
            <w:vAlign w:val="center"/>
          </w:tcPr>
          <w:p w14:paraId="3D0E4898">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GB 21027-2020</w:t>
            </w:r>
          </w:p>
        </w:tc>
        <w:tc>
          <w:tcPr>
            <w:tcW w:w="1976" w:type="dxa"/>
            <w:vAlign w:val="center"/>
          </w:tcPr>
          <w:p w14:paraId="6803CFB9">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GB/T 32606-2016</w:t>
            </w:r>
          </w:p>
        </w:tc>
      </w:tr>
      <w:tr w14:paraId="6216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8" w:type="dxa"/>
            <w:vAlign w:val="center"/>
          </w:tcPr>
          <w:p w14:paraId="68152B51">
            <w:pPr>
              <w:jc w:val="center"/>
              <w:rPr>
                <w:rFonts w:hint="eastAsia"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2</w:t>
            </w:r>
          </w:p>
        </w:tc>
        <w:tc>
          <w:tcPr>
            <w:tcW w:w="1417" w:type="dxa"/>
            <w:vMerge w:val="continue"/>
            <w:vAlign w:val="center"/>
          </w:tcPr>
          <w:p w14:paraId="2D90D3B3">
            <w:pPr>
              <w:jc w:val="left"/>
              <w:rPr>
                <w:rFonts w:ascii="宋体" w:hAnsi="宋体" w:cs="宋体"/>
                <w:color w:val="191919"/>
                <w:szCs w:val="21"/>
                <w:shd w:val="clear" w:color="auto" w:fill="FFFFFF"/>
              </w:rPr>
            </w:pPr>
          </w:p>
        </w:tc>
        <w:tc>
          <w:tcPr>
            <w:tcW w:w="3119" w:type="dxa"/>
            <w:vAlign w:val="center"/>
          </w:tcPr>
          <w:p w14:paraId="6C8E905D">
            <w:pPr>
              <w:jc w:val="center"/>
              <w:rPr>
                <w:szCs w:val="21"/>
              </w:rPr>
            </w:pPr>
            <w:r>
              <w:rPr>
                <w:rFonts w:hint="eastAsia" w:ascii="Times New Roman" w:hAnsi="Times New Roman" w:eastAsia="宋体" w:cs="Times New Roman"/>
                <w:szCs w:val="21"/>
              </w:rPr>
              <w:t>可触及的塑料件中邻苯二甲酸酯增塑剂的限量</w:t>
            </w:r>
          </w:p>
        </w:tc>
        <w:tc>
          <w:tcPr>
            <w:tcW w:w="2560" w:type="dxa"/>
            <w:vAlign w:val="center"/>
          </w:tcPr>
          <w:p w14:paraId="6E178FB9">
            <w:pPr>
              <w:jc w:val="center"/>
              <w:rPr>
                <w:rFonts w:ascii="宋体" w:hAnsi="宋体" w:cs="宋体"/>
                <w:color w:val="191919"/>
                <w:szCs w:val="21"/>
                <w:shd w:val="clear" w:color="auto" w:fill="FFFFFF"/>
              </w:rPr>
            </w:pPr>
            <w:r>
              <w:rPr>
                <w:rFonts w:hint="eastAsia" w:ascii="Times New Roman" w:hAnsi="Times New Roman" w:eastAsia="宋体" w:cs="Times New Roman"/>
                <w:szCs w:val="21"/>
                <w:lang w:val="en-US" w:eastAsia="zh-CN"/>
              </w:rPr>
              <w:t>GB 21027-2020</w:t>
            </w:r>
          </w:p>
        </w:tc>
        <w:tc>
          <w:tcPr>
            <w:tcW w:w="1976" w:type="dxa"/>
            <w:vAlign w:val="center"/>
          </w:tcPr>
          <w:p w14:paraId="38627C36">
            <w:pPr>
              <w:jc w:val="center"/>
              <w:rPr>
                <w:rFonts w:ascii="宋体" w:hAnsi="宋体" w:cs="宋体"/>
                <w:color w:val="191919"/>
                <w:szCs w:val="21"/>
                <w:shd w:val="clear" w:color="auto" w:fill="FFFFFF"/>
              </w:rPr>
            </w:pPr>
            <w:r>
              <w:rPr>
                <w:rFonts w:hint="eastAsia" w:ascii="Times New Roman" w:hAnsi="Times New Roman" w:eastAsia="宋体" w:cs="Times New Roman"/>
                <w:szCs w:val="21"/>
                <w:lang w:val="en-US" w:eastAsia="zh-CN"/>
              </w:rPr>
              <w:t>GB/T 22048-2022</w:t>
            </w:r>
          </w:p>
        </w:tc>
      </w:tr>
      <w:tr w14:paraId="4981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68" w:type="dxa"/>
            <w:vAlign w:val="center"/>
          </w:tcPr>
          <w:p w14:paraId="3F516F5F">
            <w:pPr>
              <w:jc w:val="center"/>
              <w:rPr>
                <w:rFonts w:hint="default" w:ascii="宋体" w:hAnsi="宋体" w:eastAsia="宋体" w:cs="宋体"/>
                <w:color w:val="191919"/>
                <w:szCs w:val="21"/>
                <w:shd w:val="clear" w:color="auto" w:fill="FFFFFF"/>
                <w:lang w:val="en-US" w:eastAsia="zh-CN"/>
              </w:rPr>
            </w:pPr>
            <w:r>
              <w:rPr>
                <w:rFonts w:hint="eastAsia" w:ascii="宋体" w:hAnsi="宋体" w:cs="宋体"/>
                <w:color w:val="191919"/>
                <w:szCs w:val="21"/>
                <w:shd w:val="clear" w:color="auto" w:fill="FFFFFF"/>
                <w:lang w:val="en-US" w:eastAsia="zh-CN"/>
              </w:rPr>
              <w:t>3</w:t>
            </w:r>
          </w:p>
        </w:tc>
        <w:tc>
          <w:tcPr>
            <w:tcW w:w="1417" w:type="dxa"/>
            <w:vMerge w:val="continue"/>
            <w:vAlign w:val="center"/>
          </w:tcPr>
          <w:p w14:paraId="322A61B6">
            <w:pPr>
              <w:jc w:val="left"/>
              <w:rPr>
                <w:rFonts w:ascii="宋体" w:hAnsi="宋体" w:cs="宋体"/>
                <w:color w:val="191919"/>
                <w:szCs w:val="21"/>
                <w:shd w:val="clear" w:color="auto" w:fill="FFFFFF"/>
              </w:rPr>
            </w:pPr>
          </w:p>
        </w:tc>
        <w:tc>
          <w:tcPr>
            <w:tcW w:w="3119" w:type="dxa"/>
            <w:vAlign w:val="center"/>
          </w:tcPr>
          <w:p w14:paraId="66CA3135">
            <w:pPr>
              <w:jc w:val="center"/>
              <w:rPr>
                <w:rFonts w:ascii="宋体" w:hAnsi="宋体" w:cs="宋体"/>
                <w:color w:val="191919"/>
                <w:szCs w:val="21"/>
                <w:shd w:val="clear" w:color="auto" w:fill="FFFFFF"/>
              </w:rPr>
            </w:pPr>
            <w:r>
              <w:rPr>
                <w:rFonts w:hint="eastAsia" w:ascii="Times New Roman" w:hAnsi="Times New Roman" w:eastAsia="宋体" w:cs="Times New Roman"/>
                <w:szCs w:val="21"/>
              </w:rPr>
              <w:t>特定元素的迁移</w:t>
            </w:r>
          </w:p>
        </w:tc>
        <w:tc>
          <w:tcPr>
            <w:tcW w:w="2560" w:type="dxa"/>
            <w:vAlign w:val="center"/>
          </w:tcPr>
          <w:p w14:paraId="750085B0">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EN 71-3:2019+A1:2021</w:t>
            </w:r>
          </w:p>
        </w:tc>
        <w:tc>
          <w:tcPr>
            <w:tcW w:w="1976" w:type="dxa"/>
            <w:vAlign w:val="center"/>
          </w:tcPr>
          <w:p w14:paraId="3015A5AD">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EN 71-3:2019+A1:2021</w:t>
            </w:r>
          </w:p>
        </w:tc>
      </w:tr>
      <w:bookmarkEnd w:id="4"/>
    </w:tbl>
    <w:p w14:paraId="1B307997">
      <w:pPr>
        <w:spacing w:line="360" w:lineRule="auto"/>
        <w:ind w:firstLine="210" w:firstLineChars="100"/>
      </w:pPr>
      <w:bookmarkStart w:id="5" w:name="_Toc12509"/>
      <w:r>
        <w:rPr>
          <w:rFonts w:hint="eastAsia"/>
        </w:rPr>
        <w:t>6.3、数据及分析方法</w:t>
      </w:r>
      <w:bookmarkEnd w:id="5"/>
    </w:p>
    <w:p w14:paraId="2DB555FF">
      <w:pPr>
        <w:spacing w:line="360" w:lineRule="auto"/>
        <w:ind w:firstLine="420" w:firstLineChars="200"/>
        <w:rPr>
          <w:rFonts w:ascii="宋体" w:hAnsi="宋体" w:cs="宋体"/>
          <w:color w:val="191919"/>
          <w:szCs w:val="21"/>
          <w:shd w:val="clear" w:color="auto" w:fill="FFFFFF"/>
        </w:rPr>
      </w:pPr>
      <w:r>
        <w:rPr>
          <w:rFonts w:hint="eastAsia" w:ascii="宋体" w:hAnsi="宋体" w:cs="宋体"/>
          <w:szCs w:val="21"/>
        </w:rPr>
        <w:t>实验室将分别根据产品种类、抽样平台（线上/线下）、材质类型进行分类，利用表格法、图形法、比较法等数学方法分析</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产品游离甲醛、可触及的塑料件中邻苯二甲酸酯增塑剂的限量、特定元素的迁移</w:t>
      </w:r>
      <w:r>
        <w:rPr>
          <w:rFonts w:hint="eastAsia" w:ascii="宋体" w:hAnsi="宋体" w:cs="宋体"/>
          <w:color w:val="191919"/>
          <w:szCs w:val="21"/>
          <w:shd w:val="clear" w:color="auto" w:fill="FFFFFF"/>
        </w:rPr>
        <w:t>项目</w:t>
      </w:r>
      <w:r>
        <w:rPr>
          <w:rFonts w:hint="eastAsia" w:ascii="宋体" w:hAnsi="宋体" w:cs="宋体"/>
          <w:szCs w:val="21"/>
        </w:rPr>
        <w:t>的数据。</w:t>
      </w:r>
    </w:p>
    <w:p w14:paraId="20B0DDB2">
      <w:pPr>
        <w:spacing w:line="360" w:lineRule="auto"/>
        <w:ind w:firstLine="420" w:firstLineChars="200"/>
        <w:rPr>
          <w:rFonts w:ascii="宋体" w:hAnsi="宋体" w:cs="宋体"/>
          <w:szCs w:val="21"/>
        </w:rPr>
      </w:pPr>
      <w:r>
        <w:rPr>
          <w:rFonts w:hint="eastAsia" w:ascii="宋体" w:hAnsi="宋体" w:cs="宋体"/>
          <w:szCs w:val="21"/>
        </w:rPr>
        <w:t>质量控制图的基本图形的组成如下图，图的中心线表示预期值；上、下警告限之间的区域为目标值；上、下控制限之间的区域为实测值的可接受范围；在中心线两侧与上、下警告限之间各一半处有上、下辅助线。</w:t>
      </w:r>
    </w:p>
    <w:p w14:paraId="3C35C922">
      <w:pPr>
        <w:rPr>
          <w:rFonts w:ascii="宋体" w:hAnsi="宋体" w:cs="宋体"/>
          <w:szCs w:val="21"/>
        </w:rPr>
      </w:pPr>
      <w:r>
        <w:rPr>
          <w:rFonts w:hint="eastAsia" w:ascii="宋体" w:hAnsi="宋体" w:cs="宋体"/>
          <w:szCs w:val="21"/>
        </w:rPr>
        <w:drawing>
          <wp:inline distT="0" distB="0" distL="0" distR="0">
            <wp:extent cx="4800600" cy="2413000"/>
            <wp:effectExtent l="0" t="0" r="0" b="6350"/>
            <wp:docPr id="5535007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500785"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00600" cy="2413000"/>
                    </a:xfrm>
                    <a:prstGeom prst="rect">
                      <a:avLst/>
                    </a:prstGeom>
                    <a:noFill/>
                    <a:ln>
                      <a:noFill/>
                    </a:ln>
                  </pic:spPr>
                </pic:pic>
              </a:graphicData>
            </a:graphic>
          </wp:inline>
        </w:drawing>
      </w:r>
    </w:p>
    <w:p w14:paraId="76720486">
      <w:pPr>
        <w:rPr>
          <w:rFonts w:ascii="宋体" w:hAnsi="宋体" w:cs="宋体"/>
          <w:szCs w:val="21"/>
        </w:rPr>
      </w:pPr>
    </w:p>
    <w:p w14:paraId="0F248D75">
      <w:pPr>
        <w:spacing w:line="360" w:lineRule="auto"/>
        <w:ind w:firstLine="420" w:firstLineChars="200"/>
        <w:rPr>
          <w:rFonts w:ascii="宋体" w:hAnsi="宋体" w:cs="宋体"/>
          <w:szCs w:val="21"/>
        </w:rPr>
      </w:pPr>
      <w:r>
        <w:rPr>
          <w:rFonts w:hint="eastAsia" w:ascii="宋体" w:hAnsi="宋体" w:cs="宋体"/>
          <w:szCs w:val="21"/>
        </w:rPr>
        <w:t>质量控制图选用标准物质或质量可靠的标准溶液，积累的数据应尽可能多地覆盖不同条件下的数据变化情况，按要求完成数据积累时，可根据相应图的需要，计算各项统计量的参数值，按测定顺序将相应的各统计量值在图上植点，用直线连接各点，即成所需的质量控制原始图。绘制完成后，标注有关内容，如测定项目、质量控制样品的浓度、分析方法实验的起迄日期、分析人员及绘制日期等。</w:t>
      </w:r>
    </w:p>
    <w:p w14:paraId="08536FE3">
      <w:pPr>
        <w:spacing w:line="360" w:lineRule="auto"/>
        <w:ind w:firstLine="210" w:firstLineChars="100"/>
        <w:rPr>
          <w:rFonts w:hint="eastAsia" w:eastAsia="宋体"/>
          <w:lang w:eastAsia="zh-CN"/>
        </w:rPr>
      </w:pPr>
      <w:bookmarkStart w:id="6" w:name="_Toc17642"/>
      <w:r>
        <w:rPr>
          <w:rFonts w:hint="eastAsia"/>
        </w:rPr>
        <w:t>6.4、风险评估</w:t>
      </w:r>
      <w:bookmarkEnd w:id="6"/>
      <w:r>
        <w:rPr>
          <w:rFonts w:hint="eastAsia" w:ascii="宋体" w:hAnsi="宋体" w:cs="宋体"/>
          <w:szCs w:val="21"/>
          <w:lang w:val="en-US" w:eastAsia="zh-CN"/>
        </w:rPr>
        <w:t>学生文具（</w:t>
      </w:r>
      <w:r>
        <w:rPr>
          <w:rFonts w:hint="eastAsia" w:ascii="宋体" w:hAnsi="宋体" w:cs="宋体"/>
          <w:lang w:val="en-US" w:eastAsia="zh-CN"/>
        </w:rPr>
        <w:t>液体胶、固体胶、浆糊）</w:t>
      </w:r>
    </w:p>
    <w:p w14:paraId="03F81BA7">
      <w:pPr>
        <w:spacing w:line="360" w:lineRule="auto"/>
        <w:ind w:firstLine="420" w:firstLineChars="200"/>
        <w:rPr>
          <w:rFonts w:ascii="宋体" w:hAnsi="宋体" w:cs="宋体"/>
          <w:szCs w:val="21"/>
        </w:rPr>
      </w:pPr>
      <w:r>
        <w:rPr>
          <w:rFonts w:hint="eastAsia" w:ascii="宋体" w:hAnsi="宋体" w:cs="宋体"/>
          <w:szCs w:val="21"/>
        </w:rPr>
        <w:t>根据风险监测数据结果，依据相关国内外标准、国外监测数据的水平及危害级别、人体暴露试验等，结合</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的特点，模拟现实使用场景及可预见的其他情况，对检测项目进行分析。具体分析方法考虑使用矩阵法及其他相对比较适用的方法，参考GB/T22760-20</w:t>
      </w:r>
      <w:r>
        <w:rPr>
          <w:rFonts w:ascii="宋体" w:hAnsi="宋体" w:cs="宋体"/>
          <w:szCs w:val="21"/>
        </w:rPr>
        <w:t>20</w:t>
      </w:r>
      <w:r>
        <w:rPr>
          <w:rFonts w:hint="eastAsia" w:ascii="宋体" w:hAnsi="宋体" w:cs="宋体"/>
          <w:szCs w:val="21"/>
        </w:rPr>
        <w:t>《消费品安全 风险评估导则》的评估原则，综合专家研判结果，依据标准判断该类产品造成伤害的严重程度，伤害发生的可能性，划分风险等级。</w:t>
      </w:r>
    </w:p>
    <w:p w14:paraId="60499462">
      <w:pPr>
        <w:pStyle w:val="9"/>
        <w:spacing w:line="360" w:lineRule="auto"/>
        <w:ind w:left="0" w:leftChars="0" w:firstLine="0" w:firstLineChars="0"/>
        <w:jc w:val="center"/>
        <w:rPr>
          <w:sz w:val="21"/>
          <w:szCs w:val="21"/>
          <w:lang w:val="en-US"/>
        </w:rPr>
      </w:pPr>
      <w:r>
        <w:rPr>
          <w:rFonts w:hint="eastAsia"/>
          <w:sz w:val="21"/>
          <w:szCs w:val="21"/>
          <w:lang w:val="en-US"/>
        </w:rPr>
        <w:t>表</w:t>
      </w:r>
      <w:r>
        <w:rPr>
          <w:rFonts w:hint="eastAsia"/>
          <w:sz w:val="21"/>
          <w:szCs w:val="21"/>
          <w:lang w:val="en-US" w:eastAsia="zh-CN"/>
        </w:rPr>
        <w:t>3</w:t>
      </w:r>
      <w:r>
        <w:rPr>
          <w:rFonts w:hint="eastAsia"/>
          <w:sz w:val="21"/>
          <w:szCs w:val="21"/>
          <w:lang w:val="en-US"/>
        </w:rPr>
        <w:t xml:space="preserve"> 风险等级划分表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1620"/>
        <w:gridCol w:w="1620"/>
        <w:gridCol w:w="1620"/>
        <w:gridCol w:w="1621"/>
      </w:tblGrid>
      <w:tr w14:paraId="5EF7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restart"/>
            <w:shd w:val="clear" w:color="auto" w:fill="auto"/>
            <w:vAlign w:val="center"/>
          </w:tcPr>
          <w:p w14:paraId="01CE4EB8">
            <w:pPr>
              <w:pStyle w:val="9"/>
              <w:autoSpaceDE/>
              <w:autoSpaceDN/>
              <w:spacing w:after="0"/>
              <w:ind w:left="0" w:leftChars="0" w:firstLine="0" w:firstLineChars="0"/>
              <w:jc w:val="center"/>
              <w:rPr>
                <w:sz w:val="21"/>
                <w:szCs w:val="21"/>
                <w:lang w:val="en-US"/>
              </w:rPr>
            </w:pPr>
            <w:r>
              <w:rPr>
                <w:rFonts w:hint="eastAsia"/>
                <w:sz w:val="21"/>
                <w:szCs w:val="21"/>
                <w:lang w:val="en-US"/>
              </w:rPr>
              <w:t>伤害发生的可能性</w:t>
            </w:r>
          </w:p>
        </w:tc>
        <w:tc>
          <w:tcPr>
            <w:tcW w:w="6481" w:type="dxa"/>
            <w:gridSpan w:val="4"/>
            <w:shd w:val="clear" w:color="auto" w:fill="auto"/>
            <w:vAlign w:val="center"/>
          </w:tcPr>
          <w:p w14:paraId="62AE9786">
            <w:pPr>
              <w:pStyle w:val="9"/>
              <w:autoSpaceDE/>
              <w:autoSpaceDN/>
              <w:spacing w:after="0"/>
              <w:ind w:left="0" w:leftChars="0" w:firstLine="0" w:firstLineChars="0"/>
              <w:jc w:val="center"/>
              <w:rPr>
                <w:sz w:val="21"/>
                <w:szCs w:val="21"/>
                <w:lang w:val="en-US"/>
              </w:rPr>
            </w:pPr>
            <w:r>
              <w:rPr>
                <w:rFonts w:hint="eastAsia"/>
                <w:sz w:val="21"/>
                <w:szCs w:val="21"/>
                <w:lang w:val="en-US"/>
              </w:rPr>
              <w:t>伤害发生的严重程度</w:t>
            </w:r>
          </w:p>
        </w:tc>
      </w:tr>
      <w:tr w14:paraId="2E3A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Merge w:val="continue"/>
            <w:shd w:val="clear" w:color="auto" w:fill="auto"/>
            <w:vAlign w:val="center"/>
          </w:tcPr>
          <w:p w14:paraId="63E97141">
            <w:pPr>
              <w:pStyle w:val="9"/>
              <w:autoSpaceDE/>
              <w:autoSpaceDN/>
              <w:spacing w:after="0"/>
              <w:ind w:left="0" w:leftChars="0" w:firstLine="0" w:firstLineChars="0"/>
              <w:jc w:val="center"/>
              <w:rPr>
                <w:sz w:val="21"/>
                <w:szCs w:val="21"/>
              </w:rPr>
            </w:pPr>
          </w:p>
        </w:tc>
        <w:tc>
          <w:tcPr>
            <w:tcW w:w="1620" w:type="dxa"/>
            <w:shd w:val="clear" w:color="auto" w:fill="auto"/>
            <w:vAlign w:val="center"/>
          </w:tcPr>
          <w:p w14:paraId="0DAAC486">
            <w:pPr>
              <w:pStyle w:val="9"/>
              <w:autoSpaceDE/>
              <w:autoSpaceDN/>
              <w:spacing w:after="0"/>
              <w:ind w:left="0" w:leftChars="0" w:firstLine="0" w:firstLineChars="0"/>
              <w:jc w:val="center"/>
              <w:rPr>
                <w:sz w:val="21"/>
                <w:szCs w:val="21"/>
                <w:lang w:val="en-US"/>
              </w:rPr>
            </w:pPr>
            <w:r>
              <w:rPr>
                <w:rFonts w:hint="eastAsia"/>
                <w:sz w:val="21"/>
                <w:szCs w:val="21"/>
                <w:lang w:val="en-US"/>
              </w:rPr>
              <w:t>非常严重</w:t>
            </w:r>
          </w:p>
        </w:tc>
        <w:tc>
          <w:tcPr>
            <w:tcW w:w="1620" w:type="dxa"/>
            <w:shd w:val="clear" w:color="auto" w:fill="auto"/>
            <w:vAlign w:val="center"/>
          </w:tcPr>
          <w:p w14:paraId="6B421075">
            <w:pPr>
              <w:pStyle w:val="9"/>
              <w:autoSpaceDE/>
              <w:autoSpaceDN/>
              <w:spacing w:after="0"/>
              <w:ind w:left="0" w:leftChars="0" w:firstLine="0" w:firstLineChars="0"/>
              <w:jc w:val="center"/>
              <w:rPr>
                <w:sz w:val="21"/>
                <w:szCs w:val="21"/>
                <w:lang w:val="en-US"/>
              </w:rPr>
            </w:pPr>
            <w:r>
              <w:rPr>
                <w:rFonts w:hint="eastAsia"/>
                <w:sz w:val="21"/>
                <w:szCs w:val="21"/>
                <w:lang w:val="en-US"/>
              </w:rPr>
              <w:t>严重</w:t>
            </w:r>
          </w:p>
        </w:tc>
        <w:tc>
          <w:tcPr>
            <w:tcW w:w="1620" w:type="dxa"/>
            <w:shd w:val="clear" w:color="auto" w:fill="auto"/>
            <w:vAlign w:val="center"/>
          </w:tcPr>
          <w:p w14:paraId="607E5927">
            <w:pPr>
              <w:pStyle w:val="9"/>
              <w:autoSpaceDE/>
              <w:autoSpaceDN/>
              <w:spacing w:after="0"/>
              <w:ind w:left="0" w:leftChars="0" w:firstLine="0" w:firstLineChars="0"/>
              <w:jc w:val="center"/>
              <w:rPr>
                <w:sz w:val="21"/>
                <w:szCs w:val="21"/>
                <w:lang w:val="en-US"/>
              </w:rPr>
            </w:pPr>
            <w:r>
              <w:rPr>
                <w:rFonts w:hint="eastAsia"/>
                <w:sz w:val="21"/>
                <w:szCs w:val="21"/>
                <w:lang w:val="en-US"/>
              </w:rPr>
              <w:t>一般</w:t>
            </w:r>
          </w:p>
        </w:tc>
        <w:tc>
          <w:tcPr>
            <w:tcW w:w="1621" w:type="dxa"/>
            <w:shd w:val="clear" w:color="auto" w:fill="auto"/>
            <w:vAlign w:val="center"/>
          </w:tcPr>
          <w:p w14:paraId="6A2F28B9">
            <w:pPr>
              <w:pStyle w:val="9"/>
              <w:autoSpaceDE/>
              <w:autoSpaceDN/>
              <w:spacing w:after="0"/>
              <w:ind w:left="0" w:leftChars="0" w:firstLine="0" w:firstLineChars="0"/>
              <w:jc w:val="center"/>
              <w:rPr>
                <w:sz w:val="21"/>
                <w:szCs w:val="21"/>
                <w:lang w:val="en-US"/>
              </w:rPr>
            </w:pPr>
            <w:r>
              <w:rPr>
                <w:rFonts w:hint="eastAsia"/>
                <w:sz w:val="21"/>
                <w:szCs w:val="21"/>
                <w:lang w:val="en-US"/>
              </w:rPr>
              <w:t>微弱</w:t>
            </w:r>
          </w:p>
        </w:tc>
      </w:tr>
      <w:tr w14:paraId="5783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0931AA3F">
            <w:pPr>
              <w:pStyle w:val="9"/>
              <w:autoSpaceDE/>
              <w:autoSpaceDN/>
              <w:spacing w:after="0"/>
              <w:ind w:left="0" w:leftChars="0" w:firstLine="0" w:firstLineChars="0"/>
              <w:jc w:val="center"/>
              <w:rPr>
                <w:sz w:val="21"/>
                <w:szCs w:val="21"/>
                <w:lang w:val="en-US"/>
              </w:rPr>
            </w:pPr>
            <w:r>
              <w:rPr>
                <w:rFonts w:hint="eastAsia"/>
                <w:sz w:val="21"/>
                <w:szCs w:val="21"/>
                <w:lang w:val="en-US"/>
              </w:rPr>
              <w:t>I</w:t>
            </w:r>
          </w:p>
        </w:tc>
        <w:tc>
          <w:tcPr>
            <w:tcW w:w="1620" w:type="dxa"/>
            <w:shd w:val="clear" w:color="auto" w:fill="auto"/>
            <w:vAlign w:val="center"/>
          </w:tcPr>
          <w:p w14:paraId="515CE9E2">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74856960">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0" w:type="dxa"/>
            <w:shd w:val="clear" w:color="auto" w:fill="auto"/>
            <w:vAlign w:val="center"/>
          </w:tcPr>
          <w:p w14:paraId="3D2885C1">
            <w:pPr>
              <w:pStyle w:val="9"/>
              <w:autoSpaceDE/>
              <w:autoSpaceDN/>
              <w:spacing w:after="0"/>
              <w:ind w:left="0" w:leftChars="0" w:firstLine="0" w:firstLineChars="0"/>
              <w:jc w:val="center"/>
              <w:rPr>
                <w:sz w:val="21"/>
                <w:szCs w:val="21"/>
                <w:lang w:val="en-US"/>
              </w:rPr>
            </w:pPr>
            <w:r>
              <w:rPr>
                <w:rFonts w:hint="eastAsia"/>
                <w:sz w:val="21"/>
                <w:szCs w:val="21"/>
                <w:lang w:val="en-US"/>
              </w:rPr>
              <w:t>S</w:t>
            </w:r>
          </w:p>
        </w:tc>
        <w:tc>
          <w:tcPr>
            <w:tcW w:w="1621" w:type="dxa"/>
            <w:shd w:val="clear" w:color="auto" w:fill="auto"/>
            <w:vAlign w:val="center"/>
          </w:tcPr>
          <w:p w14:paraId="56A01CF2">
            <w:pPr>
              <w:pStyle w:val="9"/>
              <w:autoSpaceDE/>
              <w:autoSpaceDN/>
              <w:spacing w:after="0"/>
              <w:ind w:left="0" w:leftChars="0" w:firstLine="0" w:firstLineChars="0"/>
              <w:jc w:val="center"/>
              <w:rPr>
                <w:sz w:val="21"/>
                <w:szCs w:val="21"/>
                <w:lang w:val="en-US"/>
              </w:rPr>
            </w:pPr>
            <w:r>
              <w:rPr>
                <w:rFonts w:hint="eastAsia"/>
                <w:sz w:val="21"/>
                <w:szCs w:val="21"/>
                <w:lang w:val="en-US"/>
              </w:rPr>
              <w:t>M</w:t>
            </w:r>
          </w:p>
        </w:tc>
      </w:tr>
      <w:tr w14:paraId="4D53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485CDB4">
            <w:pPr>
              <w:pStyle w:val="9"/>
              <w:autoSpaceDE/>
              <w:autoSpaceDN/>
              <w:spacing w:after="0"/>
              <w:ind w:left="0" w:leftChars="0" w:firstLine="0" w:firstLineChars="0"/>
              <w:jc w:val="center"/>
              <w:rPr>
                <w:sz w:val="21"/>
                <w:szCs w:val="21"/>
                <w:lang w:val="en-US"/>
              </w:rPr>
            </w:pPr>
            <w:r>
              <w:rPr>
                <w:rFonts w:hint="eastAsia"/>
                <w:sz w:val="21"/>
                <w:szCs w:val="21"/>
                <w:lang w:val="en-US"/>
              </w:rPr>
              <w:t>II</w:t>
            </w:r>
          </w:p>
        </w:tc>
        <w:tc>
          <w:tcPr>
            <w:tcW w:w="1620" w:type="dxa"/>
            <w:shd w:val="clear" w:color="auto" w:fill="auto"/>
            <w:vAlign w:val="center"/>
          </w:tcPr>
          <w:p w14:paraId="7C315E95">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0D06856D">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4E394D7C">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075E724E">
            <w:pPr>
              <w:pStyle w:val="9"/>
              <w:autoSpaceDE/>
              <w:autoSpaceDN/>
              <w:spacing w:after="0"/>
              <w:ind w:left="0" w:leftChars="0" w:firstLine="0" w:firstLineChars="0"/>
              <w:jc w:val="center"/>
              <w:rPr>
                <w:sz w:val="21"/>
                <w:szCs w:val="21"/>
              </w:rPr>
            </w:pPr>
            <w:r>
              <w:rPr>
                <w:rFonts w:hint="eastAsia"/>
                <w:sz w:val="21"/>
                <w:szCs w:val="21"/>
                <w:lang w:val="en-US"/>
              </w:rPr>
              <w:t>L</w:t>
            </w:r>
          </w:p>
        </w:tc>
      </w:tr>
      <w:tr w14:paraId="24C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233F33E9">
            <w:pPr>
              <w:pStyle w:val="9"/>
              <w:autoSpaceDE/>
              <w:autoSpaceDN/>
              <w:spacing w:after="0"/>
              <w:ind w:left="0" w:leftChars="0" w:firstLine="0" w:firstLineChars="0"/>
              <w:jc w:val="center"/>
              <w:rPr>
                <w:sz w:val="21"/>
                <w:szCs w:val="21"/>
                <w:lang w:val="en-US"/>
              </w:rPr>
            </w:pPr>
            <w:r>
              <w:rPr>
                <w:rFonts w:hint="eastAsia"/>
                <w:sz w:val="21"/>
                <w:szCs w:val="21"/>
                <w:lang w:val="en-US"/>
              </w:rPr>
              <w:t>III</w:t>
            </w:r>
          </w:p>
        </w:tc>
        <w:tc>
          <w:tcPr>
            <w:tcW w:w="1620" w:type="dxa"/>
            <w:shd w:val="clear" w:color="auto" w:fill="auto"/>
            <w:vAlign w:val="center"/>
          </w:tcPr>
          <w:p w14:paraId="4AB72738">
            <w:pPr>
              <w:jc w:val="center"/>
              <w:rPr>
                <w:rFonts w:ascii="宋体" w:hAnsi="宋体" w:cs="宋体"/>
                <w:szCs w:val="21"/>
              </w:rPr>
            </w:pPr>
            <w:r>
              <w:rPr>
                <w:rFonts w:hint="eastAsia" w:ascii="宋体" w:hAnsi="宋体" w:cs="宋体"/>
                <w:szCs w:val="21"/>
              </w:rPr>
              <w:t>S</w:t>
            </w:r>
          </w:p>
        </w:tc>
        <w:tc>
          <w:tcPr>
            <w:tcW w:w="1620" w:type="dxa"/>
            <w:shd w:val="clear" w:color="auto" w:fill="auto"/>
            <w:vAlign w:val="center"/>
          </w:tcPr>
          <w:p w14:paraId="6F68644F">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12DD2A28">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1" w:type="dxa"/>
            <w:shd w:val="clear" w:color="auto" w:fill="auto"/>
            <w:vAlign w:val="center"/>
          </w:tcPr>
          <w:p w14:paraId="49A6F2F5">
            <w:pPr>
              <w:pStyle w:val="9"/>
              <w:autoSpaceDE/>
              <w:autoSpaceDN/>
              <w:spacing w:after="0"/>
              <w:ind w:left="0" w:leftChars="0" w:firstLine="0" w:firstLineChars="0"/>
              <w:jc w:val="center"/>
              <w:rPr>
                <w:sz w:val="21"/>
                <w:szCs w:val="21"/>
              </w:rPr>
            </w:pPr>
            <w:r>
              <w:rPr>
                <w:rFonts w:hint="eastAsia"/>
                <w:sz w:val="21"/>
                <w:szCs w:val="21"/>
                <w:lang w:val="en-US"/>
              </w:rPr>
              <w:t>L</w:t>
            </w:r>
          </w:p>
        </w:tc>
      </w:tr>
      <w:tr w14:paraId="28AB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7BB3D1F9">
            <w:pPr>
              <w:pStyle w:val="9"/>
              <w:autoSpaceDE/>
              <w:autoSpaceDN/>
              <w:spacing w:after="0"/>
              <w:ind w:left="0" w:leftChars="0" w:firstLine="0" w:firstLineChars="0"/>
              <w:jc w:val="center"/>
              <w:rPr>
                <w:sz w:val="21"/>
                <w:szCs w:val="21"/>
                <w:lang w:val="en-US"/>
              </w:rPr>
            </w:pPr>
            <w:r>
              <w:rPr>
                <w:rFonts w:hint="eastAsia"/>
                <w:sz w:val="21"/>
                <w:szCs w:val="21"/>
                <w:lang w:val="en-US"/>
              </w:rPr>
              <w:t>IV</w:t>
            </w:r>
          </w:p>
        </w:tc>
        <w:tc>
          <w:tcPr>
            <w:tcW w:w="1620" w:type="dxa"/>
            <w:shd w:val="clear" w:color="auto" w:fill="auto"/>
            <w:vAlign w:val="center"/>
          </w:tcPr>
          <w:p w14:paraId="3C8B2CCD">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42428B51">
            <w:pPr>
              <w:pStyle w:val="9"/>
              <w:autoSpaceDE/>
              <w:autoSpaceDN/>
              <w:spacing w:after="0"/>
              <w:ind w:left="0" w:leftChars="0" w:firstLine="0" w:firstLineChars="0"/>
              <w:jc w:val="center"/>
              <w:rPr>
                <w:sz w:val="21"/>
                <w:szCs w:val="21"/>
              </w:rPr>
            </w:pPr>
            <w:r>
              <w:rPr>
                <w:rFonts w:hint="eastAsia"/>
                <w:sz w:val="21"/>
                <w:szCs w:val="21"/>
                <w:lang w:val="en-US"/>
              </w:rPr>
              <w:t>S</w:t>
            </w:r>
          </w:p>
        </w:tc>
        <w:tc>
          <w:tcPr>
            <w:tcW w:w="1620" w:type="dxa"/>
            <w:shd w:val="clear" w:color="auto" w:fill="auto"/>
            <w:vAlign w:val="center"/>
          </w:tcPr>
          <w:p w14:paraId="0DE769E9">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1" w:type="dxa"/>
            <w:shd w:val="clear" w:color="auto" w:fill="auto"/>
            <w:vAlign w:val="center"/>
          </w:tcPr>
          <w:p w14:paraId="01D6CE10">
            <w:pPr>
              <w:jc w:val="center"/>
              <w:rPr>
                <w:rFonts w:ascii="宋体" w:hAnsi="宋体" w:cs="宋体"/>
                <w:szCs w:val="21"/>
              </w:rPr>
            </w:pPr>
            <w:r>
              <w:rPr>
                <w:rFonts w:hint="eastAsia" w:ascii="宋体" w:hAnsi="宋体" w:cs="宋体"/>
                <w:szCs w:val="21"/>
              </w:rPr>
              <w:t>A</w:t>
            </w:r>
          </w:p>
        </w:tc>
      </w:tr>
      <w:tr w14:paraId="0F17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68CB0740">
            <w:pPr>
              <w:pStyle w:val="9"/>
              <w:autoSpaceDE/>
              <w:autoSpaceDN/>
              <w:spacing w:after="0"/>
              <w:ind w:left="0" w:leftChars="0" w:firstLine="0" w:firstLineChars="0"/>
              <w:jc w:val="center"/>
              <w:rPr>
                <w:sz w:val="21"/>
                <w:szCs w:val="21"/>
                <w:lang w:val="en-US"/>
              </w:rPr>
            </w:pPr>
            <w:r>
              <w:rPr>
                <w:rFonts w:hint="eastAsia"/>
                <w:sz w:val="21"/>
                <w:szCs w:val="21"/>
                <w:lang w:val="en-US"/>
              </w:rPr>
              <w:t>V</w:t>
            </w:r>
          </w:p>
        </w:tc>
        <w:tc>
          <w:tcPr>
            <w:tcW w:w="1620" w:type="dxa"/>
            <w:shd w:val="clear" w:color="auto" w:fill="auto"/>
            <w:vAlign w:val="center"/>
          </w:tcPr>
          <w:p w14:paraId="4FE217D0">
            <w:pPr>
              <w:jc w:val="center"/>
              <w:rPr>
                <w:rFonts w:ascii="宋体" w:hAnsi="宋体" w:cs="宋体"/>
                <w:szCs w:val="21"/>
              </w:rPr>
            </w:pPr>
            <w:r>
              <w:rPr>
                <w:rFonts w:hint="eastAsia" w:ascii="宋体" w:hAnsi="宋体" w:cs="宋体"/>
                <w:szCs w:val="21"/>
              </w:rPr>
              <w:t>S</w:t>
            </w:r>
          </w:p>
        </w:tc>
        <w:tc>
          <w:tcPr>
            <w:tcW w:w="1620" w:type="dxa"/>
            <w:shd w:val="clear" w:color="auto" w:fill="FFFFFF" w:themeFill="background1"/>
            <w:vAlign w:val="center"/>
          </w:tcPr>
          <w:p w14:paraId="2FB8602E">
            <w:pPr>
              <w:pStyle w:val="9"/>
              <w:autoSpaceDE/>
              <w:autoSpaceDN/>
              <w:spacing w:after="0"/>
              <w:ind w:left="0" w:leftChars="0" w:firstLine="0" w:firstLineChars="0"/>
              <w:jc w:val="center"/>
              <w:rPr>
                <w:sz w:val="21"/>
                <w:szCs w:val="21"/>
              </w:rPr>
            </w:pPr>
            <w:r>
              <w:rPr>
                <w:rFonts w:hint="eastAsia"/>
                <w:sz w:val="21"/>
                <w:szCs w:val="21"/>
                <w:highlight w:val="none"/>
                <w:lang w:val="en-US"/>
              </w:rPr>
              <w:t>M</w:t>
            </w:r>
          </w:p>
        </w:tc>
        <w:tc>
          <w:tcPr>
            <w:tcW w:w="1620" w:type="dxa"/>
            <w:shd w:val="clear" w:color="auto" w:fill="auto"/>
            <w:vAlign w:val="center"/>
          </w:tcPr>
          <w:p w14:paraId="4F4E817A">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1" w:type="dxa"/>
            <w:shd w:val="clear" w:color="auto" w:fill="auto"/>
            <w:vAlign w:val="center"/>
          </w:tcPr>
          <w:p w14:paraId="11CA0B13">
            <w:pPr>
              <w:jc w:val="center"/>
              <w:rPr>
                <w:rFonts w:ascii="宋体" w:hAnsi="宋体" w:cs="宋体"/>
                <w:szCs w:val="21"/>
              </w:rPr>
            </w:pPr>
            <w:r>
              <w:rPr>
                <w:rFonts w:hint="eastAsia" w:ascii="宋体" w:hAnsi="宋体" w:cs="宋体"/>
                <w:szCs w:val="21"/>
              </w:rPr>
              <w:t>A</w:t>
            </w:r>
          </w:p>
        </w:tc>
      </w:tr>
      <w:tr w14:paraId="697C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1921EDAF">
            <w:pPr>
              <w:pStyle w:val="9"/>
              <w:autoSpaceDE/>
              <w:autoSpaceDN/>
              <w:spacing w:after="0"/>
              <w:ind w:left="0" w:leftChars="0" w:firstLine="0" w:firstLineChars="0"/>
              <w:jc w:val="center"/>
              <w:rPr>
                <w:sz w:val="21"/>
                <w:szCs w:val="21"/>
                <w:lang w:val="en-US"/>
              </w:rPr>
            </w:pPr>
            <w:r>
              <w:rPr>
                <w:rFonts w:hint="eastAsia"/>
                <w:sz w:val="21"/>
                <w:szCs w:val="21"/>
                <w:lang w:val="en-US"/>
              </w:rPr>
              <w:t>VI</w:t>
            </w:r>
          </w:p>
        </w:tc>
        <w:tc>
          <w:tcPr>
            <w:tcW w:w="1620" w:type="dxa"/>
            <w:shd w:val="clear" w:color="auto" w:fill="auto"/>
            <w:vAlign w:val="center"/>
          </w:tcPr>
          <w:p w14:paraId="45A80FA4">
            <w:pPr>
              <w:pStyle w:val="9"/>
              <w:autoSpaceDE/>
              <w:autoSpaceDN/>
              <w:spacing w:after="0"/>
              <w:ind w:left="0" w:leftChars="0" w:firstLine="0" w:firstLineChars="0"/>
              <w:jc w:val="center"/>
              <w:rPr>
                <w:sz w:val="21"/>
                <w:szCs w:val="21"/>
              </w:rPr>
            </w:pPr>
            <w:r>
              <w:rPr>
                <w:rFonts w:hint="eastAsia"/>
                <w:sz w:val="21"/>
                <w:szCs w:val="21"/>
                <w:lang w:val="en-US"/>
              </w:rPr>
              <w:t>M</w:t>
            </w:r>
          </w:p>
        </w:tc>
        <w:tc>
          <w:tcPr>
            <w:tcW w:w="1620" w:type="dxa"/>
            <w:shd w:val="clear" w:color="auto" w:fill="auto"/>
            <w:vAlign w:val="center"/>
          </w:tcPr>
          <w:p w14:paraId="5B6CE1D7">
            <w:pPr>
              <w:pStyle w:val="9"/>
              <w:autoSpaceDE/>
              <w:autoSpaceDN/>
              <w:spacing w:after="0"/>
              <w:ind w:left="0" w:leftChars="0" w:firstLine="0" w:firstLineChars="0"/>
              <w:jc w:val="center"/>
              <w:rPr>
                <w:sz w:val="21"/>
                <w:szCs w:val="21"/>
              </w:rPr>
            </w:pPr>
            <w:r>
              <w:rPr>
                <w:rFonts w:hint="eastAsia"/>
                <w:sz w:val="21"/>
                <w:szCs w:val="21"/>
                <w:lang w:val="en-US"/>
              </w:rPr>
              <w:t>L</w:t>
            </w:r>
          </w:p>
        </w:tc>
        <w:tc>
          <w:tcPr>
            <w:tcW w:w="1620" w:type="dxa"/>
            <w:shd w:val="clear" w:color="auto" w:fill="auto"/>
            <w:vAlign w:val="center"/>
          </w:tcPr>
          <w:p w14:paraId="7B20D815">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360E9BCF">
            <w:pPr>
              <w:jc w:val="center"/>
              <w:rPr>
                <w:rFonts w:ascii="宋体" w:hAnsi="宋体" w:cs="宋体"/>
                <w:szCs w:val="21"/>
              </w:rPr>
            </w:pPr>
            <w:r>
              <w:rPr>
                <w:rFonts w:hint="eastAsia" w:ascii="宋体" w:hAnsi="宋体" w:cs="宋体"/>
                <w:szCs w:val="21"/>
              </w:rPr>
              <w:t>A</w:t>
            </w:r>
          </w:p>
        </w:tc>
      </w:tr>
      <w:tr w14:paraId="68B0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B528F10">
            <w:pPr>
              <w:pStyle w:val="9"/>
              <w:autoSpaceDE/>
              <w:autoSpaceDN/>
              <w:spacing w:after="0"/>
              <w:ind w:left="0" w:leftChars="0" w:firstLine="0" w:firstLineChars="0"/>
              <w:jc w:val="center"/>
              <w:rPr>
                <w:sz w:val="21"/>
                <w:szCs w:val="21"/>
                <w:lang w:val="en-US"/>
              </w:rPr>
            </w:pPr>
            <w:r>
              <w:rPr>
                <w:rFonts w:hint="eastAsia"/>
                <w:sz w:val="21"/>
                <w:szCs w:val="21"/>
                <w:lang w:val="en-US"/>
              </w:rPr>
              <w:t>VII</w:t>
            </w:r>
          </w:p>
        </w:tc>
        <w:tc>
          <w:tcPr>
            <w:tcW w:w="1620" w:type="dxa"/>
            <w:shd w:val="clear" w:color="auto" w:fill="auto"/>
            <w:vAlign w:val="center"/>
          </w:tcPr>
          <w:p w14:paraId="0947434A">
            <w:pPr>
              <w:pStyle w:val="9"/>
              <w:autoSpaceDE/>
              <w:autoSpaceDN/>
              <w:spacing w:after="0"/>
              <w:ind w:left="0" w:leftChars="0" w:firstLine="0" w:firstLineChars="0"/>
              <w:jc w:val="center"/>
              <w:rPr>
                <w:sz w:val="21"/>
                <w:szCs w:val="21"/>
                <w:lang w:val="en-US"/>
              </w:rPr>
            </w:pPr>
            <w:r>
              <w:rPr>
                <w:rFonts w:hint="eastAsia"/>
                <w:sz w:val="21"/>
                <w:szCs w:val="21"/>
                <w:lang w:val="en-US"/>
              </w:rPr>
              <w:t>L</w:t>
            </w:r>
          </w:p>
        </w:tc>
        <w:tc>
          <w:tcPr>
            <w:tcW w:w="1620" w:type="dxa"/>
            <w:shd w:val="clear" w:color="auto" w:fill="auto"/>
            <w:vAlign w:val="center"/>
          </w:tcPr>
          <w:p w14:paraId="0DED25A2">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5DC970B8">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13F63DE1">
            <w:pPr>
              <w:jc w:val="center"/>
              <w:rPr>
                <w:rFonts w:ascii="宋体" w:hAnsi="宋体" w:cs="宋体"/>
                <w:szCs w:val="21"/>
              </w:rPr>
            </w:pPr>
            <w:r>
              <w:rPr>
                <w:rFonts w:hint="eastAsia" w:ascii="宋体" w:hAnsi="宋体" w:cs="宋体"/>
                <w:szCs w:val="21"/>
              </w:rPr>
              <w:t>A</w:t>
            </w:r>
          </w:p>
        </w:tc>
      </w:tr>
      <w:tr w14:paraId="329A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auto"/>
            <w:vAlign w:val="center"/>
          </w:tcPr>
          <w:p w14:paraId="5AA882D7">
            <w:pPr>
              <w:pStyle w:val="9"/>
              <w:autoSpaceDE/>
              <w:autoSpaceDN/>
              <w:spacing w:after="0"/>
              <w:ind w:left="0" w:leftChars="0" w:firstLine="0" w:firstLineChars="0"/>
              <w:jc w:val="center"/>
              <w:rPr>
                <w:sz w:val="21"/>
                <w:szCs w:val="21"/>
                <w:lang w:val="en-US"/>
              </w:rPr>
            </w:pPr>
            <w:r>
              <w:rPr>
                <w:rFonts w:hint="eastAsia"/>
                <w:sz w:val="21"/>
                <w:szCs w:val="21"/>
                <w:lang w:val="en-US"/>
              </w:rPr>
              <w:t>VIII</w:t>
            </w:r>
          </w:p>
        </w:tc>
        <w:tc>
          <w:tcPr>
            <w:tcW w:w="1620" w:type="dxa"/>
            <w:shd w:val="clear" w:color="auto" w:fill="auto"/>
            <w:vAlign w:val="center"/>
          </w:tcPr>
          <w:p w14:paraId="0DB04CD9">
            <w:pPr>
              <w:pStyle w:val="9"/>
              <w:autoSpaceDE/>
              <w:autoSpaceDN/>
              <w:spacing w:after="0"/>
              <w:ind w:left="0" w:leftChars="0" w:firstLine="0" w:firstLineChars="0"/>
              <w:jc w:val="center"/>
              <w:rPr>
                <w:sz w:val="21"/>
                <w:szCs w:val="21"/>
                <w:lang w:val="en-US"/>
              </w:rPr>
            </w:pPr>
            <w:r>
              <w:rPr>
                <w:rFonts w:hint="eastAsia"/>
                <w:sz w:val="21"/>
                <w:szCs w:val="21"/>
                <w:lang w:val="en-US"/>
              </w:rPr>
              <w:t>A</w:t>
            </w:r>
          </w:p>
        </w:tc>
        <w:tc>
          <w:tcPr>
            <w:tcW w:w="1620" w:type="dxa"/>
            <w:shd w:val="clear" w:color="auto" w:fill="auto"/>
            <w:vAlign w:val="center"/>
          </w:tcPr>
          <w:p w14:paraId="3F80D309">
            <w:pPr>
              <w:jc w:val="center"/>
              <w:rPr>
                <w:rFonts w:ascii="宋体" w:hAnsi="宋体" w:cs="宋体"/>
                <w:szCs w:val="21"/>
              </w:rPr>
            </w:pPr>
            <w:r>
              <w:rPr>
                <w:rFonts w:hint="eastAsia" w:ascii="宋体" w:hAnsi="宋体" w:cs="宋体"/>
                <w:szCs w:val="21"/>
              </w:rPr>
              <w:t>A</w:t>
            </w:r>
          </w:p>
        </w:tc>
        <w:tc>
          <w:tcPr>
            <w:tcW w:w="1620" w:type="dxa"/>
            <w:shd w:val="clear" w:color="auto" w:fill="auto"/>
            <w:vAlign w:val="center"/>
          </w:tcPr>
          <w:p w14:paraId="4C2CCE92">
            <w:pPr>
              <w:jc w:val="center"/>
              <w:rPr>
                <w:rFonts w:ascii="宋体" w:hAnsi="宋体" w:cs="宋体"/>
                <w:szCs w:val="21"/>
              </w:rPr>
            </w:pPr>
            <w:r>
              <w:rPr>
                <w:rFonts w:hint="eastAsia" w:ascii="宋体" w:hAnsi="宋体" w:cs="宋体"/>
                <w:szCs w:val="21"/>
              </w:rPr>
              <w:t>A</w:t>
            </w:r>
          </w:p>
        </w:tc>
        <w:tc>
          <w:tcPr>
            <w:tcW w:w="1621" w:type="dxa"/>
            <w:shd w:val="clear" w:color="auto" w:fill="auto"/>
            <w:vAlign w:val="center"/>
          </w:tcPr>
          <w:p w14:paraId="6DFD89C2">
            <w:pPr>
              <w:jc w:val="center"/>
              <w:rPr>
                <w:rFonts w:ascii="宋体" w:hAnsi="宋体" w:cs="宋体"/>
                <w:szCs w:val="21"/>
              </w:rPr>
            </w:pPr>
            <w:r>
              <w:rPr>
                <w:rFonts w:hint="eastAsia" w:ascii="宋体" w:hAnsi="宋体" w:cs="宋体"/>
                <w:szCs w:val="21"/>
              </w:rPr>
              <w:t>A</w:t>
            </w:r>
          </w:p>
        </w:tc>
      </w:tr>
    </w:tbl>
    <w:p w14:paraId="769F1EFE">
      <w:pPr>
        <w:spacing w:line="360" w:lineRule="auto"/>
        <w:rPr>
          <w:rFonts w:ascii="宋体" w:hAnsi="宋体" w:cs="宋体"/>
          <w:szCs w:val="21"/>
        </w:rPr>
      </w:pPr>
      <w:r>
        <w:rPr>
          <w:rFonts w:hint="eastAsia" w:ascii="宋体" w:hAnsi="宋体" w:cs="宋体"/>
          <w:szCs w:val="21"/>
        </w:rPr>
        <w:t>说明：</w:t>
      </w:r>
    </w:p>
    <w:p w14:paraId="5174F49A">
      <w:pPr>
        <w:spacing w:line="360" w:lineRule="auto"/>
        <w:rPr>
          <w:rFonts w:ascii="宋体" w:hAnsi="宋体" w:cs="宋体"/>
          <w:szCs w:val="21"/>
        </w:rPr>
      </w:pPr>
      <w:r>
        <w:rPr>
          <w:rFonts w:hint="eastAsia" w:ascii="宋体" w:hAnsi="宋体" w:cs="宋体"/>
          <w:szCs w:val="21"/>
        </w:rPr>
        <w:t>S 表示严重风险</w:t>
      </w:r>
    </w:p>
    <w:p w14:paraId="0ED89B61">
      <w:pPr>
        <w:spacing w:line="360" w:lineRule="auto"/>
        <w:rPr>
          <w:rFonts w:ascii="宋体" w:hAnsi="宋体" w:cs="宋体"/>
          <w:szCs w:val="21"/>
        </w:rPr>
      </w:pPr>
      <w:r>
        <w:rPr>
          <w:rFonts w:hint="eastAsia" w:ascii="宋体" w:hAnsi="宋体" w:cs="宋体"/>
          <w:szCs w:val="21"/>
        </w:rPr>
        <w:t>M 表示中等风险</w:t>
      </w:r>
    </w:p>
    <w:p w14:paraId="26CD8D24">
      <w:pPr>
        <w:spacing w:line="360" w:lineRule="auto"/>
        <w:rPr>
          <w:rFonts w:ascii="宋体" w:hAnsi="宋体" w:cs="宋体"/>
          <w:szCs w:val="21"/>
        </w:rPr>
      </w:pPr>
      <w:r>
        <w:rPr>
          <w:rFonts w:hint="eastAsia" w:ascii="宋体" w:hAnsi="宋体" w:cs="宋体"/>
          <w:szCs w:val="21"/>
        </w:rPr>
        <w:t>L 表示低风险</w:t>
      </w:r>
    </w:p>
    <w:p w14:paraId="36AC5AB2">
      <w:pPr>
        <w:spacing w:line="360" w:lineRule="auto"/>
        <w:rPr>
          <w:rFonts w:ascii="宋体" w:hAnsi="宋体" w:cs="宋体"/>
          <w:szCs w:val="21"/>
        </w:rPr>
      </w:pPr>
      <w:r>
        <w:rPr>
          <w:rFonts w:hint="eastAsia" w:ascii="宋体" w:hAnsi="宋体" w:cs="宋体"/>
          <w:szCs w:val="21"/>
        </w:rPr>
        <w:t>A 表示可容许风险</w:t>
      </w:r>
    </w:p>
    <w:p w14:paraId="0D20367C">
      <w:pPr>
        <w:spacing w:line="360" w:lineRule="auto"/>
        <w:ind w:firstLine="420" w:firstLineChars="200"/>
        <w:rPr>
          <w:rFonts w:ascii="宋体" w:hAnsi="宋体" w:cs="宋体"/>
          <w:szCs w:val="21"/>
        </w:rPr>
      </w:pPr>
      <w:r>
        <w:rPr>
          <w:rFonts w:hint="eastAsia" w:ascii="宋体" w:hAnsi="宋体" w:cs="宋体"/>
          <w:szCs w:val="21"/>
        </w:rPr>
        <w:t>风险预期：根据国内相关数据及前期检测结果，结合</w:t>
      </w:r>
      <w:r>
        <w:rPr>
          <w:rFonts w:hint="eastAsia" w:ascii="宋体" w:hAnsi="宋体" w:cs="宋体"/>
          <w:color w:val="191919"/>
          <w:szCs w:val="21"/>
          <w:shd w:val="clear" w:color="auto" w:fill="FFFFFF"/>
        </w:rPr>
        <w:t>欧盟非食品消费品快速预警系统(RAPEX)</w:t>
      </w:r>
      <w:r>
        <w:rPr>
          <w:rFonts w:hint="eastAsia" w:ascii="宋体" w:hAnsi="宋体" w:cs="宋体"/>
          <w:szCs w:val="21"/>
        </w:rPr>
        <w:t>估计，预期结论为</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产品游离甲醛、可触及的塑料件中邻苯二甲酸酯增塑剂的限量、特定元素的迁移的风险为中等。</w:t>
      </w:r>
    </w:p>
    <w:p w14:paraId="27D6E207">
      <w:pPr>
        <w:spacing w:line="360" w:lineRule="auto"/>
        <w:ind w:firstLine="210" w:firstLineChars="100"/>
      </w:pPr>
      <w:bookmarkStart w:id="7" w:name="_Toc26152"/>
      <w:r>
        <w:rPr>
          <w:rFonts w:hint="eastAsia"/>
        </w:rPr>
        <w:t>6.5、风险处置方案</w:t>
      </w:r>
      <w:bookmarkEnd w:id="7"/>
    </w:p>
    <w:p w14:paraId="79A9FC1C">
      <w:pPr>
        <w:spacing w:line="360" w:lineRule="auto"/>
        <w:ind w:firstLine="420" w:firstLineChars="200"/>
        <w:rPr>
          <w:rFonts w:ascii="宋体" w:hAnsi="宋体" w:cs="宋体"/>
          <w:szCs w:val="21"/>
        </w:rPr>
      </w:pPr>
      <w:r>
        <w:rPr>
          <w:rFonts w:hint="eastAsia" w:ascii="宋体" w:hAnsi="宋体" w:cs="宋体"/>
          <w:szCs w:val="21"/>
        </w:rPr>
        <w:t>完善标准体系，加大政府对企业的服务体系。</w:t>
      </w:r>
    </w:p>
    <w:p w14:paraId="0939A8A6">
      <w:pPr>
        <w:spacing w:line="360" w:lineRule="auto"/>
        <w:ind w:firstLine="420" w:firstLineChars="200"/>
        <w:rPr>
          <w:rFonts w:ascii="宋体" w:hAnsi="宋体" w:cs="宋体"/>
          <w:szCs w:val="21"/>
        </w:rPr>
      </w:pPr>
      <w:r>
        <w:rPr>
          <w:rFonts w:hint="eastAsia" w:ascii="宋体" w:hAnsi="宋体" w:cs="宋体"/>
          <w:szCs w:val="21"/>
        </w:rPr>
        <w:t>目前，</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lang w:val="en-US" w:eastAsia="zh-CN"/>
        </w:rPr>
        <w:t>已</w:t>
      </w:r>
      <w:r>
        <w:rPr>
          <w:rFonts w:hint="eastAsia" w:ascii="宋体" w:hAnsi="宋体" w:cs="宋体"/>
          <w:szCs w:val="21"/>
        </w:rPr>
        <w:t>出台专门的产品安全管控标准，建议相关部门尽快明确安全管控要求，促使企业规范生产，监管部门监督检查有法可依。</w:t>
      </w:r>
    </w:p>
    <w:p w14:paraId="0407A021">
      <w:pPr>
        <w:spacing w:line="360" w:lineRule="auto"/>
        <w:ind w:firstLine="420" w:firstLineChars="200"/>
        <w:rPr>
          <w:rFonts w:ascii="宋体" w:hAnsi="宋体" w:cs="宋体"/>
          <w:szCs w:val="21"/>
        </w:rPr>
      </w:pPr>
      <w:r>
        <w:rPr>
          <w:rFonts w:hint="eastAsia" w:ascii="宋体" w:hAnsi="宋体" w:cs="宋体"/>
          <w:szCs w:val="21"/>
        </w:rPr>
        <w:t>加强产品质量源头，提高企业的风险意识。</w:t>
      </w:r>
    </w:p>
    <w:p w14:paraId="3396D1D4">
      <w:pPr>
        <w:spacing w:line="360" w:lineRule="auto"/>
        <w:ind w:firstLine="420" w:firstLineChars="200"/>
        <w:rPr>
          <w:rFonts w:ascii="宋体" w:hAnsi="宋体" w:cs="宋体"/>
          <w:szCs w:val="21"/>
        </w:rPr>
      </w:pPr>
      <w:r>
        <w:rPr>
          <w:rFonts w:hint="eastAsia" w:ascii="宋体" w:hAnsi="宋体" w:cs="宋体"/>
          <w:szCs w:val="21"/>
        </w:rPr>
        <w:t>加强对</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 xml:space="preserve">生产企业的监督检查力度，尤其是出口企业，对企业进行针对性的培训和监督指导，提醒产品出口风险，规范企业的生产行为，降低产品出口风险。 </w:t>
      </w:r>
    </w:p>
    <w:p w14:paraId="3BFC8290">
      <w:pPr>
        <w:spacing w:line="360" w:lineRule="auto"/>
        <w:ind w:firstLine="420" w:firstLineChars="200"/>
        <w:rPr>
          <w:rFonts w:ascii="宋体" w:hAnsi="宋体" w:cs="宋体"/>
          <w:szCs w:val="21"/>
        </w:rPr>
      </w:pPr>
      <w:r>
        <w:rPr>
          <w:rFonts w:hint="eastAsia" w:ascii="宋体" w:hAnsi="宋体" w:cs="宋体"/>
          <w:szCs w:val="21"/>
        </w:rPr>
        <w:t>进一步加强生产过程监管力度。</w:t>
      </w:r>
    </w:p>
    <w:p w14:paraId="6129B244">
      <w:pPr>
        <w:spacing w:line="360" w:lineRule="auto"/>
        <w:ind w:firstLine="420" w:firstLineChars="200"/>
        <w:rPr>
          <w:rFonts w:ascii="宋体" w:hAnsi="宋体" w:cs="宋体"/>
          <w:szCs w:val="21"/>
        </w:rPr>
      </w:pPr>
      <w:r>
        <w:rPr>
          <w:rFonts w:hint="eastAsia" w:ascii="宋体" w:hAnsi="宋体" w:cs="宋体"/>
          <w:szCs w:val="21"/>
        </w:rPr>
        <w:t>为保护消费者权益，消除</w:t>
      </w:r>
      <w:r>
        <w:rPr>
          <w:rFonts w:hint="eastAsia" w:ascii="宋体" w:hAnsi="宋体" w:cs="宋体"/>
          <w:szCs w:val="21"/>
          <w:lang w:val="en-US" w:eastAsia="zh-CN"/>
        </w:rPr>
        <w:t>学生文具（</w:t>
      </w:r>
      <w:r>
        <w:rPr>
          <w:rFonts w:hint="eastAsia" w:ascii="宋体" w:hAnsi="宋体" w:cs="宋体"/>
          <w:lang w:val="en-US" w:eastAsia="zh-CN"/>
        </w:rPr>
        <w:t>液体胶、固体胶、浆糊）</w:t>
      </w:r>
      <w:r>
        <w:rPr>
          <w:rFonts w:hint="eastAsia" w:ascii="宋体" w:hAnsi="宋体" w:cs="宋体"/>
          <w:szCs w:val="21"/>
        </w:rPr>
        <w:t>对儿童健康的安全隐患，监管部门应加强对企业生产过程的监督检查力度，检查企业生产过程中是否使用过量</w:t>
      </w:r>
      <w:r>
        <w:rPr>
          <w:rFonts w:hint="eastAsia" w:ascii="宋体" w:hAnsi="宋体" w:cs="宋体"/>
          <w:szCs w:val="21"/>
          <w:lang w:val="en-US" w:eastAsia="zh-CN"/>
        </w:rPr>
        <w:t>化学物质</w:t>
      </w:r>
      <w:r>
        <w:rPr>
          <w:rFonts w:hint="eastAsia" w:ascii="宋体" w:hAnsi="宋体" w:cs="宋体"/>
          <w:szCs w:val="21"/>
        </w:rPr>
        <w:t>等，加大违法惩治力度，强化企业对生产过程质量控制意识，通过对生产过程的从严把控，要求企业制定相应的制度文件、操作规程，以督促企业自身产品的整体质量提升。制度和管理比企业自律和觉悟更重要，国外的标准和要求更严、更多，出口企业通过管理和控制完全能达到国外的标准要求，这完全是制度和市场行为决定企业的自律行为。因此通过监督管理部门对企业生产过程的监督检查确保消费者能用上安全放心的产品。</w:t>
      </w:r>
    </w:p>
    <w:p w14:paraId="17A8C062">
      <w:pPr>
        <w:ind w:firstLine="210" w:firstLineChars="100"/>
      </w:pPr>
      <w:bookmarkStart w:id="8" w:name="_Toc25323"/>
      <w:r>
        <w:rPr>
          <w:rFonts w:hint="eastAsia"/>
        </w:rPr>
        <w:t>6.6、时间进度安排</w:t>
      </w:r>
      <w:bookmarkEnd w:id="8"/>
    </w:p>
    <w:tbl>
      <w:tblPr>
        <w:tblStyle w:val="10"/>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142"/>
        <w:gridCol w:w="2537"/>
        <w:gridCol w:w="3086"/>
      </w:tblGrid>
      <w:tr w14:paraId="59BE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31" w:type="pct"/>
            <w:vAlign w:val="center"/>
          </w:tcPr>
          <w:p w14:paraId="3FE935BC">
            <w:pPr>
              <w:rPr>
                <w:rFonts w:ascii="宋体" w:hAnsi="宋体" w:cs="宋体"/>
                <w:szCs w:val="21"/>
              </w:rPr>
            </w:pPr>
            <w:r>
              <w:rPr>
                <w:rFonts w:hint="eastAsia" w:ascii="宋体" w:hAnsi="宋体" w:cs="宋体"/>
                <w:szCs w:val="21"/>
              </w:rPr>
              <w:t>序号</w:t>
            </w:r>
          </w:p>
        </w:tc>
        <w:tc>
          <w:tcPr>
            <w:tcW w:w="1260" w:type="pct"/>
            <w:vAlign w:val="center"/>
          </w:tcPr>
          <w:p w14:paraId="70BF47BC">
            <w:pPr>
              <w:rPr>
                <w:rFonts w:ascii="宋体" w:hAnsi="宋体" w:cs="宋体"/>
                <w:szCs w:val="21"/>
              </w:rPr>
            </w:pPr>
            <w:r>
              <w:rPr>
                <w:rFonts w:hint="eastAsia" w:ascii="宋体" w:hAnsi="宋体" w:cs="宋体"/>
                <w:szCs w:val="21"/>
              </w:rPr>
              <w:t>起止时间</w:t>
            </w:r>
          </w:p>
        </w:tc>
        <w:tc>
          <w:tcPr>
            <w:tcW w:w="1492" w:type="pct"/>
            <w:vAlign w:val="center"/>
          </w:tcPr>
          <w:p w14:paraId="752FDA59">
            <w:pPr>
              <w:rPr>
                <w:rFonts w:ascii="宋体" w:hAnsi="宋体" w:cs="宋体"/>
                <w:szCs w:val="21"/>
              </w:rPr>
            </w:pPr>
            <w:r>
              <w:rPr>
                <w:rFonts w:hint="eastAsia" w:ascii="宋体" w:hAnsi="宋体" w:cs="宋体"/>
                <w:szCs w:val="21"/>
              </w:rPr>
              <w:t>阶段</w:t>
            </w:r>
          </w:p>
        </w:tc>
        <w:tc>
          <w:tcPr>
            <w:tcW w:w="1815" w:type="pct"/>
            <w:vAlign w:val="center"/>
          </w:tcPr>
          <w:p w14:paraId="47D88DA1">
            <w:pPr>
              <w:rPr>
                <w:rFonts w:ascii="宋体" w:hAnsi="宋体" w:cs="宋体"/>
                <w:szCs w:val="21"/>
              </w:rPr>
            </w:pPr>
            <w:r>
              <w:rPr>
                <w:rFonts w:hint="eastAsia" w:ascii="宋体" w:hAnsi="宋体" w:cs="宋体"/>
                <w:szCs w:val="21"/>
              </w:rPr>
              <w:t>阶段目标要求</w:t>
            </w:r>
          </w:p>
        </w:tc>
      </w:tr>
      <w:tr w14:paraId="2244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31" w:type="pct"/>
            <w:vAlign w:val="center"/>
          </w:tcPr>
          <w:p w14:paraId="7192E5E0">
            <w:pPr>
              <w:rPr>
                <w:rFonts w:ascii="宋体" w:hAnsi="宋体" w:cs="宋体"/>
                <w:szCs w:val="21"/>
              </w:rPr>
            </w:pPr>
            <w:r>
              <w:rPr>
                <w:rFonts w:hint="eastAsia" w:ascii="宋体" w:hAnsi="宋体" w:cs="宋体"/>
                <w:szCs w:val="21"/>
              </w:rPr>
              <w:t>1</w:t>
            </w:r>
          </w:p>
        </w:tc>
        <w:tc>
          <w:tcPr>
            <w:tcW w:w="1260" w:type="pct"/>
            <w:vAlign w:val="center"/>
          </w:tcPr>
          <w:p w14:paraId="2B89A5F5">
            <w:pPr>
              <w:rPr>
                <w:rFonts w:ascii="宋体" w:hAnsi="宋体" w:cs="宋体"/>
                <w:szCs w:val="21"/>
              </w:rPr>
            </w:pPr>
            <w:r>
              <w:rPr>
                <w:rFonts w:hint="eastAsia" w:ascii="宋体" w:hAnsi="宋体" w:cs="宋体"/>
                <w:szCs w:val="21"/>
              </w:rPr>
              <w:t>任务书下达</w:t>
            </w:r>
          </w:p>
        </w:tc>
        <w:tc>
          <w:tcPr>
            <w:tcW w:w="1492" w:type="pct"/>
            <w:vAlign w:val="center"/>
          </w:tcPr>
          <w:p w14:paraId="5AB06AEA">
            <w:pPr>
              <w:rPr>
                <w:rFonts w:ascii="宋体" w:hAnsi="宋体" w:cs="宋体"/>
                <w:szCs w:val="21"/>
              </w:rPr>
            </w:pPr>
            <w:r>
              <w:rPr>
                <w:rFonts w:hint="eastAsia" w:ascii="宋体" w:hAnsi="宋体" w:cs="宋体"/>
                <w:szCs w:val="21"/>
              </w:rPr>
              <w:t>任务确认，下达任务书</w:t>
            </w:r>
          </w:p>
        </w:tc>
        <w:tc>
          <w:tcPr>
            <w:tcW w:w="1815" w:type="pct"/>
            <w:vAlign w:val="center"/>
          </w:tcPr>
          <w:p w14:paraId="3D0274B7">
            <w:pPr>
              <w:rPr>
                <w:rFonts w:ascii="宋体" w:hAnsi="宋体" w:cs="宋体"/>
                <w:szCs w:val="21"/>
              </w:rPr>
            </w:pPr>
            <w:r>
              <w:rPr>
                <w:rFonts w:hint="eastAsia" w:ascii="宋体" w:hAnsi="宋体" w:cs="宋体"/>
                <w:szCs w:val="21"/>
              </w:rPr>
              <w:t>抽样方案及检测项目确定，下达任务书</w:t>
            </w:r>
          </w:p>
        </w:tc>
      </w:tr>
      <w:tr w14:paraId="0DBF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34E0A6C6">
            <w:pPr>
              <w:rPr>
                <w:rFonts w:ascii="宋体" w:hAnsi="宋体" w:cs="宋体"/>
                <w:szCs w:val="21"/>
              </w:rPr>
            </w:pPr>
            <w:r>
              <w:rPr>
                <w:rFonts w:hint="eastAsia" w:ascii="宋体" w:hAnsi="宋体" w:cs="宋体"/>
                <w:szCs w:val="21"/>
              </w:rPr>
              <w:t>2</w:t>
            </w:r>
          </w:p>
        </w:tc>
        <w:tc>
          <w:tcPr>
            <w:tcW w:w="1260" w:type="pct"/>
            <w:vAlign w:val="center"/>
          </w:tcPr>
          <w:p w14:paraId="296AC921">
            <w:pPr>
              <w:rPr>
                <w:rFonts w:ascii="宋体" w:hAnsi="宋体" w:cs="宋体"/>
                <w:szCs w:val="21"/>
              </w:rPr>
            </w:pPr>
            <w:r>
              <w:rPr>
                <w:rFonts w:hint="eastAsia" w:ascii="宋体" w:hAnsi="宋体" w:cs="宋体"/>
                <w:szCs w:val="21"/>
              </w:rPr>
              <w:t>任务书下达后15个工作日</w:t>
            </w:r>
          </w:p>
        </w:tc>
        <w:tc>
          <w:tcPr>
            <w:tcW w:w="1492" w:type="pct"/>
            <w:vAlign w:val="center"/>
          </w:tcPr>
          <w:p w14:paraId="00B2D09B">
            <w:pPr>
              <w:rPr>
                <w:rFonts w:ascii="宋体" w:hAnsi="宋体" w:cs="宋体"/>
                <w:szCs w:val="21"/>
              </w:rPr>
            </w:pPr>
            <w:r>
              <w:rPr>
                <w:rFonts w:hint="eastAsia" w:ascii="宋体" w:hAnsi="宋体" w:cs="宋体"/>
                <w:szCs w:val="21"/>
              </w:rPr>
              <w:t>抽样阶段</w:t>
            </w:r>
          </w:p>
        </w:tc>
        <w:tc>
          <w:tcPr>
            <w:tcW w:w="1815" w:type="pct"/>
            <w:vAlign w:val="center"/>
          </w:tcPr>
          <w:p w14:paraId="66F98713">
            <w:pPr>
              <w:rPr>
                <w:rFonts w:ascii="宋体" w:hAnsi="宋体" w:cs="宋体"/>
                <w:szCs w:val="21"/>
              </w:rPr>
            </w:pPr>
            <w:r>
              <w:rPr>
                <w:rFonts w:hint="eastAsia" w:ascii="宋体" w:hAnsi="宋体" w:cs="宋体"/>
                <w:szCs w:val="21"/>
              </w:rPr>
              <w:t>完成样品的采集</w:t>
            </w:r>
          </w:p>
        </w:tc>
      </w:tr>
      <w:tr w14:paraId="09FE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11A80A9A">
            <w:pPr>
              <w:rPr>
                <w:rFonts w:ascii="宋体" w:hAnsi="宋体" w:cs="宋体"/>
                <w:szCs w:val="21"/>
              </w:rPr>
            </w:pPr>
            <w:r>
              <w:rPr>
                <w:rFonts w:hint="eastAsia" w:ascii="宋体" w:hAnsi="宋体" w:cs="宋体"/>
                <w:szCs w:val="21"/>
              </w:rPr>
              <w:t>3</w:t>
            </w:r>
          </w:p>
        </w:tc>
        <w:tc>
          <w:tcPr>
            <w:tcW w:w="1260" w:type="pct"/>
            <w:vAlign w:val="center"/>
          </w:tcPr>
          <w:p w14:paraId="76AB5DE1">
            <w:pPr>
              <w:rPr>
                <w:rFonts w:ascii="宋体" w:hAnsi="宋体" w:cs="宋体"/>
                <w:szCs w:val="21"/>
              </w:rPr>
            </w:pPr>
            <w:r>
              <w:rPr>
                <w:rFonts w:hint="eastAsia" w:ascii="宋体" w:hAnsi="宋体" w:cs="宋体"/>
                <w:szCs w:val="21"/>
              </w:rPr>
              <w:t>实验室接到样品后30个工作日</w:t>
            </w:r>
          </w:p>
        </w:tc>
        <w:tc>
          <w:tcPr>
            <w:tcW w:w="1492" w:type="pct"/>
            <w:vAlign w:val="center"/>
          </w:tcPr>
          <w:p w14:paraId="273D79D3">
            <w:pPr>
              <w:rPr>
                <w:rFonts w:ascii="宋体" w:hAnsi="宋体" w:cs="宋体"/>
                <w:szCs w:val="21"/>
              </w:rPr>
            </w:pPr>
            <w:r>
              <w:rPr>
                <w:rFonts w:hint="eastAsia" w:ascii="宋体" w:hAnsi="宋体" w:cs="宋体"/>
                <w:szCs w:val="21"/>
              </w:rPr>
              <w:t>检测阶段</w:t>
            </w:r>
          </w:p>
        </w:tc>
        <w:tc>
          <w:tcPr>
            <w:tcW w:w="1815" w:type="pct"/>
            <w:vAlign w:val="center"/>
          </w:tcPr>
          <w:p w14:paraId="7C775B81">
            <w:pPr>
              <w:rPr>
                <w:rFonts w:ascii="宋体" w:hAnsi="宋体" w:cs="宋体"/>
                <w:szCs w:val="21"/>
              </w:rPr>
            </w:pPr>
            <w:r>
              <w:rPr>
                <w:rFonts w:hint="eastAsia" w:ascii="宋体" w:hAnsi="宋体" w:cs="宋体"/>
                <w:szCs w:val="21"/>
              </w:rPr>
              <w:t>完成的检测工作；</w:t>
            </w:r>
          </w:p>
        </w:tc>
      </w:tr>
      <w:tr w14:paraId="28D8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1" w:type="pct"/>
            <w:vAlign w:val="center"/>
          </w:tcPr>
          <w:p w14:paraId="006E4533">
            <w:pPr>
              <w:rPr>
                <w:rFonts w:ascii="宋体" w:hAnsi="宋体" w:cs="宋体"/>
                <w:szCs w:val="21"/>
              </w:rPr>
            </w:pPr>
            <w:r>
              <w:rPr>
                <w:rFonts w:hint="eastAsia" w:ascii="宋体" w:hAnsi="宋体" w:cs="宋体"/>
                <w:szCs w:val="21"/>
              </w:rPr>
              <w:t>4</w:t>
            </w:r>
          </w:p>
        </w:tc>
        <w:tc>
          <w:tcPr>
            <w:tcW w:w="1260" w:type="pct"/>
            <w:vAlign w:val="center"/>
          </w:tcPr>
          <w:p w14:paraId="21615E24">
            <w:pPr>
              <w:rPr>
                <w:rFonts w:ascii="宋体" w:hAnsi="宋体" w:cs="宋体"/>
                <w:szCs w:val="21"/>
              </w:rPr>
            </w:pPr>
            <w:r>
              <w:rPr>
                <w:rFonts w:hint="eastAsia" w:ascii="宋体" w:hAnsi="宋体" w:cs="宋体"/>
                <w:szCs w:val="21"/>
              </w:rPr>
              <w:t>任务书下达后55个工作日</w:t>
            </w:r>
          </w:p>
        </w:tc>
        <w:tc>
          <w:tcPr>
            <w:tcW w:w="1492" w:type="pct"/>
            <w:vAlign w:val="center"/>
          </w:tcPr>
          <w:p w14:paraId="2F654FCA">
            <w:pPr>
              <w:rPr>
                <w:rFonts w:ascii="宋体" w:hAnsi="宋体" w:cs="宋体"/>
                <w:szCs w:val="21"/>
              </w:rPr>
            </w:pPr>
            <w:r>
              <w:rPr>
                <w:rFonts w:hint="eastAsia" w:ascii="宋体" w:hAnsi="宋体" w:cs="宋体"/>
                <w:szCs w:val="21"/>
              </w:rPr>
              <w:t>结果上报阶段</w:t>
            </w:r>
          </w:p>
        </w:tc>
        <w:tc>
          <w:tcPr>
            <w:tcW w:w="1815" w:type="pct"/>
            <w:vAlign w:val="center"/>
          </w:tcPr>
          <w:p w14:paraId="5CB2CD03">
            <w:pPr>
              <w:rPr>
                <w:rFonts w:ascii="宋体" w:hAnsi="宋体" w:cs="宋体"/>
                <w:szCs w:val="21"/>
              </w:rPr>
            </w:pPr>
            <w:r>
              <w:rPr>
                <w:rFonts w:hint="eastAsia" w:ascii="宋体" w:hAnsi="宋体" w:cs="宋体"/>
                <w:szCs w:val="21"/>
              </w:rPr>
              <w:t>（1）异议处理。</w:t>
            </w:r>
          </w:p>
          <w:p w14:paraId="526FDF5E">
            <w:pPr>
              <w:rPr>
                <w:rFonts w:ascii="宋体" w:hAnsi="宋体" w:cs="宋体"/>
                <w:szCs w:val="21"/>
              </w:rPr>
            </w:pPr>
            <w:r>
              <w:rPr>
                <w:rFonts w:hint="eastAsia" w:ascii="宋体" w:hAnsi="宋体" w:cs="宋体"/>
                <w:szCs w:val="21"/>
              </w:rPr>
              <w:t>（2）上报产品检验结果。</w:t>
            </w:r>
          </w:p>
        </w:tc>
      </w:tr>
      <w:tr w14:paraId="3904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31" w:type="pct"/>
            <w:vAlign w:val="center"/>
          </w:tcPr>
          <w:p w14:paraId="25AC888F">
            <w:pPr>
              <w:rPr>
                <w:rFonts w:ascii="宋体" w:hAnsi="宋体" w:cs="宋体"/>
                <w:szCs w:val="21"/>
              </w:rPr>
            </w:pPr>
            <w:r>
              <w:rPr>
                <w:rFonts w:hint="eastAsia" w:ascii="宋体" w:hAnsi="宋体" w:cs="宋体"/>
                <w:szCs w:val="21"/>
              </w:rPr>
              <w:t>5</w:t>
            </w:r>
          </w:p>
        </w:tc>
        <w:tc>
          <w:tcPr>
            <w:tcW w:w="1260" w:type="pct"/>
            <w:vAlign w:val="center"/>
          </w:tcPr>
          <w:p w14:paraId="66FF9B08">
            <w:pPr>
              <w:rPr>
                <w:rFonts w:ascii="宋体" w:hAnsi="宋体" w:cs="宋体"/>
                <w:szCs w:val="21"/>
              </w:rPr>
            </w:pPr>
            <w:r>
              <w:rPr>
                <w:rFonts w:hint="eastAsia" w:ascii="宋体" w:hAnsi="宋体" w:cs="宋体"/>
                <w:szCs w:val="21"/>
              </w:rPr>
              <w:t>任务书下达后60个工作日</w:t>
            </w:r>
          </w:p>
        </w:tc>
        <w:tc>
          <w:tcPr>
            <w:tcW w:w="1492" w:type="pct"/>
            <w:vAlign w:val="center"/>
          </w:tcPr>
          <w:p w14:paraId="76EB6DE0">
            <w:pPr>
              <w:rPr>
                <w:rFonts w:ascii="宋体" w:hAnsi="宋体" w:cs="宋体"/>
                <w:szCs w:val="21"/>
              </w:rPr>
            </w:pPr>
            <w:r>
              <w:rPr>
                <w:rFonts w:hint="eastAsia" w:ascii="宋体" w:hAnsi="宋体" w:cs="宋体"/>
                <w:szCs w:val="21"/>
              </w:rPr>
              <w:t>分析和汇总阶段</w:t>
            </w:r>
          </w:p>
        </w:tc>
        <w:tc>
          <w:tcPr>
            <w:tcW w:w="1815" w:type="pct"/>
            <w:vAlign w:val="center"/>
          </w:tcPr>
          <w:p w14:paraId="40E320C3">
            <w:pPr>
              <w:rPr>
                <w:rFonts w:ascii="宋体" w:hAnsi="宋体" w:cs="宋体"/>
                <w:szCs w:val="21"/>
              </w:rPr>
            </w:pPr>
            <w:r>
              <w:rPr>
                <w:rFonts w:hint="eastAsia" w:ascii="宋体" w:hAnsi="宋体" w:cs="宋体"/>
                <w:szCs w:val="21"/>
              </w:rPr>
              <w:t>（1）材料汇总；</w:t>
            </w:r>
          </w:p>
          <w:p w14:paraId="646CB261">
            <w:pPr>
              <w:rPr>
                <w:rFonts w:ascii="宋体" w:hAnsi="宋体" w:cs="宋体"/>
                <w:szCs w:val="21"/>
              </w:rPr>
            </w:pPr>
            <w:r>
              <w:rPr>
                <w:rFonts w:hint="eastAsia" w:ascii="宋体" w:hAnsi="宋体" w:cs="宋体"/>
                <w:szCs w:val="21"/>
              </w:rPr>
              <w:t>（2）形成质量分析报告。</w:t>
            </w:r>
          </w:p>
        </w:tc>
      </w:tr>
    </w:tbl>
    <w:p w14:paraId="6BCFA5ED">
      <w:pPr>
        <w:rPr>
          <w:rFonts w:ascii="宋体" w:hAnsi="宋体" w:cs="宋体"/>
          <w:szCs w:val="21"/>
        </w:rPr>
      </w:pPr>
    </w:p>
    <w:p w14:paraId="7F4BB493">
      <w:pPr>
        <w:spacing w:line="360" w:lineRule="auto"/>
        <w:ind w:firstLine="424" w:firstLineChars="202"/>
        <w:jc w:val="right"/>
        <w:rPr>
          <w:rFonts w:hint="eastAsia" w:ascii="宋体" w:hAnsi="宋体" w:eastAsia="宋体" w:cs="宋体"/>
          <w:sz w:val="21"/>
          <w:szCs w:val="21"/>
          <w:lang w:val="en-US" w:eastAsia="zh-CN"/>
        </w:rPr>
      </w:pPr>
    </w:p>
    <w:p w14:paraId="2BFCD3DE">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华测检测认证集团股份有限公司</w:t>
      </w:r>
    </w:p>
    <w:p w14:paraId="4E60D218">
      <w:pPr>
        <w:spacing w:line="360" w:lineRule="auto"/>
        <w:ind w:firstLine="424" w:firstLineChars="202"/>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2025年6月8日</w:t>
      </w:r>
    </w:p>
    <w:p w14:paraId="7414AD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55EECDEC-BBA9-48C6-815C-25BE7E297A51}"/>
  </w:font>
  <w:font w:name="仿宋">
    <w:panose1 w:val="02010609060101010101"/>
    <w:charset w:val="86"/>
    <w:family w:val="modern"/>
    <w:pitch w:val="default"/>
    <w:sig w:usb0="800002BF" w:usb1="38CF7CFA" w:usb2="00000016" w:usb3="00000000" w:csb0="00040001" w:csb1="00000000"/>
    <w:embedRegular r:id="rId2" w:fontKey="{4779AAD8-B2C8-4C59-AFA4-13D80D897CCB}"/>
  </w:font>
  <w:font w:name="宋体-方正超大字符集">
    <w:altName w:val="宋体"/>
    <w:panose1 w:val="00000000000000000000"/>
    <w:charset w:val="86"/>
    <w:family w:val="script"/>
    <w:pitch w:val="default"/>
    <w:sig w:usb0="00000000" w:usb1="00000000" w:usb2="00000010" w:usb3="00000000" w:csb0="00040000" w:csb1="00000000"/>
    <w:embedRegular r:id="rId3" w:fontKey="{0A8B21D6-92EA-4C1A-909F-2D1F29C1499C}"/>
  </w:font>
  <w:font w:name="方正小标宋_GBK">
    <w:altName w:val="微软雅黑"/>
    <w:panose1 w:val="00000000000000000000"/>
    <w:charset w:val="86"/>
    <w:family w:val="auto"/>
    <w:pitch w:val="default"/>
    <w:sig w:usb0="00000000" w:usb1="00000000" w:usb2="00082016" w:usb3="00000000" w:csb0="00040001" w:csb1="00000000"/>
    <w:embedRegular r:id="rId4" w:fontKey="{7DD56554-F5FE-41A6-A272-0D686E83501D}"/>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zljNTFjZWEzNmI0OTgxMzY4NzJjMTM2YWVlYzkifQ=="/>
  </w:docVars>
  <w:rsids>
    <w:rsidRoot w:val="000031A1"/>
    <w:rsid w:val="000031A1"/>
    <w:rsid w:val="00004149"/>
    <w:rsid w:val="00013120"/>
    <w:rsid w:val="000C06E6"/>
    <w:rsid w:val="00110586"/>
    <w:rsid w:val="00110791"/>
    <w:rsid w:val="0015536F"/>
    <w:rsid w:val="001603D6"/>
    <w:rsid w:val="0016175B"/>
    <w:rsid w:val="001C0CC0"/>
    <w:rsid w:val="002061F7"/>
    <w:rsid w:val="00210962"/>
    <w:rsid w:val="00216CBF"/>
    <w:rsid w:val="00246CF8"/>
    <w:rsid w:val="00273AE2"/>
    <w:rsid w:val="002929EE"/>
    <w:rsid w:val="002C4C36"/>
    <w:rsid w:val="002C7354"/>
    <w:rsid w:val="003011D2"/>
    <w:rsid w:val="00304174"/>
    <w:rsid w:val="00334057"/>
    <w:rsid w:val="00354926"/>
    <w:rsid w:val="00436DED"/>
    <w:rsid w:val="00437149"/>
    <w:rsid w:val="00445D57"/>
    <w:rsid w:val="004824D8"/>
    <w:rsid w:val="004D2CDA"/>
    <w:rsid w:val="004E1B0B"/>
    <w:rsid w:val="004E34C0"/>
    <w:rsid w:val="0051661A"/>
    <w:rsid w:val="00534D6E"/>
    <w:rsid w:val="005351E6"/>
    <w:rsid w:val="00547A53"/>
    <w:rsid w:val="00562EB7"/>
    <w:rsid w:val="006A4F9B"/>
    <w:rsid w:val="006F4824"/>
    <w:rsid w:val="00712D9A"/>
    <w:rsid w:val="00720B0E"/>
    <w:rsid w:val="00721CCE"/>
    <w:rsid w:val="00725F0A"/>
    <w:rsid w:val="00766B6E"/>
    <w:rsid w:val="00766CB7"/>
    <w:rsid w:val="007708BF"/>
    <w:rsid w:val="0078035A"/>
    <w:rsid w:val="00786C9F"/>
    <w:rsid w:val="0079781E"/>
    <w:rsid w:val="007C39AD"/>
    <w:rsid w:val="007E48F8"/>
    <w:rsid w:val="00801699"/>
    <w:rsid w:val="00815EDF"/>
    <w:rsid w:val="00832716"/>
    <w:rsid w:val="00864939"/>
    <w:rsid w:val="00872ED1"/>
    <w:rsid w:val="00874321"/>
    <w:rsid w:val="008743B2"/>
    <w:rsid w:val="008A357C"/>
    <w:rsid w:val="009205E8"/>
    <w:rsid w:val="00962AEF"/>
    <w:rsid w:val="00965A04"/>
    <w:rsid w:val="009A4F62"/>
    <w:rsid w:val="009A678E"/>
    <w:rsid w:val="009B2FD7"/>
    <w:rsid w:val="009E3A8F"/>
    <w:rsid w:val="00A2635B"/>
    <w:rsid w:val="00A33956"/>
    <w:rsid w:val="00A65BB5"/>
    <w:rsid w:val="00A74B37"/>
    <w:rsid w:val="00AE407C"/>
    <w:rsid w:val="00B43097"/>
    <w:rsid w:val="00B77B61"/>
    <w:rsid w:val="00C1172F"/>
    <w:rsid w:val="00C1753B"/>
    <w:rsid w:val="00C27619"/>
    <w:rsid w:val="00C4672D"/>
    <w:rsid w:val="00C86171"/>
    <w:rsid w:val="00CE4E48"/>
    <w:rsid w:val="00CE72AE"/>
    <w:rsid w:val="00D555B7"/>
    <w:rsid w:val="00D7032F"/>
    <w:rsid w:val="00D84ADD"/>
    <w:rsid w:val="00D95874"/>
    <w:rsid w:val="00E01AE0"/>
    <w:rsid w:val="00E333ED"/>
    <w:rsid w:val="00E61F06"/>
    <w:rsid w:val="00E642FC"/>
    <w:rsid w:val="00E66962"/>
    <w:rsid w:val="00E93EEA"/>
    <w:rsid w:val="00EA320A"/>
    <w:rsid w:val="00EB534F"/>
    <w:rsid w:val="00F15CC9"/>
    <w:rsid w:val="00F33E76"/>
    <w:rsid w:val="00F75136"/>
    <w:rsid w:val="00FA55BC"/>
    <w:rsid w:val="00FB04C4"/>
    <w:rsid w:val="00FB3041"/>
    <w:rsid w:val="048D164A"/>
    <w:rsid w:val="070D7412"/>
    <w:rsid w:val="072E208E"/>
    <w:rsid w:val="0732381D"/>
    <w:rsid w:val="08F204AC"/>
    <w:rsid w:val="0B00275A"/>
    <w:rsid w:val="0B87417F"/>
    <w:rsid w:val="0CC714A7"/>
    <w:rsid w:val="0D141031"/>
    <w:rsid w:val="0D170316"/>
    <w:rsid w:val="0EB93339"/>
    <w:rsid w:val="0FD77F2D"/>
    <w:rsid w:val="117C77AF"/>
    <w:rsid w:val="12CE29D8"/>
    <w:rsid w:val="12EF3A78"/>
    <w:rsid w:val="152E03E8"/>
    <w:rsid w:val="152F6116"/>
    <w:rsid w:val="16ED53B9"/>
    <w:rsid w:val="175E3CFD"/>
    <w:rsid w:val="180C6BE2"/>
    <w:rsid w:val="1A951111"/>
    <w:rsid w:val="1AB1581F"/>
    <w:rsid w:val="1B7A5039"/>
    <w:rsid w:val="1B836D49"/>
    <w:rsid w:val="1D282061"/>
    <w:rsid w:val="1DC51D0D"/>
    <w:rsid w:val="20414D4B"/>
    <w:rsid w:val="221A4197"/>
    <w:rsid w:val="23502079"/>
    <w:rsid w:val="265E1596"/>
    <w:rsid w:val="2810627B"/>
    <w:rsid w:val="28892427"/>
    <w:rsid w:val="2B1851DD"/>
    <w:rsid w:val="2C163734"/>
    <w:rsid w:val="2CCF21ED"/>
    <w:rsid w:val="2D265975"/>
    <w:rsid w:val="2F782E84"/>
    <w:rsid w:val="30E84203"/>
    <w:rsid w:val="36EB04FF"/>
    <w:rsid w:val="370276D6"/>
    <w:rsid w:val="37B7401D"/>
    <w:rsid w:val="386B3079"/>
    <w:rsid w:val="395C3C16"/>
    <w:rsid w:val="42D5315D"/>
    <w:rsid w:val="4320017F"/>
    <w:rsid w:val="46C75F3C"/>
    <w:rsid w:val="4B743C9D"/>
    <w:rsid w:val="4D292E6F"/>
    <w:rsid w:val="4EB5358E"/>
    <w:rsid w:val="5043693E"/>
    <w:rsid w:val="524953E7"/>
    <w:rsid w:val="539D6D46"/>
    <w:rsid w:val="56D46BF8"/>
    <w:rsid w:val="57F840A4"/>
    <w:rsid w:val="58A91308"/>
    <w:rsid w:val="5BA67D81"/>
    <w:rsid w:val="5BD112A2"/>
    <w:rsid w:val="5CD526CC"/>
    <w:rsid w:val="5E9F0DA8"/>
    <w:rsid w:val="5EC073AC"/>
    <w:rsid w:val="5F615B5E"/>
    <w:rsid w:val="61791EEB"/>
    <w:rsid w:val="61A30FEA"/>
    <w:rsid w:val="623A1223"/>
    <w:rsid w:val="625378CF"/>
    <w:rsid w:val="62C728EC"/>
    <w:rsid w:val="63D26282"/>
    <w:rsid w:val="65643B4C"/>
    <w:rsid w:val="678114C7"/>
    <w:rsid w:val="68582403"/>
    <w:rsid w:val="6A42336B"/>
    <w:rsid w:val="6AA81C9B"/>
    <w:rsid w:val="6B563571"/>
    <w:rsid w:val="6C6D0151"/>
    <w:rsid w:val="6D7955B3"/>
    <w:rsid w:val="6E7D140D"/>
    <w:rsid w:val="6F343F18"/>
    <w:rsid w:val="6F7B2183"/>
    <w:rsid w:val="6FCF38F2"/>
    <w:rsid w:val="6FEB0212"/>
    <w:rsid w:val="701F484D"/>
    <w:rsid w:val="705A62D8"/>
    <w:rsid w:val="71431EA2"/>
    <w:rsid w:val="725E5BA2"/>
    <w:rsid w:val="72C810AD"/>
    <w:rsid w:val="72D45068"/>
    <w:rsid w:val="774261DA"/>
    <w:rsid w:val="784C1F84"/>
    <w:rsid w:val="7A361E33"/>
    <w:rsid w:val="7A867D67"/>
    <w:rsid w:val="7AAD0B5B"/>
    <w:rsid w:val="7CFC042D"/>
    <w:rsid w:val="7D450D50"/>
    <w:rsid w:val="7EED7C04"/>
    <w:rsid w:val="7F49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3"/>
    <w:qFormat/>
    <w:uiPriority w:val="0"/>
    <w:pPr>
      <w:keepNext/>
      <w:keepLines/>
      <w:spacing w:line="360" w:lineRule="auto"/>
      <w:outlineLvl w:val="3"/>
    </w:pPr>
    <w:rPr>
      <w:rFonts w:ascii="Arial" w:hAnsi="Arial"/>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8"/>
    <w:semiHidden/>
    <w:unhideWhenUsed/>
    <w:qFormat/>
    <w:uiPriority w:val="99"/>
    <w:pPr>
      <w:spacing w:after="120"/>
      <w:ind w:left="420" w:leftChars="2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link w:val="19"/>
    <w:unhideWhenUsed/>
    <w:qFormat/>
    <w:uiPriority w:val="99"/>
    <w:pPr>
      <w:autoSpaceDE w:val="0"/>
      <w:autoSpaceDN w:val="0"/>
      <w:ind w:firstLine="420" w:firstLineChars="200"/>
      <w:jc w:val="left"/>
    </w:pPr>
    <w:rPr>
      <w:rFonts w:ascii="宋体" w:hAnsi="宋体" w:cs="宋体"/>
      <w:kern w:val="0"/>
      <w:sz w:val="24"/>
      <w:szCs w:val="22"/>
      <w:lang w:val="zh-CN" w:bidi="zh-CN"/>
    </w:rPr>
  </w:style>
  <w:style w:type="character" w:styleId="12">
    <w:name w:val="Strong"/>
    <w:basedOn w:val="11"/>
    <w:qFormat/>
    <w:uiPriority w:val="22"/>
    <w:rPr>
      <w:b/>
      <w:bCs/>
    </w:rPr>
  </w:style>
  <w:style w:type="character" w:customStyle="1" w:styleId="13">
    <w:name w:val="标题 4 字符"/>
    <w:basedOn w:val="11"/>
    <w:link w:val="4"/>
    <w:qFormat/>
    <w:uiPriority w:val="0"/>
    <w:rPr>
      <w:rFonts w:ascii="Arial" w:hAnsi="Arial" w:eastAsia="宋体" w:cs="Times New Roman"/>
      <w:b/>
      <w:sz w:val="28"/>
      <w:szCs w:val="24"/>
    </w:rPr>
  </w:style>
  <w:style w:type="character" w:customStyle="1" w:styleId="14">
    <w:name w:val="页眉 字符"/>
    <w:basedOn w:val="11"/>
    <w:link w:val="7"/>
    <w:qFormat/>
    <w:uiPriority w:val="99"/>
    <w:rPr>
      <w:rFonts w:ascii="Times New Roman" w:hAnsi="Times New Roman" w:eastAsia="宋体" w:cs="Times New Roman"/>
      <w:sz w:val="18"/>
      <w:szCs w:val="18"/>
    </w:rPr>
  </w:style>
  <w:style w:type="character" w:customStyle="1" w:styleId="15">
    <w:name w:val="页脚 字符"/>
    <w:basedOn w:val="11"/>
    <w:link w:val="6"/>
    <w:qFormat/>
    <w:uiPriority w:val="99"/>
    <w:rPr>
      <w:rFonts w:ascii="Times New Roman" w:hAnsi="Times New Roman" w:eastAsia="宋体" w:cs="Times New Roman"/>
      <w:sz w:val="18"/>
      <w:szCs w:val="18"/>
    </w:rPr>
  </w:style>
  <w:style w:type="character" w:customStyle="1" w:styleId="16">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7">
    <w:name w:val="标题 3 字符"/>
    <w:basedOn w:val="11"/>
    <w:link w:val="3"/>
    <w:semiHidden/>
    <w:qFormat/>
    <w:uiPriority w:val="9"/>
    <w:rPr>
      <w:rFonts w:ascii="Times New Roman" w:hAnsi="Times New Roman" w:eastAsia="宋体" w:cs="Times New Roman"/>
      <w:b/>
      <w:bCs/>
      <w:sz w:val="32"/>
      <w:szCs w:val="32"/>
    </w:rPr>
  </w:style>
  <w:style w:type="character" w:customStyle="1" w:styleId="18">
    <w:name w:val="正文文本缩进 字符"/>
    <w:basedOn w:val="11"/>
    <w:link w:val="5"/>
    <w:semiHidden/>
    <w:qFormat/>
    <w:uiPriority w:val="99"/>
    <w:rPr>
      <w:rFonts w:ascii="Times New Roman" w:hAnsi="Times New Roman" w:eastAsia="宋体" w:cs="Times New Roman"/>
      <w:szCs w:val="24"/>
    </w:rPr>
  </w:style>
  <w:style w:type="character" w:customStyle="1" w:styleId="19">
    <w:name w:val="正文文本首行缩进 2 字符"/>
    <w:basedOn w:val="18"/>
    <w:link w:val="9"/>
    <w:qFormat/>
    <w:uiPriority w:val="99"/>
    <w:rPr>
      <w:rFonts w:ascii="宋体" w:hAnsi="宋体" w:eastAsia="宋体" w:cs="宋体"/>
      <w:kern w:val="0"/>
      <w:sz w:val="24"/>
      <w:szCs w:val="24"/>
      <w:lang w:val="zh-CN" w:bidi="zh-CN"/>
    </w:rPr>
  </w:style>
  <w:style w:type="paragraph" w:customStyle="1" w:styleId="20">
    <w:name w:val="Table Paragraph"/>
    <w:basedOn w:val="1"/>
    <w:qFormat/>
    <w:uiPriority w:val="1"/>
    <w:pPr>
      <w:autoSpaceDE w:val="0"/>
      <w:autoSpaceDN w:val="0"/>
      <w:jc w:val="left"/>
    </w:pPr>
    <w:rPr>
      <w:rFonts w:ascii="宋体" w:hAnsi="宋体" w:cs="宋体"/>
      <w:kern w:val="0"/>
      <w:sz w:val="24"/>
      <w:szCs w:val="22"/>
      <w:lang w:val="zh-CN" w:bidi="zh-CN"/>
    </w:rPr>
  </w:style>
  <w:style w:type="character" w:styleId="21">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3679</Words>
  <Characters>4101</Characters>
  <Lines>61</Lines>
  <Paragraphs>17</Paragraphs>
  <TotalTime>1</TotalTime>
  <ScaleCrop>false</ScaleCrop>
  <LinksUpToDate>false</LinksUpToDate>
  <CharactersWithSpaces>4151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2023-07-07T02:03:00Z</dcterms:created>
  <dc:creator>candyshen</dc:creator>
  <cp:lastModifiedBy>小魔仙</cp:lastModifiedBy>
  <dcterms:modified xsi:type="dcterms:W3CDTF">2025-06-16T07:47:28Z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3497285A977444BB88EDB9E4A2EDE00F_13</vt:lpwstr>
  </property>
  <property fmtid="{D5CDD505-2E9C-101B-9397-08002B2CF9AE}" pid="4" name="KSOTemplateDocerSaveRecord">
    <vt:lpwstr>eyJoZGlkIjoiMmVjMmM0MGQ5MTYwYTdmMzlhNTI4MTY2NWNhNzg3MTIiLCJ1c2VySWQiOiIyNTU3MjczMDYifQ==</vt:lpwstr>
  </property>
</Properties>
</file>