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376B">
      <w:pPr>
        <w:tabs>
          <w:tab w:val="left" w:pos="420"/>
        </w:tabs>
        <w:spacing w:line="360" w:lineRule="auto"/>
        <w:jc w:val="center"/>
        <w:rPr>
          <w:rFonts w:ascii="仿宋_GB2312" w:hAnsi="仿宋" w:eastAsia="仿宋_GB2312" w:cs="宋体-方正超大字符集"/>
          <w:b/>
          <w:bCs/>
          <w:spacing w:val="-6"/>
          <w:sz w:val="28"/>
          <w:szCs w:val="28"/>
        </w:rPr>
      </w:pPr>
      <w:bookmarkStart w:id="7" w:name="_GoBack"/>
      <w:r>
        <w:rPr>
          <w:rFonts w:hint="eastAsia" w:ascii="宋体" w:hAnsi="宋体" w:cs="方正小标宋_GBK"/>
          <w:b/>
          <w:spacing w:val="-6"/>
          <w:sz w:val="36"/>
          <w:szCs w:val="36"/>
        </w:rPr>
        <w:t>202</w:t>
      </w:r>
      <w:r>
        <w:rPr>
          <w:rFonts w:hint="eastAsia" w:ascii="宋体" w:hAnsi="宋体" w:cs="方正小标宋_GBK"/>
          <w:b/>
          <w:spacing w:val="-6"/>
          <w:sz w:val="36"/>
          <w:szCs w:val="36"/>
          <w:lang w:val="en-US" w:eastAsia="zh-CN"/>
        </w:rPr>
        <w:t>5</w:t>
      </w:r>
      <w:r>
        <w:rPr>
          <w:rFonts w:hint="eastAsia" w:ascii="宋体" w:hAnsi="宋体" w:cs="方正小标宋_GBK"/>
          <w:b/>
          <w:spacing w:val="-6"/>
          <w:sz w:val="36"/>
          <w:szCs w:val="36"/>
        </w:rPr>
        <w:t>年</w:t>
      </w:r>
      <w:r>
        <w:rPr>
          <w:rFonts w:hint="eastAsia" w:ascii="宋体" w:hAnsi="宋体" w:cs="方正小标宋_GBK"/>
          <w:b/>
          <w:spacing w:val="-6"/>
          <w:sz w:val="36"/>
          <w:szCs w:val="36"/>
          <w:lang w:val="en-US" w:eastAsia="zh-CN"/>
        </w:rPr>
        <w:t>大同市老年纸尿裤</w:t>
      </w:r>
      <w:r>
        <w:rPr>
          <w:rFonts w:hint="eastAsia" w:ascii="宋体" w:hAnsi="宋体" w:cs="方正小标宋_GBK"/>
          <w:b/>
          <w:spacing w:val="-6"/>
          <w:sz w:val="36"/>
          <w:szCs w:val="36"/>
        </w:rPr>
        <w:t>产品风险监测项目实施方案</w:t>
      </w:r>
    </w:p>
    <w:bookmarkEnd w:id="7"/>
    <w:p w14:paraId="0B09F53E">
      <w:pPr>
        <w:tabs>
          <w:tab w:val="left" w:pos="420"/>
        </w:tabs>
        <w:spacing w:line="360" w:lineRule="auto"/>
        <w:rPr>
          <w:rFonts w:ascii="宋体" w:hAnsi="宋体" w:cs="宋体"/>
          <w:b/>
          <w:bCs/>
          <w:szCs w:val="21"/>
        </w:rPr>
      </w:pPr>
      <w:r>
        <w:rPr>
          <w:rFonts w:hint="eastAsia" w:ascii="宋体" w:hAnsi="宋体" w:cs="宋体"/>
          <w:b/>
          <w:bCs/>
          <w:szCs w:val="21"/>
        </w:rPr>
        <w:t>1、网络舆情收集</w:t>
      </w:r>
    </w:p>
    <w:p w14:paraId="1811F82F">
      <w:pPr>
        <w:spacing w:line="360" w:lineRule="auto"/>
        <w:ind w:firstLine="420" w:firstLineChars="200"/>
        <w:rPr>
          <w:rFonts w:hint="eastAsia" w:ascii="宋体" w:hAnsi="宋体" w:cs="宋体"/>
          <w:lang w:val="en-US" w:eastAsia="zh-CN"/>
        </w:rPr>
      </w:pPr>
      <w:r>
        <w:rPr>
          <w:rFonts w:hint="default" w:ascii="宋体" w:hAnsi="宋体" w:cs="宋体"/>
          <w:lang w:val="en-US" w:eastAsia="zh-CN"/>
        </w:rPr>
        <w:t>关于</w:t>
      </w:r>
      <w:r>
        <w:rPr>
          <w:rFonts w:hint="eastAsia" w:ascii="宋体" w:hAnsi="宋体" w:cs="宋体"/>
          <w:lang w:val="en-US" w:eastAsia="zh-CN"/>
        </w:rPr>
        <w:t>老年纸尿裤</w:t>
      </w:r>
      <w:r>
        <w:rPr>
          <w:rFonts w:hint="default" w:ascii="宋体" w:hAnsi="宋体" w:cs="宋体"/>
          <w:lang w:val="en-US" w:eastAsia="zh-CN"/>
        </w:rPr>
        <w:t>的舆情主要集中在产品质量安全问题上</w:t>
      </w:r>
      <w:r>
        <w:rPr>
          <w:rFonts w:hint="eastAsia" w:ascii="宋体" w:hAnsi="宋体" w:cs="宋体"/>
          <w:lang w:val="en-US" w:eastAsia="zh-CN"/>
        </w:rPr>
        <w:t>。近三年网络舆情呈现：</w:t>
      </w:r>
    </w:p>
    <w:p w14:paraId="6FA4BEB7">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舆情1：2025 年央视 “3・15” 晚会曝光了山东省济宁市梁山县的梁山希希纸制品有限公司回收卫生巾、纸尿裤等残次品及生产废料进行翻新销售的行为，涉及嫚熙、中亿孕婴、好之、米菲、Babycare 等多个品牌，形成 “残次品回收 - 翻新销售 - 原料回炉” 的黑色产业链，引发社会广泛关注和消费者的 “集体恐慌”。澎湃新闻发布深度报道《劣质尿布瞄准失能老人，“他们痒也不知道”》，揭露部分厂商以低价劣质成人纸尿裤充斥市场，利用消费者信息差，将不符合卫生标准的产品推向缺乏辨别能力的老年群体。其残次品可能流向老年护理市场。</w:t>
      </w:r>
    </w:p>
    <w:p w14:paraId="4D78173B">
      <w:pPr>
        <w:spacing w:line="360" w:lineRule="auto"/>
        <w:ind w:firstLine="420" w:firstLineChars="200"/>
        <w:rPr>
          <w:rFonts w:hint="eastAsia" w:ascii="宋体" w:hAnsi="宋体" w:cs="宋体"/>
          <w:lang w:val="en-US" w:eastAsia="zh-CN"/>
        </w:rPr>
      </w:pPr>
    </w:p>
    <w:p w14:paraId="5E9EB426">
      <w:pPr>
        <w:tabs>
          <w:tab w:val="left" w:pos="420"/>
        </w:tabs>
        <w:spacing w:line="360" w:lineRule="auto"/>
        <w:rPr>
          <w:rFonts w:ascii="宋体" w:hAnsi="宋体" w:cs="宋体"/>
          <w:b/>
          <w:bCs/>
          <w:szCs w:val="21"/>
        </w:rPr>
      </w:pPr>
      <w:r>
        <w:rPr>
          <w:rFonts w:hint="eastAsia" w:ascii="宋体" w:hAnsi="宋体" w:cs="宋体"/>
          <w:b/>
          <w:bCs/>
          <w:szCs w:val="21"/>
        </w:rPr>
        <w:t>2、相关抽查情况或类似缺陷产品召回</w:t>
      </w:r>
    </w:p>
    <w:p w14:paraId="0971EF1F">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国内召回案例</w:t>
      </w:r>
    </w:p>
    <w:p w14:paraId="4498FDD9">
      <w:pPr>
        <w:spacing w:line="360" w:lineRule="auto"/>
        <w:ind w:firstLine="420" w:firstLineChars="200"/>
        <w:rPr>
          <w:rFonts w:hint="default" w:ascii="宋体" w:hAnsi="宋体" w:cs="宋体"/>
          <w:lang w:val="en-US" w:eastAsia="zh-CN"/>
        </w:rPr>
      </w:pPr>
      <w:r>
        <w:rPr>
          <w:rFonts w:hint="default" w:ascii="宋体" w:hAnsi="宋体" w:cs="宋体"/>
          <w:lang w:val="en-US" w:eastAsia="zh-CN"/>
        </w:rPr>
        <w:t>南安市老有福卫生用品厂召回老有福牌成人纸尿裤1：2024 年，南安市老有福卫生用品厂召回 2023 年 4 月 7 日制造的型号规格为 LCK - 0594（XL），生产批号为 2023/04/07 的老有福牌成人纸尿裤。原因是该产品渗透性能偏弱，可能因吸收速度慢、回渗量多导致使用者皮肤过敏。</w:t>
      </w:r>
    </w:p>
    <w:p w14:paraId="1F6779CD">
      <w:pPr>
        <w:spacing w:line="360" w:lineRule="auto"/>
        <w:ind w:firstLine="420" w:firstLineChars="200"/>
        <w:rPr>
          <w:rFonts w:hint="default" w:ascii="宋体" w:hAnsi="宋体" w:cs="宋体"/>
          <w:lang w:val="en-US" w:eastAsia="zh-CN"/>
        </w:rPr>
      </w:pPr>
      <w:r>
        <w:rPr>
          <w:rFonts w:hint="default" w:ascii="宋体" w:hAnsi="宋体" w:cs="宋体"/>
          <w:lang w:val="en-US" w:eastAsia="zh-CN"/>
        </w:rPr>
        <w:t>泉州市晨宇卫生用品有限公司召回部分婴儿纸尿裤4：2023 年，泉州市晨宇卫生用品有限公司召回 2022 年 4 月 30 日与 2022 年 7 月 09 日期间制造的部分型号规格为 3XL 与 5XL，生产批号为 2022 - 04 - 30 与 2022 - 07 - 09 的纸尿裤与裤型尿裤。因细菌菌落总数不符合标准 GB 15979 - 2022《一次性使用卫生用品卫生标准》的要求，可能存在婴儿被细菌感染的风险。</w:t>
      </w:r>
    </w:p>
    <w:p w14:paraId="74E64817">
      <w:pPr>
        <w:spacing w:line="360" w:lineRule="auto"/>
        <w:ind w:firstLine="420" w:firstLineChars="200"/>
        <w:rPr>
          <w:rFonts w:hint="default" w:ascii="宋体" w:hAnsi="宋体" w:cs="宋体"/>
          <w:lang w:val="en-US" w:eastAsia="zh-CN"/>
        </w:rPr>
      </w:pPr>
    </w:p>
    <w:p w14:paraId="0890B539">
      <w:pPr>
        <w:tabs>
          <w:tab w:val="left" w:pos="420"/>
        </w:tabs>
        <w:spacing w:line="360" w:lineRule="auto"/>
        <w:rPr>
          <w:rFonts w:ascii="宋体" w:hAnsi="宋体" w:cs="宋体"/>
          <w:b/>
          <w:bCs/>
          <w:szCs w:val="21"/>
        </w:rPr>
      </w:pPr>
      <w:r>
        <w:rPr>
          <w:rFonts w:hint="eastAsia" w:ascii="宋体" w:hAnsi="宋体" w:cs="宋体"/>
          <w:b/>
          <w:bCs/>
          <w:szCs w:val="21"/>
        </w:rPr>
        <w:t>3、风险监测产品范围</w:t>
      </w:r>
    </w:p>
    <w:p w14:paraId="3284F06C">
      <w:pPr>
        <w:tabs>
          <w:tab w:val="left" w:pos="420"/>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老年纸尿裤</w:t>
      </w:r>
      <w:r>
        <w:rPr>
          <w:rFonts w:hint="eastAsia" w:ascii="宋体" w:hAnsi="宋体" w:cs="宋体"/>
          <w:szCs w:val="21"/>
        </w:rPr>
        <w:t>产品。</w:t>
      </w:r>
    </w:p>
    <w:p w14:paraId="31083939">
      <w:pPr>
        <w:tabs>
          <w:tab w:val="left" w:pos="420"/>
        </w:tabs>
        <w:spacing w:line="360" w:lineRule="auto"/>
        <w:rPr>
          <w:rFonts w:ascii="宋体" w:hAnsi="宋体" w:cs="宋体"/>
          <w:b/>
          <w:bCs/>
          <w:szCs w:val="21"/>
        </w:rPr>
      </w:pPr>
      <w:r>
        <w:rPr>
          <w:rFonts w:hint="eastAsia" w:ascii="宋体" w:hAnsi="宋体" w:cs="宋体"/>
          <w:b/>
          <w:bCs/>
          <w:szCs w:val="21"/>
        </w:rPr>
        <w:t>4、产品标准（国内国外）</w:t>
      </w:r>
    </w:p>
    <w:p w14:paraId="25D845D4">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国内：成人纸尿裤产品标准主要为GB/T 28004.2-2021《纸尿裤 第2部分 ：成人纸尿裤》。规定了成人用纸尿裤、纸尿片、纸尿垫(护理垫)的产品分类、技术要求、试验方法、检验规则及标志、包装、运输、贮存。适用于由外包覆材料、内置吸收层、防漏底膜等制成一次性使用的成人纸尿裤、纸尿片和纸尿垫(护理垫)。除了执行相应的产品标准以外，一次性卫生用品需要符合GB 15979-2002《一次性使用卫生用品卫生标准》。</w:t>
      </w:r>
    </w:p>
    <w:p w14:paraId="508FA821">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卫生巾产品安全标准实施情况如下GB 15979-2002《一次性使用卫生用品卫生标准》，该标准于2002年9月1日实施。 GB 15979-20</w:t>
      </w:r>
      <w:r>
        <w:rPr>
          <w:rFonts w:hint="default" w:ascii="宋体" w:hAnsi="宋体" w:eastAsia="宋体" w:cs="宋体"/>
          <w:szCs w:val="21"/>
          <w:lang w:val="en-US" w:eastAsia="zh-CN"/>
        </w:rPr>
        <w:t>24</w:t>
      </w:r>
      <w:r>
        <w:rPr>
          <w:rFonts w:hint="eastAsia" w:ascii="宋体" w:hAnsi="宋体" w:eastAsia="宋体" w:cs="宋体"/>
          <w:szCs w:val="21"/>
          <w:lang w:val="en-US" w:eastAsia="zh-CN"/>
        </w:rPr>
        <w:t>《</w:t>
      </w:r>
      <w:r>
        <w:rPr>
          <w:rFonts w:hint="default" w:ascii="宋体" w:hAnsi="宋体" w:eastAsia="宋体" w:cs="宋体"/>
          <w:szCs w:val="21"/>
          <w:lang w:val="en-US" w:eastAsia="zh-CN"/>
        </w:rPr>
        <w:t>一次性使用卫生用品卫生要求</w:t>
      </w:r>
      <w:r>
        <w:rPr>
          <w:rFonts w:hint="eastAsia" w:ascii="宋体" w:hAnsi="宋体" w:eastAsia="宋体" w:cs="宋体"/>
          <w:szCs w:val="21"/>
          <w:lang w:val="en-US" w:eastAsia="zh-CN"/>
        </w:rPr>
        <w:t>》，该标准即将在2025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w:t>
      </w:r>
      <w:r>
        <w:rPr>
          <w:rFonts w:hint="eastAsia" w:ascii="宋体" w:hAnsi="宋体" w:eastAsia="宋体" w:cs="宋体"/>
          <w:szCs w:val="21"/>
          <w:lang w:val="en-US" w:eastAsia="zh-CN"/>
        </w:rPr>
        <w:t>实施。</w:t>
      </w:r>
    </w:p>
    <w:p w14:paraId="153B4B01">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GB 15979-2002标准规定了一次性使用卫生用品的产品和生产环境卫生标准、消毒效果生物监测评价标准和相应检验方法,以及原材料与产品生产、消毒、贮存、运输过程卫生要求和产品标识要求。在该标准中，一次性使用卫生用品是指：使用一次后即丢弃的、与人体直接或间接接触的,并为达到人体生理卫生或卫生保健(抗菌或抑菌)目的而使用的各种日常生活用品,产品性状可以是固体也可以是液体。例如,一次性使用手套或指套(不包括医用手套或指套),纸巾、湿巾、卫生湿巾、电话膜、帽子、口罩、内裤、妇女经期卫生用品(包括卫生护垫)、尿布等排泄物卫生用品(不包括皱纹卫生纸等厕所用纸)、避孕套等,在本标准中统称为“卫生用品”。</w:t>
      </w:r>
    </w:p>
    <w:p w14:paraId="03F50721">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该标准即将更新，新版标准GB 15979-20</w:t>
      </w:r>
      <w:r>
        <w:rPr>
          <w:rFonts w:hint="default" w:ascii="宋体" w:hAnsi="宋体" w:eastAsia="宋体" w:cs="宋体"/>
          <w:szCs w:val="21"/>
          <w:lang w:val="en-US" w:eastAsia="zh-CN"/>
        </w:rPr>
        <w:t>24</w:t>
      </w:r>
      <w:r>
        <w:rPr>
          <w:rFonts w:hint="eastAsia" w:ascii="宋体" w:hAnsi="宋体" w:eastAsia="宋体" w:cs="宋体"/>
          <w:szCs w:val="21"/>
          <w:lang w:val="en-US" w:eastAsia="zh-CN"/>
        </w:rPr>
        <w:t>《</w:t>
      </w:r>
      <w:r>
        <w:rPr>
          <w:rFonts w:hint="default" w:ascii="宋体" w:hAnsi="宋体" w:eastAsia="宋体" w:cs="宋体"/>
          <w:szCs w:val="21"/>
          <w:lang w:val="en-US" w:eastAsia="zh-CN"/>
        </w:rPr>
        <w:t>一次性使用卫生用品卫生要求</w:t>
      </w:r>
      <w:r>
        <w:rPr>
          <w:rFonts w:hint="eastAsia" w:ascii="宋体" w:hAnsi="宋体" w:eastAsia="宋体" w:cs="宋体"/>
          <w:szCs w:val="21"/>
          <w:lang w:val="en-US" w:eastAsia="zh-CN"/>
        </w:rPr>
        <w:t>》即将在2025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w:t>
      </w:r>
      <w:r>
        <w:rPr>
          <w:rFonts w:hint="eastAsia" w:ascii="宋体" w:hAnsi="宋体" w:eastAsia="宋体" w:cs="宋体"/>
          <w:szCs w:val="21"/>
          <w:lang w:val="en-US" w:eastAsia="zh-CN"/>
        </w:rPr>
        <w:t>实施，2025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日之前生产的</w:t>
      </w:r>
      <w:r>
        <w:rPr>
          <w:rFonts w:hint="eastAsia" w:ascii="宋体" w:hAnsi="宋体" w:eastAsia="宋体" w:cs="宋体"/>
          <w:szCs w:val="21"/>
          <w:lang w:val="en-US" w:eastAsia="zh-CN"/>
        </w:rPr>
        <w:t>卫生巾</w:t>
      </w:r>
      <w:r>
        <w:rPr>
          <w:rFonts w:hint="default" w:ascii="宋体" w:hAnsi="宋体" w:eastAsia="宋体" w:cs="宋体"/>
          <w:szCs w:val="21"/>
          <w:lang w:val="en-US" w:eastAsia="zh-CN"/>
        </w:rPr>
        <w:t>按</w:t>
      </w:r>
      <w:r>
        <w:rPr>
          <w:rFonts w:hint="eastAsia" w:ascii="宋体" w:hAnsi="宋体" w:eastAsia="宋体" w:cs="宋体"/>
          <w:szCs w:val="21"/>
          <w:lang w:val="en-US" w:eastAsia="zh-CN"/>
        </w:rPr>
        <w:t>GB 15979-20</w:t>
      </w:r>
      <w:r>
        <w:rPr>
          <w:rFonts w:hint="default" w:ascii="宋体" w:hAnsi="宋体" w:eastAsia="宋体" w:cs="宋体"/>
          <w:szCs w:val="21"/>
          <w:lang w:val="en-US" w:eastAsia="zh-CN"/>
        </w:rPr>
        <w:t>02项目检测，</w:t>
      </w:r>
      <w:r>
        <w:rPr>
          <w:rFonts w:hint="eastAsia" w:ascii="宋体" w:hAnsi="宋体" w:eastAsia="宋体" w:cs="宋体"/>
          <w:szCs w:val="21"/>
          <w:lang w:val="en-US" w:eastAsia="zh-CN"/>
        </w:rPr>
        <w:t>2025</w:t>
      </w:r>
      <w:r>
        <w:rPr>
          <w:rFonts w:hint="default" w:ascii="宋体" w:hAnsi="宋体" w:eastAsia="宋体" w:cs="宋体"/>
          <w:szCs w:val="21"/>
          <w:lang w:val="en-US" w:eastAsia="zh-CN"/>
        </w:rPr>
        <w:t>年</w:t>
      </w:r>
      <w:r>
        <w:rPr>
          <w:rFonts w:hint="eastAsia" w:ascii="宋体" w:hAnsi="宋体" w:eastAsia="宋体" w:cs="宋体"/>
          <w:szCs w:val="21"/>
          <w:lang w:val="en-US" w:eastAsia="zh-CN"/>
        </w:rPr>
        <w:t>07</w:t>
      </w:r>
      <w:r>
        <w:rPr>
          <w:rFonts w:hint="default" w:ascii="宋体" w:hAnsi="宋体" w:eastAsia="宋体" w:cs="宋体"/>
          <w:szCs w:val="21"/>
          <w:lang w:val="en-US" w:eastAsia="zh-CN"/>
        </w:rPr>
        <w:t>月</w:t>
      </w:r>
      <w:r>
        <w:rPr>
          <w:rFonts w:hint="eastAsia" w:ascii="宋体" w:hAnsi="宋体" w:eastAsia="宋体" w:cs="宋体"/>
          <w:szCs w:val="21"/>
          <w:lang w:val="en-US" w:eastAsia="zh-CN"/>
        </w:rPr>
        <w:t>01</w:t>
      </w:r>
      <w:r>
        <w:rPr>
          <w:rFonts w:hint="default" w:ascii="宋体" w:hAnsi="宋体" w:eastAsia="宋体" w:cs="宋体"/>
          <w:szCs w:val="21"/>
          <w:lang w:val="en-US" w:eastAsia="zh-CN"/>
        </w:rPr>
        <w:t>日</w:t>
      </w:r>
      <w:r>
        <w:rPr>
          <w:rFonts w:hint="eastAsia" w:ascii="宋体" w:hAnsi="宋体" w:eastAsia="宋体" w:cs="宋体"/>
          <w:szCs w:val="21"/>
          <w:lang w:val="en-US" w:eastAsia="zh-CN"/>
        </w:rPr>
        <w:t>及</w:t>
      </w:r>
      <w:r>
        <w:rPr>
          <w:rFonts w:hint="default" w:ascii="宋体" w:hAnsi="宋体" w:eastAsia="宋体" w:cs="宋体"/>
          <w:szCs w:val="21"/>
          <w:lang w:val="en-US" w:eastAsia="zh-CN"/>
        </w:rPr>
        <w:t>之后生产的</w:t>
      </w:r>
      <w:r>
        <w:rPr>
          <w:rFonts w:hint="eastAsia" w:ascii="宋体" w:hAnsi="宋体" w:eastAsia="宋体" w:cs="宋体"/>
          <w:szCs w:val="21"/>
          <w:lang w:val="en-US" w:eastAsia="zh-CN"/>
        </w:rPr>
        <w:t>卫生巾</w:t>
      </w:r>
      <w:r>
        <w:rPr>
          <w:rFonts w:hint="default" w:ascii="宋体" w:hAnsi="宋体" w:eastAsia="宋体" w:cs="宋体"/>
          <w:szCs w:val="21"/>
          <w:lang w:val="en-US" w:eastAsia="zh-CN"/>
        </w:rPr>
        <w:t>按</w:t>
      </w:r>
      <w:r>
        <w:rPr>
          <w:rFonts w:hint="eastAsia" w:ascii="宋体" w:hAnsi="宋体" w:eastAsia="宋体" w:cs="宋体"/>
          <w:szCs w:val="21"/>
          <w:lang w:val="en-US" w:eastAsia="zh-CN"/>
        </w:rPr>
        <w:t>GB 15979-20</w:t>
      </w:r>
      <w:r>
        <w:rPr>
          <w:rFonts w:hint="default" w:ascii="宋体" w:hAnsi="宋体" w:eastAsia="宋体" w:cs="宋体"/>
          <w:szCs w:val="21"/>
          <w:lang w:val="en-US" w:eastAsia="zh-CN"/>
        </w:rPr>
        <w:t>24项目检测。</w:t>
      </w:r>
    </w:p>
    <w:p w14:paraId="385C8A77">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国外：</w:t>
      </w:r>
      <w:r>
        <w:rPr>
          <w:rFonts w:hint="eastAsia" w:ascii="宋体" w:hAnsi="宋体" w:cs="宋体"/>
          <w:szCs w:val="21"/>
          <w:lang w:val="en-US" w:eastAsia="zh-CN"/>
        </w:rPr>
        <w:t>在</w:t>
      </w:r>
      <w:r>
        <w:rPr>
          <w:rFonts w:hint="eastAsia" w:ascii="宋体" w:hAnsi="宋体" w:eastAsia="宋体" w:cs="宋体"/>
          <w:szCs w:val="21"/>
          <w:lang w:val="en-US" w:eastAsia="zh-CN"/>
        </w:rPr>
        <w:t>美国成人纸尿裤被视为医疗器械，属于 I 类医疗器械。在上市前需要向美国食品药品监督管理局（FDA）提交上市前通告，通过实验证明产品的有害物质和菌落数达到安全标准，且不会造成菌群紊乱、红肿、过敏等健康问题</w:t>
      </w:r>
      <w:r>
        <w:rPr>
          <w:rFonts w:hint="default" w:ascii="宋体" w:hAnsi="宋体" w:eastAsia="宋体" w:cs="宋体"/>
          <w:szCs w:val="21"/>
          <w:lang w:val="en-US" w:eastAsia="zh-CN"/>
        </w:rPr>
        <w:t>。</w:t>
      </w:r>
      <w:r>
        <w:rPr>
          <w:rFonts w:hint="eastAsia" w:ascii="宋体" w:hAnsi="宋体" w:cs="宋体"/>
          <w:szCs w:val="21"/>
          <w:lang w:val="en-US" w:eastAsia="zh-CN"/>
        </w:rPr>
        <w:t>在欧盟也属于医疗器械，需通过</w:t>
      </w:r>
      <w:r>
        <w:rPr>
          <w:rFonts w:hint="eastAsia" w:ascii="宋体" w:hAnsi="宋体" w:eastAsia="宋体" w:cs="宋体"/>
          <w:szCs w:val="21"/>
          <w:lang w:val="en-US" w:eastAsia="zh-CN"/>
        </w:rPr>
        <w:t>标准进行测试，内容涉及纸尿裤的吸收性能、防漏性能、皮肤刺激性等方面</w:t>
      </w:r>
      <w:r>
        <w:rPr>
          <w:rFonts w:hint="eastAsia" w:ascii="宋体" w:hAnsi="宋体" w:cs="宋体"/>
          <w:szCs w:val="21"/>
          <w:lang w:val="en-US" w:eastAsia="zh-CN"/>
        </w:rPr>
        <w:t>，确保产品合规。</w:t>
      </w:r>
      <w:r>
        <w:rPr>
          <w:rFonts w:hint="eastAsia" w:ascii="宋体" w:hAnsi="宋体" w:eastAsia="宋体" w:cs="宋体"/>
          <w:szCs w:val="21"/>
          <w:lang w:val="en-US" w:eastAsia="zh-CN"/>
        </w:rPr>
        <w:t>对于</w:t>
      </w:r>
      <w:r>
        <w:rPr>
          <w:rFonts w:hint="eastAsia" w:ascii="宋体" w:hAnsi="宋体" w:cs="宋体"/>
          <w:szCs w:val="21"/>
          <w:lang w:val="en-US" w:eastAsia="zh-CN"/>
        </w:rPr>
        <w:t>纸尿裤</w:t>
      </w:r>
      <w:r>
        <w:rPr>
          <w:rFonts w:hint="eastAsia" w:ascii="宋体" w:hAnsi="宋体" w:eastAsia="宋体" w:cs="宋体"/>
          <w:szCs w:val="21"/>
          <w:lang w:val="en-US" w:eastAsia="zh-CN"/>
        </w:rPr>
        <w:t>产品中所使用到的各种材料的有害物质，欧美有较为严格的法规和指令管控，如欧盟REACH法规、POP法规、美国CPSC、加州65等等。</w:t>
      </w:r>
    </w:p>
    <w:p w14:paraId="49A87FDB">
      <w:pPr>
        <w:tabs>
          <w:tab w:val="left" w:pos="420"/>
        </w:tabs>
        <w:spacing w:line="360" w:lineRule="auto"/>
        <w:ind w:firstLine="420" w:firstLineChars="200"/>
        <w:rPr>
          <w:rFonts w:hint="default" w:ascii="宋体" w:hAnsi="宋体" w:eastAsia="宋体" w:cs="宋体"/>
          <w:szCs w:val="21"/>
          <w:lang w:val="en-US" w:eastAsia="zh-CN"/>
        </w:rPr>
      </w:pPr>
    </w:p>
    <w:p w14:paraId="37946FBF">
      <w:pPr>
        <w:tabs>
          <w:tab w:val="left" w:pos="420"/>
        </w:tabs>
        <w:spacing w:line="360" w:lineRule="auto"/>
        <w:rPr>
          <w:rFonts w:hint="eastAsia" w:ascii="宋体" w:hAnsi="宋体" w:cs="宋体"/>
          <w:b/>
          <w:bCs/>
          <w:szCs w:val="21"/>
        </w:rPr>
      </w:pPr>
    </w:p>
    <w:p w14:paraId="2D2ED161">
      <w:pPr>
        <w:tabs>
          <w:tab w:val="left" w:pos="420"/>
        </w:tabs>
        <w:spacing w:line="360" w:lineRule="auto"/>
        <w:rPr>
          <w:rFonts w:ascii="宋体" w:hAnsi="宋体" w:cs="宋体"/>
          <w:b/>
          <w:bCs/>
          <w:szCs w:val="21"/>
          <w:highlight w:val="yellow"/>
        </w:rPr>
      </w:pPr>
      <w:r>
        <w:rPr>
          <w:rFonts w:hint="eastAsia" w:ascii="宋体" w:hAnsi="宋体" w:cs="宋体"/>
          <w:b/>
          <w:bCs/>
          <w:szCs w:val="21"/>
        </w:rPr>
        <w:t>5、</w:t>
      </w:r>
      <w:r>
        <w:rPr>
          <w:rFonts w:hint="eastAsia" w:ascii="宋体" w:hAnsi="宋体" w:cs="宋体"/>
          <w:b/>
          <w:bCs/>
          <w:szCs w:val="21"/>
          <w:highlight w:val="none"/>
        </w:rPr>
        <w:t>检测方法相关标准（国内国外）</w:t>
      </w:r>
    </w:p>
    <w:p w14:paraId="78233AF2">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国内检测方法：</w:t>
      </w:r>
    </w:p>
    <w:p w14:paraId="74C3E4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细菌菌落总数、致病性化脓菌、大肠菌群、真菌菌落</w:t>
      </w:r>
      <w:r>
        <w:rPr>
          <w:rFonts w:hint="eastAsia" w:ascii="宋体" w:hAnsi="宋体" w:eastAsia="宋体" w:cs="宋体"/>
          <w:b w:val="0"/>
          <w:bCs w:val="0"/>
          <w:kern w:val="2"/>
          <w:sz w:val="21"/>
          <w:szCs w:val="21"/>
          <w:lang w:val="en-US" w:eastAsia="zh-CN" w:bidi="ar-SA"/>
        </w:rPr>
        <w:t>总数：GB 15979-2002《一次性使用卫生用品卫生标准》、GB 15979-20</w:t>
      </w:r>
      <w:r>
        <w:rPr>
          <w:rFonts w:hint="default" w:ascii="宋体" w:hAnsi="宋体" w:eastAsia="宋体" w:cs="宋体"/>
          <w:b w:val="0"/>
          <w:bCs w:val="0"/>
          <w:kern w:val="2"/>
          <w:sz w:val="21"/>
          <w:szCs w:val="21"/>
          <w:lang w:val="en-US" w:eastAsia="zh-CN" w:bidi="ar-SA"/>
        </w:rPr>
        <w:t>24</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一次性使用卫生用品卫生要求</w:t>
      </w:r>
      <w:r>
        <w:rPr>
          <w:rFonts w:hint="eastAsia" w:ascii="宋体" w:hAnsi="宋体" w:eastAsia="宋体" w:cs="宋体"/>
          <w:b w:val="0"/>
          <w:bCs w:val="0"/>
          <w:kern w:val="2"/>
          <w:sz w:val="21"/>
          <w:szCs w:val="21"/>
          <w:lang w:val="en-US" w:eastAsia="zh-CN" w:bidi="ar-SA"/>
        </w:rPr>
        <w:t>》</w:t>
      </w:r>
    </w:p>
    <w:p w14:paraId="1D4609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可触及的塑料件中邻苯二甲酸酯增塑剂的限量</w:t>
      </w:r>
      <w:r>
        <w:rPr>
          <w:rFonts w:hint="eastAsia" w:ascii="宋体" w:hAnsi="宋体" w:cs="宋体"/>
          <w:b w:val="0"/>
          <w:bCs w:val="0"/>
          <w:kern w:val="2"/>
          <w:sz w:val="21"/>
          <w:szCs w:val="21"/>
          <w:lang w:val="en-US" w:eastAsia="zh-CN" w:bidi="ar-SA"/>
        </w:rPr>
        <w:t>：GB/T 22048-2022《玩具及儿童用品中特定邻苯二甲酸酯增塑剂的测定》</w:t>
      </w:r>
    </w:p>
    <w:p w14:paraId="40BC47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渗透性能：GB/T 28004.2-2021《纸尿裤 第2部分 ：成人纸尿裤》、GB/T 28004-2011《纸尿裤(片、垫)》</w:t>
      </w:r>
    </w:p>
    <w:p w14:paraId="04A466B4">
      <w:pPr>
        <w:adjustRightInd w:val="0"/>
        <w:snapToGrid w:val="0"/>
        <w:ind w:firstLine="420" w:firstLineChars="200"/>
        <w:jc w:val="both"/>
        <w:rPr>
          <w:rFonts w:hint="eastAsia" w:ascii="宋体" w:hAnsi="宋体" w:cs="宋体"/>
          <w:szCs w:val="21"/>
        </w:rPr>
      </w:pPr>
    </w:p>
    <w:p w14:paraId="09B65CD8">
      <w:pPr>
        <w:tabs>
          <w:tab w:val="left" w:pos="420"/>
        </w:tabs>
        <w:spacing w:line="360" w:lineRule="auto"/>
        <w:ind w:firstLine="422" w:firstLineChars="200"/>
        <w:rPr>
          <w:rFonts w:hint="eastAsia" w:ascii="宋体" w:hAnsi="宋体" w:cs="宋体"/>
          <w:b/>
          <w:bCs/>
          <w:szCs w:val="21"/>
        </w:rPr>
      </w:pPr>
      <w:r>
        <w:rPr>
          <w:rFonts w:hint="eastAsia" w:ascii="宋体" w:hAnsi="宋体" w:cs="宋体"/>
          <w:b/>
          <w:bCs/>
          <w:szCs w:val="21"/>
        </w:rPr>
        <w:t>国外检测方法(欧盟)：</w:t>
      </w:r>
    </w:p>
    <w:p w14:paraId="26DCFA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细菌菌落总数、致病性化脓菌、大肠菌群、真菌菌落总数：美国药典四十三版 第62章 非无菌产品的微生物学检测：特殊微生物的测试</w:t>
      </w:r>
    </w:p>
    <w:p w14:paraId="0210EA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可触及的塑料件中邻苯二甲酸酯增塑剂的限量</w:t>
      </w:r>
      <w:r>
        <w:rPr>
          <w:rFonts w:hint="eastAsia" w:ascii="宋体" w:hAnsi="宋体" w:cs="宋体"/>
          <w:b w:val="0"/>
          <w:bCs w:val="0"/>
          <w:kern w:val="2"/>
          <w:sz w:val="21"/>
          <w:szCs w:val="21"/>
          <w:lang w:val="en-US" w:eastAsia="zh-CN" w:bidi="ar-SA"/>
        </w:rPr>
        <w:t>：REACH 附录XVII</w:t>
      </w:r>
    </w:p>
    <w:p w14:paraId="7AFD7D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p>
    <w:p w14:paraId="3DB9D088">
      <w:pPr>
        <w:spacing w:line="360" w:lineRule="auto"/>
        <w:rPr>
          <w:b/>
          <w:bCs/>
        </w:rPr>
      </w:pPr>
      <w:bookmarkStart w:id="0" w:name="_Toc9074"/>
      <w:r>
        <w:rPr>
          <w:rFonts w:hint="eastAsia"/>
          <w:b/>
          <w:bCs/>
        </w:rPr>
        <w:t>6、采样方案及评估方法</w:t>
      </w:r>
      <w:bookmarkEnd w:id="0"/>
    </w:p>
    <w:p w14:paraId="1C81C04F">
      <w:pPr>
        <w:spacing w:line="360" w:lineRule="auto"/>
        <w:ind w:firstLine="210" w:firstLineChars="100"/>
      </w:pPr>
      <w:bookmarkStart w:id="1" w:name="_Toc423"/>
      <w:r>
        <w:rPr>
          <w:rFonts w:hint="eastAsia"/>
        </w:rPr>
        <w:t>6.1、样品覆盖率设计</w:t>
      </w:r>
      <w:bookmarkEnd w:id="1"/>
    </w:p>
    <w:p w14:paraId="43228728">
      <w:pPr>
        <w:tabs>
          <w:tab w:val="left" w:pos="420"/>
        </w:tabs>
        <w:spacing w:line="360" w:lineRule="auto"/>
        <w:ind w:firstLine="420" w:firstLineChars="200"/>
        <w:rPr>
          <w:rFonts w:hint="eastAsia" w:ascii="宋体" w:hAnsi="宋体" w:cs="宋体"/>
          <w:szCs w:val="21"/>
        </w:rPr>
      </w:pPr>
      <w:r>
        <w:rPr>
          <w:rFonts w:hint="eastAsia" w:ascii="宋体" w:hAnsi="宋体" w:cs="宋体"/>
          <w:color w:val="000000"/>
          <w:szCs w:val="21"/>
        </w:rPr>
        <w:t>本次监测的产品为</w:t>
      </w:r>
      <w:r>
        <w:rPr>
          <w:rFonts w:hint="eastAsia" w:ascii="宋体" w:hAnsi="宋体" w:cs="宋体"/>
          <w:color w:val="000000"/>
          <w:szCs w:val="21"/>
          <w:lang w:val="en-US" w:eastAsia="zh-CN"/>
        </w:rPr>
        <w:t>老人纸尿裤</w:t>
      </w:r>
      <w:r>
        <w:rPr>
          <w:rFonts w:hint="eastAsia" w:ascii="宋体" w:hAnsi="宋体" w:cs="宋体"/>
          <w:szCs w:val="21"/>
        </w:rPr>
        <w:t>产品。</w:t>
      </w:r>
    </w:p>
    <w:p w14:paraId="62E6AE3A">
      <w:pPr>
        <w:tabs>
          <w:tab w:val="left" w:pos="420"/>
        </w:tabs>
        <w:spacing w:line="360" w:lineRule="auto"/>
        <w:ind w:firstLine="420" w:firstLineChars="200"/>
        <w:rPr>
          <w:rFonts w:ascii="宋体" w:hAnsi="宋体" w:cs="宋体"/>
          <w:color w:val="000000"/>
          <w:szCs w:val="21"/>
        </w:rPr>
      </w:pPr>
      <w:r>
        <w:rPr>
          <w:rFonts w:hint="eastAsia" w:ascii="宋体" w:hAnsi="宋体" w:cs="宋体"/>
          <w:color w:val="000000"/>
          <w:szCs w:val="21"/>
        </w:rPr>
        <w:t>本次计划抽取</w:t>
      </w:r>
      <w:r>
        <w:rPr>
          <w:rFonts w:hint="eastAsia" w:ascii="宋体" w:hAnsi="宋体" w:cs="宋体"/>
          <w:color w:val="000000"/>
          <w:szCs w:val="21"/>
          <w:lang w:val="en-US" w:eastAsia="zh-CN"/>
        </w:rPr>
        <w:t>老人纸尿裤</w:t>
      </w:r>
      <w:r>
        <w:rPr>
          <w:rFonts w:hint="eastAsia" w:ascii="宋体" w:hAnsi="宋体" w:cs="宋体"/>
          <w:color w:val="000000"/>
          <w:szCs w:val="21"/>
        </w:rPr>
        <w:t>样品数</w:t>
      </w:r>
      <w:r>
        <w:rPr>
          <w:rFonts w:hint="eastAsia" w:ascii="宋体" w:hAnsi="宋体" w:cs="宋体"/>
          <w:color w:val="000000"/>
          <w:szCs w:val="21"/>
          <w:highlight w:val="none"/>
          <w:shd w:val="clear" w:fill="FFFFFF" w:themeFill="background1"/>
        </w:rPr>
        <w:t>量为</w:t>
      </w:r>
      <w:r>
        <w:rPr>
          <w:rFonts w:hint="eastAsia" w:ascii="宋体" w:hAnsi="宋体" w:cs="宋体"/>
          <w:color w:val="000000"/>
          <w:szCs w:val="21"/>
          <w:highlight w:val="none"/>
          <w:shd w:val="clear" w:fill="FFFFFF" w:themeFill="background1"/>
          <w:lang w:val="en-US" w:eastAsia="zh-CN"/>
        </w:rPr>
        <w:t>5</w:t>
      </w:r>
      <w:r>
        <w:rPr>
          <w:rFonts w:hint="eastAsia" w:ascii="宋体" w:hAnsi="宋体" w:cs="宋体"/>
          <w:color w:val="000000"/>
          <w:szCs w:val="21"/>
          <w:highlight w:val="none"/>
          <w:shd w:val="clear" w:fill="FFFFFF" w:themeFill="background1"/>
        </w:rPr>
        <w:t>批次</w:t>
      </w:r>
      <w:r>
        <w:rPr>
          <w:rFonts w:hint="eastAsia" w:ascii="宋体" w:hAnsi="宋体" w:cs="宋体"/>
          <w:color w:val="000000"/>
          <w:szCs w:val="21"/>
        </w:rPr>
        <w:t>。</w:t>
      </w:r>
    </w:p>
    <w:p w14:paraId="46B6C242">
      <w:pPr>
        <w:spacing w:line="360" w:lineRule="auto"/>
        <w:ind w:firstLine="420" w:firstLineChars="200"/>
        <w:rPr>
          <w:rFonts w:ascii="宋体" w:hAnsi="宋体" w:cs="宋体"/>
          <w:szCs w:val="21"/>
        </w:rPr>
      </w:pPr>
      <w:r>
        <w:rPr>
          <w:rFonts w:hint="eastAsia" w:ascii="宋体" w:hAnsi="宋体" w:cs="宋体"/>
          <w:szCs w:val="21"/>
        </w:rPr>
        <w:t>本次监测以高、中、低档产品兼顾的原则，既要反映市场上主流品牌产品的风险状况，也要反映低档产品的风险状况，以保证风险监测结果能够反映出</w:t>
      </w:r>
      <w:r>
        <w:rPr>
          <w:rFonts w:hint="eastAsia" w:ascii="宋体" w:hAnsi="宋体" w:cs="宋体"/>
          <w:color w:val="000000"/>
          <w:szCs w:val="21"/>
          <w:lang w:val="en-US" w:eastAsia="zh-CN"/>
        </w:rPr>
        <w:t>老人纸尿裤</w:t>
      </w:r>
      <w:r>
        <w:rPr>
          <w:rFonts w:hint="eastAsia" w:ascii="宋体" w:hAnsi="宋体" w:cs="宋体"/>
          <w:szCs w:val="21"/>
        </w:rPr>
        <w:t>行业的风险程度。</w:t>
      </w:r>
    </w:p>
    <w:p w14:paraId="6C4739FC">
      <w:pPr>
        <w:spacing w:line="360" w:lineRule="auto"/>
        <w:ind w:firstLine="420" w:firstLineChars="200"/>
        <w:rPr>
          <w:rFonts w:ascii="宋体" w:hAnsi="宋体" w:cs="宋体"/>
          <w:szCs w:val="21"/>
        </w:rPr>
      </w:pPr>
      <w:r>
        <w:rPr>
          <w:rFonts w:hint="eastAsia" w:ascii="宋体" w:hAnsi="宋体" w:cs="宋体"/>
          <w:szCs w:val="21"/>
        </w:rPr>
        <w:t>（1）抽样领域：市场实体店抽</w:t>
      </w:r>
      <w:r>
        <w:rPr>
          <w:rFonts w:hint="eastAsia" w:ascii="宋体" w:hAnsi="宋体" w:cs="宋体"/>
          <w:szCs w:val="21"/>
          <w:lang w:val="en-US" w:eastAsia="zh-CN"/>
        </w:rPr>
        <w:t>5</w:t>
      </w:r>
      <w:r>
        <w:rPr>
          <w:rFonts w:hint="eastAsia" w:ascii="宋体" w:hAnsi="宋体" w:cs="宋体"/>
          <w:szCs w:val="21"/>
        </w:rPr>
        <w:t>批次，抽样范围覆盖商场、超市、以及专卖店三类抽样地点。实体店抽样时，原则上同一个生产厂家可抽取不超过</w:t>
      </w:r>
      <w:r>
        <w:rPr>
          <w:rFonts w:ascii="宋体" w:hAnsi="宋体" w:cs="宋体"/>
          <w:szCs w:val="21"/>
        </w:rPr>
        <w:t>2</w:t>
      </w:r>
      <w:r>
        <w:rPr>
          <w:rFonts w:hint="eastAsia" w:ascii="宋体" w:hAnsi="宋体" w:cs="宋体"/>
          <w:szCs w:val="21"/>
        </w:rPr>
        <w:t>个批次产品。</w:t>
      </w:r>
    </w:p>
    <w:p w14:paraId="5F00E078">
      <w:pPr>
        <w:spacing w:line="360" w:lineRule="auto"/>
        <w:ind w:firstLine="420" w:firstLineChars="200"/>
        <w:rPr>
          <w:rFonts w:hint="default" w:ascii="宋体" w:hAnsi="宋体" w:cs="宋体"/>
          <w:szCs w:val="21"/>
          <w:lang w:val="en-US" w:eastAsia="zh-CN"/>
        </w:rPr>
      </w:pPr>
      <w:r>
        <w:rPr>
          <w:rFonts w:hint="eastAsia" w:ascii="宋体" w:hAnsi="宋体" w:cs="宋体"/>
          <w:szCs w:val="21"/>
        </w:rPr>
        <w:t>（2）抽样型号或规格：抽样基数满足抽样数量即可，样品应为同一生产企业、同一标准生产、同一商标、同一规格型号的产品。每批次产品抽取</w:t>
      </w:r>
      <w:r>
        <w:rPr>
          <w:rFonts w:hint="eastAsia" w:ascii="宋体" w:hAnsi="宋体" w:cs="宋体"/>
          <w:color w:val="000000"/>
          <w:szCs w:val="21"/>
          <w:lang w:val="en-US" w:eastAsia="zh-CN"/>
        </w:rPr>
        <w:t>老人纸尿裤12</w:t>
      </w:r>
      <w:r>
        <w:rPr>
          <w:rFonts w:hint="eastAsia" w:ascii="宋体" w:hAnsi="宋体" w:cs="宋体"/>
          <w:szCs w:val="21"/>
          <w:lang w:val="en-US" w:eastAsia="zh-CN"/>
        </w:rPr>
        <w:t>个独立销售包装。</w:t>
      </w:r>
      <w:r>
        <w:rPr>
          <w:rFonts w:hint="eastAsia" w:ascii="宋体" w:hAnsi="宋体" w:cs="宋体"/>
          <w:color w:val="000000"/>
          <w:szCs w:val="21"/>
          <w:lang w:val="en-US" w:eastAsia="zh-CN"/>
        </w:rPr>
        <w:t>9</w:t>
      </w:r>
      <w:r>
        <w:rPr>
          <w:rFonts w:hint="eastAsia" w:ascii="宋体" w:hAnsi="宋体" w:cs="宋体"/>
          <w:szCs w:val="21"/>
          <w:lang w:val="en-US" w:eastAsia="zh-CN"/>
        </w:rPr>
        <w:t>个独立销售包装做检样，3个独立销售包装做备样。</w:t>
      </w:r>
    </w:p>
    <w:p w14:paraId="25DDABE1">
      <w:pPr>
        <w:spacing w:line="360" w:lineRule="auto"/>
        <w:ind w:firstLine="420" w:firstLineChars="200"/>
        <w:rPr>
          <w:rFonts w:ascii="宋体" w:hAnsi="宋体" w:cs="宋体"/>
          <w:szCs w:val="21"/>
        </w:rPr>
      </w:pPr>
      <w:r>
        <w:rPr>
          <w:rFonts w:hint="eastAsia" w:ascii="宋体" w:hAnsi="宋体" w:cs="宋体"/>
          <w:szCs w:val="21"/>
        </w:rPr>
        <w:t>（3）检验样品获取方式：付费购买。保留发票、店铺名称、价格截图等重要信息凭证。</w:t>
      </w:r>
    </w:p>
    <w:p w14:paraId="4417906F">
      <w:pPr>
        <w:spacing w:line="360" w:lineRule="auto"/>
        <w:ind w:firstLine="420" w:firstLineChars="200"/>
        <w:rPr>
          <w:rFonts w:ascii="宋体" w:hAnsi="宋体" w:cs="宋体"/>
          <w:szCs w:val="21"/>
        </w:rPr>
      </w:pPr>
      <w:r>
        <w:rPr>
          <w:rFonts w:hint="eastAsia" w:ascii="宋体" w:hAnsi="宋体" w:cs="宋体"/>
          <w:szCs w:val="21"/>
        </w:rPr>
        <w:t>（4）样品运输：对于易碎品、危险化学品等对运输、贮存过程有特殊要求的样品，应当写明采取具体的有效措施，保证样品的运输、贮存过程符合国家有关规定或相关标准要求，不发生影响检验结论的变化。</w:t>
      </w:r>
    </w:p>
    <w:p w14:paraId="570CC6EB">
      <w:pPr>
        <w:spacing w:line="360" w:lineRule="auto"/>
        <w:ind w:firstLine="210" w:firstLineChars="100"/>
      </w:pPr>
      <w:r>
        <w:rPr>
          <w:rFonts w:hint="eastAsia"/>
        </w:rPr>
        <w:t>6.2、风险监测项目和依据</w:t>
      </w:r>
    </w:p>
    <w:p w14:paraId="203801FC">
      <w:pPr>
        <w:spacing w:line="360" w:lineRule="auto"/>
        <w:jc w:val="center"/>
        <w:rPr>
          <w:rFonts w:ascii="宋体" w:hAnsi="宋体" w:cs="宋体"/>
          <w:szCs w:val="21"/>
        </w:rPr>
      </w:pPr>
      <w:r>
        <w:rPr>
          <w:rFonts w:hint="eastAsia" w:ascii="宋体" w:hAnsi="宋体" w:cs="宋体"/>
          <w:szCs w:val="21"/>
        </w:rPr>
        <w:t>表1   检验项目</w:t>
      </w: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3119"/>
        <w:gridCol w:w="2560"/>
        <w:gridCol w:w="1976"/>
      </w:tblGrid>
      <w:tr w14:paraId="39B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8" w:type="dxa"/>
            <w:vAlign w:val="center"/>
          </w:tcPr>
          <w:p w14:paraId="1FB0E782">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序号</w:t>
            </w:r>
          </w:p>
        </w:tc>
        <w:tc>
          <w:tcPr>
            <w:tcW w:w="1417" w:type="dxa"/>
            <w:vAlign w:val="center"/>
          </w:tcPr>
          <w:p w14:paraId="60AE1A3A">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产品名称</w:t>
            </w:r>
          </w:p>
        </w:tc>
        <w:tc>
          <w:tcPr>
            <w:tcW w:w="3119" w:type="dxa"/>
            <w:vAlign w:val="center"/>
          </w:tcPr>
          <w:p w14:paraId="1230FF29">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检验项目</w:t>
            </w:r>
          </w:p>
        </w:tc>
        <w:tc>
          <w:tcPr>
            <w:tcW w:w="2560" w:type="dxa"/>
            <w:vAlign w:val="center"/>
          </w:tcPr>
          <w:p w14:paraId="7CB9846F">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指标要求</w:t>
            </w:r>
          </w:p>
        </w:tc>
        <w:tc>
          <w:tcPr>
            <w:tcW w:w="1976" w:type="dxa"/>
            <w:vAlign w:val="center"/>
          </w:tcPr>
          <w:p w14:paraId="741A8D88">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检验依据</w:t>
            </w:r>
          </w:p>
        </w:tc>
      </w:tr>
      <w:tr w14:paraId="7544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07517460">
            <w:pPr>
              <w:jc w:val="center"/>
              <w:rPr>
                <w:rFonts w:hint="eastAsia" w:ascii="宋体" w:hAnsi="宋体" w:eastAsia="宋体" w:cs="宋体"/>
                <w:color w:val="191919"/>
                <w:szCs w:val="21"/>
                <w:shd w:val="clear" w:color="auto" w:fill="FFFFFF"/>
                <w:lang w:val="en-US" w:eastAsia="zh-CN"/>
              </w:rPr>
            </w:pPr>
            <w:bookmarkStart w:id="2" w:name="_Hlk105632181"/>
            <w:r>
              <w:rPr>
                <w:rFonts w:hint="eastAsia" w:ascii="宋体" w:hAnsi="宋体" w:cs="宋体"/>
                <w:color w:val="191919"/>
                <w:szCs w:val="21"/>
                <w:shd w:val="clear" w:color="auto" w:fill="FFFFFF"/>
                <w:lang w:val="en-US" w:eastAsia="zh-CN"/>
              </w:rPr>
              <w:t>1</w:t>
            </w:r>
          </w:p>
        </w:tc>
        <w:tc>
          <w:tcPr>
            <w:tcW w:w="1417" w:type="dxa"/>
            <w:vMerge w:val="restart"/>
            <w:vAlign w:val="center"/>
          </w:tcPr>
          <w:p w14:paraId="5AEA2EA9">
            <w:pPr>
              <w:jc w:val="left"/>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老人纸尿裤</w:t>
            </w:r>
          </w:p>
        </w:tc>
        <w:tc>
          <w:tcPr>
            <w:tcW w:w="3119" w:type="dxa"/>
            <w:vAlign w:val="center"/>
          </w:tcPr>
          <w:p w14:paraId="650CF48A">
            <w:pPr>
              <w:jc w:val="center"/>
              <w:rPr>
                <w:rFonts w:ascii="宋体" w:hAnsi="宋体" w:cs="宋体"/>
                <w:color w:val="191919"/>
                <w:szCs w:val="21"/>
                <w:shd w:val="clear" w:color="auto" w:fill="FFFFFF"/>
              </w:rPr>
            </w:pPr>
            <w:r>
              <w:rPr>
                <w:rFonts w:hint="eastAsia" w:ascii="Times New Roman" w:hAnsi="Times New Roman" w:eastAsia="宋体" w:cs="Times New Roman"/>
                <w:szCs w:val="21"/>
              </w:rPr>
              <w:t>细菌菌落总数</w:t>
            </w:r>
          </w:p>
        </w:tc>
        <w:tc>
          <w:tcPr>
            <w:tcW w:w="2560" w:type="dxa"/>
            <w:vAlign w:val="center"/>
          </w:tcPr>
          <w:p w14:paraId="3D0E4898">
            <w:pPr>
              <w:jc w:val="center"/>
              <w:rPr>
                <w:rFonts w:ascii="Times New Roman" w:hAnsi="Times New Roman" w:eastAsia="宋体" w:cs="Times New Roman"/>
                <w:szCs w:val="21"/>
              </w:rPr>
            </w:pPr>
            <w:r>
              <w:rPr>
                <w:rFonts w:hint="eastAsia"/>
              </w:rPr>
              <w:t xml:space="preserve">GB 15979-2002 </w:t>
            </w:r>
          </w:p>
        </w:tc>
        <w:tc>
          <w:tcPr>
            <w:tcW w:w="1976" w:type="dxa"/>
            <w:vAlign w:val="center"/>
          </w:tcPr>
          <w:p w14:paraId="6803CFB9">
            <w:pPr>
              <w:jc w:val="center"/>
              <w:rPr>
                <w:rFonts w:ascii="Times New Roman" w:hAnsi="Times New Roman" w:eastAsia="宋体" w:cs="Times New Roman"/>
                <w:szCs w:val="21"/>
              </w:rPr>
            </w:pPr>
            <w:r>
              <w:rPr>
                <w:rFonts w:hint="eastAsia"/>
              </w:rPr>
              <w:t xml:space="preserve">GB 15979-2002 </w:t>
            </w:r>
          </w:p>
        </w:tc>
      </w:tr>
      <w:tr w14:paraId="7C78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41EA61A1">
            <w:pPr>
              <w:jc w:val="center"/>
              <w:rPr>
                <w:rFonts w:hint="default" w:ascii="宋体" w:hAnsi="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2</w:t>
            </w:r>
          </w:p>
        </w:tc>
        <w:tc>
          <w:tcPr>
            <w:tcW w:w="1417" w:type="dxa"/>
            <w:vMerge w:val="continue"/>
            <w:vAlign w:val="center"/>
          </w:tcPr>
          <w:p w14:paraId="0E198B6E">
            <w:pPr>
              <w:jc w:val="left"/>
              <w:rPr>
                <w:rFonts w:hint="eastAsia" w:ascii="宋体" w:hAnsi="宋体" w:cs="宋体"/>
                <w:lang w:val="en-US" w:eastAsia="zh-CN"/>
              </w:rPr>
            </w:pPr>
          </w:p>
        </w:tc>
        <w:tc>
          <w:tcPr>
            <w:tcW w:w="3119" w:type="dxa"/>
            <w:vAlign w:val="center"/>
          </w:tcPr>
          <w:p w14:paraId="2DCAAFA0">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致病性化脓菌</w:t>
            </w:r>
          </w:p>
        </w:tc>
        <w:tc>
          <w:tcPr>
            <w:tcW w:w="2560" w:type="dxa"/>
            <w:vAlign w:val="center"/>
          </w:tcPr>
          <w:p w14:paraId="57F6C8D6">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c>
          <w:tcPr>
            <w:tcW w:w="1976" w:type="dxa"/>
            <w:vAlign w:val="center"/>
          </w:tcPr>
          <w:p w14:paraId="769C9BA0">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r>
      <w:tr w14:paraId="10A9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1709916B">
            <w:pPr>
              <w:jc w:val="center"/>
              <w:rPr>
                <w:rFonts w:hint="default" w:ascii="宋体" w:hAnsi="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3</w:t>
            </w:r>
          </w:p>
        </w:tc>
        <w:tc>
          <w:tcPr>
            <w:tcW w:w="1417" w:type="dxa"/>
            <w:vMerge w:val="continue"/>
            <w:vAlign w:val="center"/>
          </w:tcPr>
          <w:p w14:paraId="65341E3F">
            <w:pPr>
              <w:jc w:val="left"/>
              <w:rPr>
                <w:rFonts w:hint="eastAsia" w:ascii="宋体" w:hAnsi="宋体" w:cs="宋体"/>
                <w:lang w:val="en-US" w:eastAsia="zh-CN"/>
              </w:rPr>
            </w:pPr>
          </w:p>
        </w:tc>
        <w:tc>
          <w:tcPr>
            <w:tcW w:w="3119" w:type="dxa"/>
            <w:vAlign w:val="center"/>
          </w:tcPr>
          <w:p w14:paraId="1F10836A">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大肠菌群</w:t>
            </w:r>
          </w:p>
        </w:tc>
        <w:tc>
          <w:tcPr>
            <w:tcW w:w="2560" w:type="dxa"/>
            <w:vAlign w:val="center"/>
          </w:tcPr>
          <w:p w14:paraId="7F183A9B">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c>
          <w:tcPr>
            <w:tcW w:w="1976" w:type="dxa"/>
            <w:vAlign w:val="center"/>
          </w:tcPr>
          <w:p w14:paraId="014EF84C">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r>
      <w:tr w14:paraId="13AB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5E6B2AF0">
            <w:pPr>
              <w:jc w:val="center"/>
              <w:rPr>
                <w:rFonts w:hint="default" w:ascii="宋体" w:hAnsi="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4</w:t>
            </w:r>
          </w:p>
        </w:tc>
        <w:tc>
          <w:tcPr>
            <w:tcW w:w="1417" w:type="dxa"/>
            <w:vMerge w:val="continue"/>
            <w:vAlign w:val="center"/>
          </w:tcPr>
          <w:p w14:paraId="326ACBB9">
            <w:pPr>
              <w:jc w:val="left"/>
              <w:rPr>
                <w:rFonts w:hint="eastAsia" w:ascii="宋体" w:hAnsi="宋体" w:cs="宋体"/>
                <w:lang w:val="en-US" w:eastAsia="zh-CN"/>
              </w:rPr>
            </w:pPr>
          </w:p>
        </w:tc>
        <w:tc>
          <w:tcPr>
            <w:tcW w:w="3119" w:type="dxa"/>
            <w:vAlign w:val="center"/>
          </w:tcPr>
          <w:p w14:paraId="1C288557">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真菌菌落总数</w:t>
            </w:r>
          </w:p>
        </w:tc>
        <w:tc>
          <w:tcPr>
            <w:tcW w:w="2560" w:type="dxa"/>
            <w:vAlign w:val="center"/>
          </w:tcPr>
          <w:p w14:paraId="53F4D54B">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c>
          <w:tcPr>
            <w:tcW w:w="1976" w:type="dxa"/>
            <w:vAlign w:val="center"/>
          </w:tcPr>
          <w:p w14:paraId="42DCCC2B">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GB 15979-2002 </w:t>
            </w:r>
          </w:p>
        </w:tc>
      </w:tr>
      <w:tr w14:paraId="6216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8" w:type="dxa"/>
            <w:vAlign w:val="center"/>
          </w:tcPr>
          <w:p w14:paraId="68152B51">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5</w:t>
            </w:r>
          </w:p>
        </w:tc>
        <w:tc>
          <w:tcPr>
            <w:tcW w:w="1417" w:type="dxa"/>
            <w:vMerge w:val="continue"/>
            <w:vAlign w:val="center"/>
          </w:tcPr>
          <w:p w14:paraId="2D90D3B3">
            <w:pPr>
              <w:jc w:val="left"/>
              <w:rPr>
                <w:rFonts w:ascii="宋体" w:hAnsi="宋体" w:cs="宋体"/>
                <w:color w:val="191919"/>
                <w:szCs w:val="21"/>
                <w:shd w:val="clear" w:color="auto" w:fill="FFFFFF"/>
              </w:rPr>
            </w:pPr>
          </w:p>
        </w:tc>
        <w:tc>
          <w:tcPr>
            <w:tcW w:w="3119" w:type="dxa"/>
            <w:vAlign w:val="center"/>
          </w:tcPr>
          <w:p w14:paraId="6C8E905D">
            <w:pPr>
              <w:jc w:val="center"/>
              <w:rPr>
                <w:rFonts w:hint="eastAsia" w:eastAsia="宋体"/>
                <w:szCs w:val="21"/>
                <w:lang w:eastAsia="zh-CN"/>
              </w:rPr>
            </w:pPr>
            <w:r>
              <w:rPr>
                <w:rFonts w:hint="eastAsia" w:cs="Times New Roman"/>
                <w:szCs w:val="21"/>
                <w:lang w:val="en-US" w:eastAsia="zh-CN"/>
              </w:rPr>
              <w:t>渗透性能</w:t>
            </w:r>
          </w:p>
        </w:tc>
        <w:tc>
          <w:tcPr>
            <w:tcW w:w="2560" w:type="dxa"/>
            <w:vAlign w:val="center"/>
          </w:tcPr>
          <w:p w14:paraId="6E178FB9">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 28004.2-2021</w:t>
            </w:r>
          </w:p>
          <w:p w14:paraId="32698CDC">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 28004-2011</w:t>
            </w:r>
          </w:p>
        </w:tc>
        <w:tc>
          <w:tcPr>
            <w:tcW w:w="1976" w:type="dxa"/>
            <w:vAlign w:val="center"/>
          </w:tcPr>
          <w:p w14:paraId="38627C36">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 28004.2-2021</w:t>
            </w:r>
          </w:p>
          <w:p w14:paraId="0137F171">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 28004-2011</w:t>
            </w:r>
          </w:p>
        </w:tc>
      </w:tr>
      <w:tr w14:paraId="498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516F5F">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6</w:t>
            </w:r>
          </w:p>
        </w:tc>
        <w:tc>
          <w:tcPr>
            <w:tcW w:w="1417" w:type="dxa"/>
            <w:vMerge w:val="continue"/>
            <w:vAlign w:val="center"/>
          </w:tcPr>
          <w:p w14:paraId="322A61B6">
            <w:pPr>
              <w:jc w:val="left"/>
              <w:rPr>
                <w:rFonts w:ascii="宋体" w:hAnsi="宋体" w:cs="宋体"/>
                <w:color w:val="191919"/>
                <w:szCs w:val="21"/>
                <w:shd w:val="clear" w:color="auto" w:fill="FFFFFF"/>
              </w:rPr>
            </w:pPr>
          </w:p>
        </w:tc>
        <w:tc>
          <w:tcPr>
            <w:tcW w:w="3119" w:type="dxa"/>
            <w:vAlign w:val="center"/>
          </w:tcPr>
          <w:p w14:paraId="66CA3135">
            <w:pPr>
              <w:jc w:val="center"/>
              <w:rPr>
                <w:rFonts w:ascii="宋体" w:hAnsi="宋体" w:cs="宋体"/>
                <w:color w:val="191919"/>
                <w:szCs w:val="21"/>
                <w:shd w:val="clear" w:color="auto" w:fill="FFFFFF"/>
              </w:rPr>
            </w:pPr>
            <w:r>
              <w:rPr>
                <w:rFonts w:hint="eastAsia" w:ascii="Times New Roman" w:hAnsi="Times New Roman" w:eastAsia="宋体" w:cs="Times New Roman"/>
                <w:szCs w:val="21"/>
              </w:rPr>
              <w:t>邻苯二甲酸酯</w:t>
            </w:r>
          </w:p>
        </w:tc>
        <w:tc>
          <w:tcPr>
            <w:tcW w:w="2560" w:type="dxa"/>
            <w:vAlign w:val="center"/>
          </w:tcPr>
          <w:p w14:paraId="79DE2C59">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Reach XVII</w:t>
            </w:r>
          </w:p>
        </w:tc>
        <w:tc>
          <w:tcPr>
            <w:tcW w:w="1976" w:type="dxa"/>
            <w:vAlign w:val="center"/>
          </w:tcPr>
          <w:p w14:paraId="79C0E8C1">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EN 14372</w:t>
            </w:r>
            <w:r>
              <w:rPr>
                <w:rFonts w:hint="eastAsia" w:cs="Times New Roman"/>
                <w:szCs w:val="21"/>
                <w:lang w:val="en-US" w:eastAsia="zh-CN"/>
              </w:rPr>
              <w:t>-2004</w:t>
            </w:r>
          </w:p>
        </w:tc>
      </w:tr>
      <w:bookmarkEnd w:id="2"/>
    </w:tbl>
    <w:p w14:paraId="1B307997">
      <w:pPr>
        <w:spacing w:line="360" w:lineRule="auto"/>
        <w:ind w:firstLine="210" w:firstLineChars="100"/>
      </w:pPr>
      <w:bookmarkStart w:id="3" w:name="_Toc12509"/>
      <w:r>
        <w:rPr>
          <w:rFonts w:hint="eastAsia"/>
        </w:rPr>
        <w:t>6.3、数据及分析方法</w:t>
      </w:r>
      <w:bookmarkEnd w:id="3"/>
    </w:p>
    <w:p w14:paraId="2DB555FF">
      <w:pPr>
        <w:spacing w:line="360" w:lineRule="auto"/>
        <w:ind w:firstLine="420" w:firstLineChars="200"/>
        <w:rPr>
          <w:rFonts w:ascii="宋体" w:hAnsi="宋体" w:cs="宋体"/>
          <w:color w:val="191919"/>
          <w:szCs w:val="21"/>
          <w:shd w:val="clear" w:color="auto" w:fill="FFFFFF"/>
        </w:rPr>
      </w:pPr>
      <w:r>
        <w:rPr>
          <w:rFonts w:hint="eastAsia" w:ascii="宋体" w:hAnsi="宋体" w:cs="宋体"/>
          <w:szCs w:val="21"/>
        </w:rPr>
        <w:t>实验室将分别根据产品种类、抽样平台（线上/线下）、材质类型进行分类，利用表格法、图形法、比较法等数学方法分析</w:t>
      </w:r>
      <w:r>
        <w:rPr>
          <w:rFonts w:hint="eastAsia" w:ascii="宋体" w:hAnsi="宋体" w:cs="宋体"/>
          <w:lang w:val="en-US" w:eastAsia="zh-CN"/>
        </w:rPr>
        <w:t>老人纸尿裤</w:t>
      </w:r>
      <w:r>
        <w:rPr>
          <w:rFonts w:hint="eastAsia" w:ascii="宋体" w:hAnsi="宋体" w:cs="宋体"/>
          <w:szCs w:val="21"/>
        </w:rPr>
        <w:t>产品细菌菌落总数、大肠菌群、真菌菌落总数、致病性化脓菌、渗透性能、</w:t>
      </w:r>
      <w:r>
        <w:rPr>
          <w:rFonts w:hint="eastAsia" w:ascii="Times New Roman" w:hAnsi="Times New Roman" w:eastAsia="宋体" w:cs="Times New Roman"/>
          <w:szCs w:val="21"/>
        </w:rPr>
        <w:t>邻苯二甲酸酯</w:t>
      </w:r>
      <w:r>
        <w:rPr>
          <w:rFonts w:hint="eastAsia" w:ascii="宋体" w:hAnsi="宋体" w:cs="宋体"/>
          <w:color w:val="191919"/>
          <w:szCs w:val="21"/>
          <w:shd w:val="clear" w:color="auto" w:fill="FFFFFF"/>
        </w:rPr>
        <w:t>项目</w:t>
      </w:r>
      <w:r>
        <w:rPr>
          <w:rFonts w:hint="eastAsia" w:ascii="宋体" w:hAnsi="宋体" w:cs="宋体"/>
          <w:szCs w:val="21"/>
        </w:rPr>
        <w:t>的数据。</w:t>
      </w:r>
    </w:p>
    <w:p w14:paraId="20B0DDB2">
      <w:pPr>
        <w:spacing w:line="360" w:lineRule="auto"/>
        <w:ind w:firstLine="420" w:firstLineChars="200"/>
        <w:rPr>
          <w:rFonts w:ascii="宋体" w:hAnsi="宋体" w:cs="宋体"/>
          <w:szCs w:val="21"/>
        </w:rPr>
      </w:pPr>
      <w:r>
        <w:rPr>
          <w:rFonts w:hint="eastAsia" w:ascii="宋体" w:hAnsi="宋体" w:cs="宋体"/>
          <w:szCs w:val="21"/>
        </w:rPr>
        <w:t>质量控制图的基本图形的组成如下图，图的中心线表示预期值；上、下警告限之间的区域为目标值；上、下控制限之间的区域为实测值的可接受范围；在中心线两侧与上、下警告限之间各一半处有上、下辅助线。</w:t>
      </w:r>
    </w:p>
    <w:p w14:paraId="3C35C922">
      <w:pPr>
        <w:rPr>
          <w:rFonts w:ascii="宋体" w:hAnsi="宋体" w:cs="宋体"/>
          <w:szCs w:val="21"/>
        </w:rPr>
      </w:pPr>
      <w:r>
        <w:rPr>
          <w:rFonts w:hint="eastAsia" w:ascii="宋体" w:hAnsi="宋体" w:cs="宋体"/>
          <w:szCs w:val="21"/>
        </w:rPr>
        <w:drawing>
          <wp:inline distT="0" distB="0" distL="0" distR="0">
            <wp:extent cx="4800600" cy="2413000"/>
            <wp:effectExtent l="0" t="0" r="0" b="6350"/>
            <wp:docPr id="5535007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00785"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0600" cy="2413000"/>
                    </a:xfrm>
                    <a:prstGeom prst="rect">
                      <a:avLst/>
                    </a:prstGeom>
                    <a:noFill/>
                    <a:ln>
                      <a:noFill/>
                    </a:ln>
                  </pic:spPr>
                </pic:pic>
              </a:graphicData>
            </a:graphic>
          </wp:inline>
        </w:drawing>
      </w:r>
    </w:p>
    <w:p w14:paraId="76720486">
      <w:pPr>
        <w:rPr>
          <w:rFonts w:ascii="宋体" w:hAnsi="宋体" w:cs="宋体"/>
          <w:szCs w:val="21"/>
        </w:rPr>
      </w:pPr>
    </w:p>
    <w:p w14:paraId="0F248D75">
      <w:pPr>
        <w:spacing w:line="360" w:lineRule="auto"/>
        <w:ind w:firstLine="420" w:firstLineChars="200"/>
        <w:rPr>
          <w:rFonts w:ascii="宋体" w:hAnsi="宋体" w:cs="宋体"/>
          <w:szCs w:val="21"/>
        </w:rPr>
      </w:pPr>
      <w:r>
        <w:rPr>
          <w:rFonts w:hint="eastAsia" w:ascii="宋体" w:hAnsi="宋体" w:cs="宋体"/>
          <w:szCs w:val="21"/>
        </w:rPr>
        <w:t>质量控制图选用标准物质或质量可靠的标准溶液，积累的数据应尽可能多地覆盖不同条件下的数据变化情况，按要求完成数据积累时，可根据相应图的需要，计算各项统计量的参数值，按测定顺序将相应的各统计量值在图上植点，用直线连接各点，即成所需的质量控制原始图。绘制完成后，标注有关内容，如测定项目、质量控制样品的浓度、分析方法实验的起迄日期、分析人员及绘制日期等。</w:t>
      </w:r>
    </w:p>
    <w:p w14:paraId="08536FE3">
      <w:pPr>
        <w:spacing w:line="360" w:lineRule="auto"/>
        <w:ind w:firstLine="210" w:firstLineChars="100"/>
        <w:rPr>
          <w:rFonts w:hint="eastAsia" w:eastAsia="宋体"/>
          <w:lang w:eastAsia="zh-CN"/>
        </w:rPr>
      </w:pPr>
      <w:bookmarkStart w:id="4" w:name="_Toc17642"/>
      <w:r>
        <w:rPr>
          <w:rFonts w:hint="eastAsia"/>
        </w:rPr>
        <w:t>6.4、风险评估</w:t>
      </w:r>
      <w:bookmarkEnd w:id="4"/>
      <w:r>
        <w:rPr>
          <w:rFonts w:hint="eastAsia" w:ascii="宋体" w:hAnsi="宋体" w:cs="宋体"/>
          <w:lang w:val="en-US" w:eastAsia="zh-CN"/>
        </w:rPr>
        <w:t>老人纸尿裤</w:t>
      </w:r>
    </w:p>
    <w:p w14:paraId="03F81BA7">
      <w:pPr>
        <w:spacing w:line="360" w:lineRule="auto"/>
        <w:ind w:firstLine="420" w:firstLineChars="200"/>
        <w:rPr>
          <w:rFonts w:ascii="宋体" w:hAnsi="宋体" w:cs="宋体"/>
          <w:szCs w:val="21"/>
        </w:rPr>
      </w:pPr>
      <w:r>
        <w:rPr>
          <w:rFonts w:hint="eastAsia" w:ascii="宋体" w:hAnsi="宋体" w:cs="宋体"/>
          <w:szCs w:val="21"/>
        </w:rPr>
        <w:t>根据风险监测数据结果，依据相关国内外标准、国外监测数据的水平及危害级别、人体暴露试验等，结合</w:t>
      </w:r>
      <w:r>
        <w:rPr>
          <w:rFonts w:hint="eastAsia" w:ascii="宋体" w:hAnsi="宋体" w:cs="宋体"/>
          <w:lang w:val="en-US" w:eastAsia="zh-CN"/>
        </w:rPr>
        <w:t>老人纸尿裤</w:t>
      </w:r>
      <w:r>
        <w:rPr>
          <w:rFonts w:hint="eastAsia" w:ascii="宋体" w:hAnsi="宋体" w:cs="宋体"/>
          <w:szCs w:val="21"/>
        </w:rPr>
        <w:t>产品的特点，模拟现实使用场景及可预见的其他情况，对检测项目进行分析。具体分析方法考虑使用矩阵法及其他相对比较适用的方法，参考GB/T22760-20</w:t>
      </w:r>
      <w:r>
        <w:rPr>
          <w:rFonts w:ascii="宋体" w:hAnsi="宋体" w:cs="宋体"/>
          <w:szCs w:val="21"/>
        </w:rPr>
        <w:t>20</w:t>
      </w:r>
      <w:r>
        <w:rPr>
          <w:rFonts w:hint="eastAsia" w:ascii="宋体" w:hAnsi="宋体" w:cs="宋体"/>
          <w:szCs w:val="21"/>
        </w:rPr>
        <w:t>《消费品安全 风险评估导则》的评估原则，综合专家研判结果，依据标准判断该类产品造成伤害的严重程度，伤害发生的可能性，划分风险等级。</w:t>
      </w:r>
    </w:p>
    <w:p w14:paraId="60499462">
      <w:pPr>
        <w:pStyle w:val="10"/>
        <w:spacing w:line="360" w:lineRule="auto"/>
        <w:ind w:left="0" w:leftChars="0" w:firstLine="0" w:firstLineChars="0"/>
        <w:jc w:val="center"/>
        <w:rPr>
          <w:sz w:val="21"/>
          <w:szCs w:val="21"/>
          <w:lang w:val="en-US"/>
        </w:rPr>
      </w:pPr>
      <w:r>
        <w:rPr>
          <w:rFonts w:hint="eastAsia"/>
          <w:sz w:val="21"/>
          <w:szCs w:val="21"/>
          <w:lang w:val="en-US"/>
        </w:rPr>
        <w:t>表</w:t>
      </w:r>
      <w:r>
        <w:rPr>
          <w:sz w:val="21"/>
          <w:szCs w:val="21"/>
          <w:lang w:val="en-US"/>
        </w:rPr>
        <w:t>2</w:t>
      </w:r>
      <w:r>
        <w:rPr>
          <w:rFonts w:hint="eastAsia"/>
          <w:sz w:val="21"/>
          <w:szCs w:val="21"/>
          <w:lang w:val="en-US"/>
        </w:rPr>
        <w:t xml:space="preserve"> 风险等级划分表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620"/>
        <w:gridCol w:w="1620"/>
        <w:gridCol w:w="1620"/>
        <w:gridCol w:w="1621"/>
      </w:tblGrid>
      <w:tr w14:paraId="5E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shd w:val="clear" w:color="auto" w:fill="auto"/>
            <w:vAlign w:val="center"/>
          </w:tcPr>
          <w:p w14:paraId="01CE4EB8">
            <w:pPr>
              <w:pStyle w:val="10"/>
              <w:autoSpaceDE/>
              <w:autoSpaceDN/>
              <w:spacing w:after="0"/>
              <w:ind w:left="0" w:leftChars="0" w:firstLine="0" w:firstLineChars="0"/>
              <w:jc w:val="center"/>
              <w:rPr>
                <w:sz w:val="21"/>
                <w:szCs w:val="21"/>
                <w:lang w:val="en-US"/>
              </w:rPr>
            </w:pPr>
            <w:r>
              <w:rPr>
                <w:rFonts w:hint="eastAsia"/>
                <w:sz w:val="21"/>
                <w:szCs w:val="21"/>
                <w:lang w:val="en-US"/>
              </w:rPr>
              <w:t>伤害发生的可能性</w:t>
            </w:r>
          </w:p>
        </w:tc>
        <w:tc>
          <w:tcPr>
            <w:tcW w:w="6481" w:type="dxa"/>
            <w:gridSpan w:val="4"/>
            <w:shd w:val="clear" w:color="auto" w:fill="auto"/>
            <w:vAlign w:val="center"/>
          </w:tcPr>
          <w:p w14:paraId="62AE9786">
            <w:pPr>
              <w:pStyle w:val="10"/>
              <w:autoSpaceDE/>
              <w:autoSpaceDN/>
              <w:spacing w:after="0"/>
              <w:ind w:left="0" w:leftChars="0" w:firstLine="0" w:firstLineChars="0"/>
              <w:jc w:val="center"/>
              <w:rPr>
                <w:sz w:val="21"/>
                <w:szCs w:val="21"/>
                <w:lang w:val="en-US"/>
              </w:rPr>
            </w:pPr>
            <w:r>
              <w:rPr>
                <w:rFonts w:hint="eastAsia"/>
                <w:sz w:val="21"/>
                <w:szCs w:val="21"/>
                <w:lang w:val="en-US"/>
              </w:rPr>
              <w:t>伤害发生的严重程度</w:t>
            </w:r>
          </w:p>
        </w:tc>
      </w:tr>
      <w:tr w14:paraId="2E3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shd w:val="clear" w:color="auto" w:fill="auto"/>
            <w:vAlign w:val="center"/>
          </w:tcPr>
          <w:p w14:paraId="63E97141">
            <w:pPr>
              <w:pStyle w:val="10"/>
              <w:autoSpaceDE/>
              <w:autoSpaceDN/>
              <w:spacing w:after="0"/>
              <w:ind w:left="0" w:leftChars="0" w:firstLine="0" w:firstLineChars="0"/>
              <w:jc w:val="center"/>
              <w:rPr>
                <w:sz w:val="21"/>
                <w:szCs w:val="21"/>
              </w:rPr>
            </w:pPr>
          </w:p>
        </w:tc>
        <w:tc>
          <w:tcPr>
            <w:tcW w:w="1620" w:type="dxa"/>
            <w:shd w:val="clear" w:color="auto" w:fill="auto"/>
            <w:vAlign w:val="center"/>
          </w:tcPr>
          <w:p w14:paraId="0DAAC486">
            <w:pPr>
              <w:pStyle w:val="10"/>
              <w:autoSpaceDE/>
              <w:autoSpaceDN/>
              <w:spacing w:after="0"/>
              <w:ind w:left="0" w:leftChars="0" w:firstLine="0" w:firstLineChars="0"/>
              <w:jc w:val="center"/>
              <w:rPr>
                <w:sz w:val="21"/>
                <w:szCs w:val="21"/>
                <w:lang w:val="en-US"/>
              </w:rPr>
            </w:pPr>
            <w:r>
              <w:rPr>
                <w:rFonts w:hint="eastAsia"/>
                <w:sz w:val="21"/>
                <w:szCs w:val="21"/>
                <w:lang w:val="en-US"/>
              </w:rPr>
              <w:t>非常严重</w:t>
            </w:r>
          </w:p>
        </w:tc>
        <w:tc>
          <w:tcPr>
            <w:tcW w:w="1620" w:type="dxa"/>
            <w:shd w:val="clear" w:color="auto" w:fill="auto"/>
            <w:vAlign w:val="center"/>
          </w:tcPr>
          <w:p w14:paraId="6B421075">
            <w:pPr>
              <w:pStyle w:val="10"/>
              <w:autoSpaceDE/>
              <w:autoSpaceDN/>
              <w:spacing w:after="0"/>
              <w:ind w:left="0" w:leftChars="0" w:firstLine="0" w:firstLineChars="0"/>
              <w:jc w:val="center"/>
              <w:rPr>
                <w:sz w:val="21"/>
                <w:szCs w:val="21"/>
                <w:lang w:val="en-US"/>
              </w:rPr>
            </w:pPr>
            <w:r>
              <w:rPr>
                <w:rFonts w:hint="eastAsia"/>
                <w:sz w:val="21"/>
                <w:szCs w:val="21"/>
                <w:lang w:val="en-US"/>
              </w:rPr>
              <w:t>严重</w:t>
            </w:r>
          </w:p>
        </w:tc>
        <w:tc>
          <w:tcPr>
            <w:tcW w:w="1620" w:type="dxa"/>
            <w:shd w:val="clear" w:color="auto" w:fill="auto"/>
            <w:vAlign w:val="center"/>
          </w:tcPr>
          <w:p w14:paraId="607E5927">
            <w:pPr>
              <w:pStyle w:val="10"/>
              <w:autoSpaceDE/>
              <w:autoSpaceDN/>
              <w:spacing w:after="0"/>
              <w:ind w:left="0" w:leftChars="0" w:firstLine="0" w:firstLineChars="0"/>
              <w:jc w:val="center"/>
              <w:rPr>
                <w:sz w:val="21"/>
                <w:szCs w:val="21"/>
                <w:lang w:val="en-US"/>
              </w:rPr>
            </w:pPr>
            <w:r>
              <w:rPr>
                <w:rFonts w:hint="eastAsia"/>
                <w:sz w:val="21"/>
                <w:szCs w:val="21"/>
                <w:lang w:val="en-US"/>
              </w:rPr>
              <w:t>一般</w:t>
            </w:r>
          </w:p>
        </w:tc>
        <w:tc>
          <w:tcPr>
            <w:tcW w:w="1621" w:type="dxa"/>
            <w:shd w:val="clear" w:color="auto" w:fill="auto"/>
            <w:vAlign w:val="center"/>
          </w:tcPr>
          <w:p w14:paraId="6A2F28B9">
            <w:pPr>
              <w:pStyle w:val="10"/>
              <w:autoSpaceDE/>
              <w:autoSpaceDN/>
              <w:spacing w:after="0"/>
              <w:ind w:left="0" w:leftChars="0" w:firstLine="0" w:firstLineChars="0"/>
              <w:jc w:val="center"/>
              <w:rPr>
                <w:sz w:val="21"/>
                <w:szCs w:val="21"/>
                <w:lang w:val="en-US"/>
              </w:rPr>
            </w:pPr>
            <w:r>
              <w:rPr>
                <w:rFonts w:hint="eastAsia"/>
                <w:sz w:val="21"/>
                <w:szCs w:val="21"/>
                <w:lang w:val="en-US"/>
              </w:rPr>
              <w:t>微弱</w:t>
            </w:r>
          </w:p>
        </w:tc>
      </w:tr>
      <w:tr w14:paraId="578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0931AA3F">
            <w:pPr>
              <w:pStyle w:val="10"/>
              <w:autoSpaceDE/>
              <w:autoSpaceDN/>
              <w:spacing w:after="0"/>
              <w:ind w:left="0" w:leftChars="0" w:firstLine="0" w:firstLineChars="0"/>
              <w:jc w:val="center"/>
              <w:rPr>
                <w:sz w:val="21"/>
                <w:szCs w:val="21"/>
                <w:lang w:val="en-US"/>
              </w:rPr>
            </w:pPr>
            <w:r>
              <w:rPr>
                <w:rFonts w:hint="eastAsia"/>
                <w:sz w:val="21"/>
                <w:szCs w:val="21"/>
                <w:lang w:val="en-US"/>
              </w:rPr>
              <w:t>I</w:t>
            </w:r>
          </w:p>
        </w:tc>
        <w:tc>
          <w:tcPr>
            <w:tcW w:w="1620" w:type="dxa"/>
            <w:shd w:val="clear" w:color="auto" w:fill="auto"/>
            <w:vAlign w:val="center"/>
          </w:tcPr>
          <w:p w14:paraId="515CE9E2">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74856960">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3D2885C1">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1" w:type="dxa"/>
            <w:shd w:val="clear" w:color="auto" w:fill="auto"/>
            <w:vAlign w:val="center"/>
          </w:tcPr>
          <w:p w14:paraId="56A01CF2">
            <w:pPr>
              <w:pStyle w:val="10"/>
              <w:autoSpaceDE/>
              <w:autoSpaceDN/>
              <w:spacing w:after="0"/>
              <w:ind w:left="0" w:leftChars="0" w:firstLine="0" w:firstLineChars="0"/>
              <w:jc w:val="center"/>
              <w:rPr>
                <w:sz w:val="21"/>
                <w:szCs w:val="21"/>
                <w:lang w:val="en-US"/>
              </w:rPr>
            </w:pPr>
            <w:r>
              <w:rPr>
                <w:rFonts w:hint="eastAsia"/>
                <w:sz w:val="21"/>
                <w:szCs w:val="21"/>
                <w:lang w:val="en-US"/>
              </w:rPr>
              <w:t>M</w:t>
            </w:r>
          </w:p>
        </w:tc>
      </w:tr>
      <w:tr w14:paraId="4D5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485CDB4">
            <w:pPr>
              <w:pStyle w:val="10"/>
              <w:autoSpaceDE/>
              <w:autoSpaceDN/>
              <w:spacing w:after="0"/>
              <w:ind w:left="0" w:leftChars="0" w:firstLine="0" w:firstLineChars="0"/>
              <w:jc w:val="center"/>
              <w:rPr>
                <w:sz w:val="21"/>
                <w:szCs w:val="21"/>
                <w:lang w:val="en-US"/>
              </w:rPr>
            </w:pPr>
            <w:r>
              <w:rPr>
                <w:rFonts w:hint="eastAsia"/>
                <w:sz w:val="21"/>
                <w:szCs w:val="21"/>
                <w:lang w:val="en-US"/>
              </w:rPr>
              <w:t>II</w:t>
            </w:r>
          </w:p>
        </w:tc>
        <w:tc>
          <w:tcPr>
            <w:tcW w:w="1620" w:type="dxa"/>
            <w:shd w:val="clear" w:color="auto" w:fill="auto"/>
            <w:vAlign w:val="center"/>
          </w:tcPr>
          <w:p w14:paraId="7C315E95">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0D06856D">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4E394D7C">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075E724E">
            <w:pPr>
              <w:pStyle w:val="10"/>
              <w:autoSpaceDE/>
              <w:autoSpaceDN/>
              <w:spacing w:after="0"/>
              <w:ind w:left="0" w:leftChars="0" w:firstLine="0" w:firstLineChars="0"/>
              <w:jc w:val="center"/>
              <w:rPr>
                <w:sz w:val="21"/>
                <w:szCs w:val="21"/>
              </w:rPr>
            </w:pPr>
            <w:r>
              <w:rPr>
                <w:rFonts w:hint="eastAsia"/>
                <w:sz w:val="21"/>
                <w:szCs w:val="21"/>
                <w:lang w:val="en-US"/>
              </w:rPr>
              <w:t>L</w:t>
            </w:r>
          </w:p>
        </w:tc>
      </w:tr>
      <w:tr w14:paraId="24C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233F33E9">
            <w:pPr>
              <w:pStyle w:val="10"/>
              <w:autoSpaceDE/>
              <w:autoSpaceDN/>
              <w:spacing w:after="0"/>
              <w:ind w:left="0" w:leftChars="0" w:firstLine="0" w:firstLineChars="0"/>
              <w:jc w:val="center"/>
              <w:rPr>
                <w:sz w:val="21"/>
                <w:szCs w:val="21"/>
                <w:lang w:val="en-US"/>
              </w:rPr>
            </w:pPr>
            <w:r>
              <w:rPr>
                <w:rFonts w:hint="eastAsia"/>
                <w:sz w:val="21"/>
                <w:szCs w:val="21"/>
                <w:lang w:val="en-US"/>
              </w:rPr>
              <w:t>III</w:t>
            </w:r>
          </w:p>
        </w:tc>
        <w:tc>
          <w:tcPr>
            <w:tcW w:w="1620" w:type="dxa"/>
            <w:shd w:val="clear" w:color="auto" w:fill="auto"/>
            <w:vAlign w:val="center"/>
          </w:tcPr>
          <w:p w14:paraId="4AB72738">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6F68644F">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12DD2A28">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49A6F2F5">
            <w:pPr>
              <w:pStyle w:val="10"/>
              <w:autoSpaceDE/>
              <w:autoSpaceDN/>
              <w:spacing w:after="0"/>
              <w:ind w:left="0" w:leftChars="0" w:firstLine="0" w:firstLineChars="0"/>
              <w:jc w:val="center"/>
              <w:rPr>
                <w:sz w:val="21"/>
                <w:szCs w:val="21"/>
              </w:rPr>
            </w:pPr>
            <w:r>
              <w:rPr>
                <w:rFonts w:hint="eastAsia"/>
                <w:sz w:val="21"/>
                <w:szCs w:val="21"/>
                <w:lang w:val="en-US"/>
              </w:rPr>
              <w:t>L</w:t>
            </w:r>
          </w:p>
        </w:tc>
      </w:tr>
      <w:tr w14:paraId="28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7BB3D1F9">
            <w:pPr>
              <w:pStyle w:val="10"/>
              <w:autoSpaceDE/>
              <w:autoSpaceDN/>
              <w:spacing w:after="0"/>
              <w:ind w:left="0" w:leftChars="0" w:firstLine="0" w:firstLineChars="0"/>
              <w:jc w:val="center"/>
              <w:rPr>
                <w:sz w:val="21"/>
                <w:szCs w:val="21"/>
                <w:lang w:val="en-US"/>
              </w:rPr>
            </w:pPr>
            <w:r>
              <w:rPr>
                <w:rFonts w:hint="eastAsia"/>
                <w:sz w:val="21"/>
                <w:szCs w:val="21"/>
                <w:lang w:val="en-US"/>
              </w:rPr>
              <w:t>IV</w:t>
            </w:r>
          </w:p>
        </w:tc>
        <w:tc>
          <w:tcPr>
            <w:tcW w:w="1620" w:type="dxa"/>
            <w:shd w:val="clear" w:color="auto" w:fill="auto"/>
            <w:vAlign w:val="center"/>
          </w:tcPr>
          <w:p w14:paraId="3C8B2CCD">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42428B51">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0DE769E9">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1" w:type="dxa"/>
            <w:shd w:val="clear" w:color="auto" w:fill="auto"/>
            <w:vAlign w:val="center"/>
          </w:tcPr>
          <w:p w14:paraId="01D6CE10">
            <w:pPr>
              <w:jc w:val="center"/>
              <w:rPr>
                <w:rFonts w:ascii="宋体" w:hAnsi="宋体" w:cs="宋体"/>
                <w:szCs w:val="21"/>
              </w:rPr>
            </w:pPr>
            <w:r>
              <w:rPr>
                <w:rFonts w:hint="eastAsia" w:ascii="宋体" w:hAnsi="宋体" w:cs="宋体"/>
                <w:szCs w:val="21"/>
              </w:rPr>
              <w:t>A</w:t>
            </w:r>
          </w:p>
        </w:tc>
      </w:tr>
      <w:tr w14:paraId="0F1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8CB0740">
            <w:pPr>
              <w:pStyle w:val="10"/>
              <w:autoSpaceDE/>
              <w:autoSpaceDN/>
              <w:spacing w:after="0"/>
              <w:ind w:left="0" w:leftChars="0" w:firstLine="0" w:firstLineChars="0"/>
              <w:jc w:val="center"/>
              <w:rPr>
                <w:sz w:val="21"/>
                <w:szCs w:val="21"/>
                <w:lang w:val="en-US"/>
              </w:rPr>
            </w:pPr>
            <w:r>
              <w:rPr>
                <w:rFonts w:hint="eastAsia"/>
                <w:sz w:val="21"/>
                <w:szCs w:val="21"/>
                <w:lang w:val="en-US"/>
              </w:rPr>
              <w:t>V</w:t>
            </w:r>
          </w:p>
        </w:tc>
        <w:tc>
          <w:tcPr>
            <w:tcW w:w="1620" w:type="dxa"/>
            <w:shd w:val="clear" w:color="auto" w:fill="auto"/>
            <w:vAlign w:val="center"/>
          </w:tcPr>
          <w:p w14:paraId="4FE217D0">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2FB8602E">
            <w:pPr>
              <w:pStyle w:val="10"/>
              <w:autoSpaceDE/>
              <w:autoSpaceDN/>
              <w:spacing w:after="0"/>
              <w:ind w:left="0" w:leftChars="0" w:firstLine="0" w:firstLineChars="0"/>
              <w:jc w:val="center"/>
              <w:rPr>
                <w:sz w:val="21"/>
                <w:szCs w:val="21"/>
                <w:highlight w:val="none"/>
              </w:rPr>
            </w:pPr>
            <w:r>
              <w:rPr>
                <w:rFonts w:hint="eastAsia"/>
                <w:sz w:val="21"/>
                <w:szCs w:val="21"/>
                <w:highlight w:val="none"/>
                <w:lang w:val="en-US"/>
              </w:rPr>
              <w:t>M</w:t>
            </w:r>
          </w:p>
        </w:tc>
        <w:tc>
          <w:tcPr>
            <w:tcW w:w="1620" w:type="dxa"/>
            <w:shd w:val="clear" w:color="auto" w:fill="FFFFFF" w:themeFill="background1"/>
            <w:vAlign w:val="center"/>
          </w:tcPr>
          <w:p w14:paraId="4F4E817A">
            <w:pPr>
              <w:pStyle w:val="10"/>
              <w:autoSpaceDE/>
              <w:autoSpaceDN/>
              <w:spacing w:after="0"/>
              <w:ind w:left="0" w:leftChars="0" w:firstLine="0" w:firstLineChars="0"/>
              <w:jc w:val="center"/>
              <w:rPr>
                <w:sz w:val="21"/>
                <w:szCs w:val="21"/>
                <w:highlight w:val="none"/>
              </w:rPr>
            </w:pPr>
            <w:r>
              <w:rPr>
                <w:rFonts w:hint="eastAsia"/>
                <w:sz w:val="21"/>
                <w:szCs w:val="21"/>
                <w:highlight w:val="none"/>
                <w:lang w:val="en-US"/>
              </w:rPr>
              <w:t>L</w:t>
            </w:r>
          </w:p>
        </w:tc>
        <w:tc>
          <w:tcPr>
            <w:tcW w:w="1621" w:type="dxa"/>
            <w:shd w:val="clear" w:color="auto" w:fill="auto"/>
            <w:vAlign w:val="center"/>
          </w:tcPr>
          <w:p w14:paraId="11CA0B13">
            <w:pPr>
              <w:jc w:val="center"/>
              <w:rPr>
                <w:rFonts w:ascii="宋体" w:hAnsi="宋体" w:cs="宋体"/>
                <w:szCs w:val="21"/>
              </w:rPr>
            </w:pPr>
            <w:r>
              <w:rPr>
                <w:rFonts w:hint="eastAsia" w:ascii="宋体" w:hAnsi="宋体" w:cs="宋体"/>
                <w:szCs w:val="21"/>
              </w:rPr>
              <w:t>A</w:t>
            </w:r>
          </w:p>
        </w:tc>
      </w:tr>
      <w:tr w14:paraId="697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1921EDAF">
            <w:pPr>
              <w:pStyle w:val="10"/>
              <w:autoSpaceDE/>
              <w:autoSpaceDN/>
              <w:spacing w:after="0"/>
              <w:ind w:left="0" w:leftChars="0" w:firstLine="0" w:firstLineChars="0"/>
              <w:jc w:val="center"/>
              <w:rPr>
                <w:sz w:val="21"/>
                <w:szCs w:val="21"/>
                <w:lang w:val="en-US"/>
              </w:rPr>
            </w:pPr>
            <w:r>
              <w:rPr>
                <w:rFonts w:hint="eastAsia"/>
                <w:sz w:val="21"/>
                <w:szCs w:val="21"/>
                <w:lang w:val="en-US"/>
              </w:rPr>
              <w:t>VI</w:t>
            </w:r>
          </w:p>
        </w:tc>
        <w:tc>
          <w:tcPr>
            <w:tcW w:w="1620" w:type="dxa"/>
            <w:shd w:val="clear" w:color="auto" w:fill="auto"/>
            <w:vAlign w:val="center"/>
          </w:tcPr>
          <w:p w14:paraId="45A80FA4">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auto"/>
            <w:vAlign w:val="center"/>
          </w:tcPr>
          <w:p w14:paraId="5B6CE1D7">
            <w:pPr>
              <w:pStyle w:val="10"/>
              <w:autoSpaceDE/>
              <w:autoSpaceDN/>
              <w:spacing w:after="0"/>
              <w:ind w:left="0" w:leftChars="0" w:firstLine="0" w:firstLineChars="0"/>
              <w:jc w:val="center"/>
              <w:rPr>
                <w:sz w:val="21"/>
                <w:szCs w:val="21"/>
              </w:rPr>
            </w:pPr>
            <w:r>
              <w:rPr>
                <w:rFonts w:hint="eastAsia"/>
                <w:sz w:val="21"/>
                <w:szCs w:val="21"/>
                <w:lang w:val="en-US"/>
              </w:rPr>
              <w:t>L</w:t>
            </w:r>
          </w:p>
        </w:tc>
        <w:tc>
          <w:tcPr>
            <w:tcW w:w="1620" w:type="dxa"/>
            <w:shd w:val="clear" w:color="auto" w:fill="auto"/>
            <w:vAlign w:val="center"/>
          </w:tcPr>
          <w:p w14:paraId="7B20D815">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360E9BCF">
            <w:pPr>
              <w:jc w:val="center"/>
              <w:rPr>
                <w:rFonts w:ascii="宋体" w:hAnsi="宋体" w:cs="宋体"/>
                <w:szCs w:val="21"/>
              </w:rPr>
            </w:pPr>
            <w:r>
              <w:rPr>
                <w:rFonts w:hint="eastAsia" w:ascii="宋体" w:hAnsi="宋体" w:cs="宋体"/>
                <w:szCs w:val="21"/>
              </w:rPr>
              <w:t>A</w:t>
            </w:r>
          </w:p>
        </w:tc>
      </w:tr>
      <w:tr w14:paraId="68B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B528F10">
            <w:pPr>
              <w:pStyle w:val="10"/>
              <w:autoSpaceDE/>
              <w:autoSpaceDN/>
              <w:spacing w:after="0"/>
              <w:ind w:left="0" w:leftChars="0" w:firstLine="0" w:firstLineChars="0"/>
              <w:jc w:val="center"/>
              <w:rPr>
                <w:sz w:val="21"/>
                <w:szCs w:val="21"/>
                <w:lang w:val="en-US"/>
              </w:rPr>
            </w:pPr>
            <w:r>
              <w:rPr>
                <w:rFonts w:hint="eastAsia"/>
                <w:sz w:val="21"/>
                <w:szCs w:val="21"/>
                <w:lang w:val="en-US"/>
              </w:rPr>
              <w:t>VII</w:t>
            </w:r>
          </w:p>
        </w:tc>
        <w:tc>
          <w:tcPr>
            <w:tcW w:w="1620" w:type="dxa"/>
            <w:shd w:val="clear" w:color="auto" w:fill="auto"/>
            <w:vAlign w:val="center"/>
          </w:tcPr>
          <w:p w14:paraId="0947434A">
            <w:pPr>
              <w:pStyle w:val="10"/>
              <w:autoSpaceDE/>
              <w:autoSpaceDN/>
              <w:spacing w:after="0"/>
              <w:ind w:left="0" w:leftChars="0" w:firstLine="0" w:firstLineChars="0"/>
              <w:jc w:val="center"/>
              <w:rPr>
                <w:sz w:val="21"/>
                <w:szCs w:val="21"/>
                <w:lang w:val="en-US"/>
              </w:rPr>
            </w:pPr>
            <w:r>
              <w:rPr>
                <w:rFonts w:hint="eastAsia"/>
                <w:sz w:val="21"/>
                <w:szCs w:val="21"/>
                <w:lang w:val="en-US"/>
              </w:rPr>
              <w:t>L</w:t>
            </w:r>
          </w:p>
        </w:tc>
        <w:tc>
          <w:tcPr>
            <w:tcW w:w="1620" w:type="dxa"/>
            <w:shd w:val="clear" w:color="auto" w:fill="auto"/>
            <w:vAlign w:val="center"/>
          </w:tcPr>
          <w:p w14:paraId="0DED25A2">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5DC970B8">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13F63DE1">
            <w:pPr>
              <w:jc w:val="center"/>
              <w:rPr>
                <w:rFonts w:ascii="宋体" w:hAnsi="宋体" w:cs="宋体"/>
                <w:szCs w:val="21"/>
              </w:rPr>
            </w:pPr>
            <w:r>
              <w:rPr>
                <w:rFonts w:hint="eastAsia" w:ascii="宋体" w:hAnsi="宋体" w:cs="宋体"/>
                <w:szCs w:val="21"/>
              </w:rPr>
              <w:t>A</w:t>
            </w:r>
          </w:p>
        </w:tc>
      </w:tr>
      <w:tr w14:paraId="329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AA882D7">
            <w:pPr>
              <w:pStyle w:val="10"/>
              <w:autoSpaceDE/>
              <w:autoSpaceDN/>
              <w:spacing w:after="0"/>
              <w:ind w:left="0" w:leftChars="0" w:firstLine="0" w:firstLineChars="0"/>
              <w:jc w:val="center"/>
              <w:rPr>
                <w:sz w:val="21"/>
                <w:szCs w:val="21"/>
                <w:lang w:val="en-US"/>
              </w:rPr>
            </w:pPr>
            <w:r>
              <w:rPr>
                <w:rFonts w:hint="eastAsia"/>
                <w:sz w:val="21"/>
                <w:szCs w:val="21"/>
                <w:lang w:val="en-US"/>
              </w:rPr>
              <w:t>VIII</w:t>
            </w:r>
          </w:p>
        </w:tc>
        <w:tc>
          <w:tcPr>
            <w:tcW w:w="1620" w:type="dxa"/>
            <w:shd w:val="clear" w:color="auto" w:fill="auto"/>
            <w:vAlign w:val="center"/>
          </w:tcPr>
          <w:p w14:paraId="0DB04CD9">
            <w:pPr>
              <w:pStyle w:val="10"/>
              <w:autoSpaceDE/>
              <w:autoSpaceDN/>
              <w:spacing w:after="0"/>
              <w:ind w:left="0" w:leftChars="0" w:firstLine="0" w:firstLineChars="0"/>
              <w:jc w:val="center"/>
              <w:rPr>
                <w:sz w:val="21"/>
                <w:szCs w:val="21"/>
                <w:lang w:val="en-US"/>
              </w:rPr>
            </w:pPr>
            <w:r>
              <w:rPr>
                <w:rFonts w:hint="eastAsia"/>
                <w:sz w:val="21"/>
                <w:szCs w:val="21"/>
                <w:lang w:val="en-US"/>
              </w:rPr>
              <w:t>A</w:t>
            </w:r>
          </w:p>
        </w:tc>
        <w:tc>
          <w:tcPr>
            <w:tcW w:w="1620" w:type="dxa"/>
            <w:shd w:val="clear" w:color="auto" w:fill="auto"/>
            <w:vAlign w:val="center"/>
          </w:tcPr>
          <w:p w14:paraId="3F80D309">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4C2CCE92">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6DFD89C2">
            <w:pPr>
              <w:jc w:val="center"/>
              <w:rPr>
                <w:rFonts w:ascii="宋体" w:hAnsi="宋体" w:cs="宋体"/>
                <w:szCs w:val="21"/>
              </w:rPr>
            </w:pPr>
            <w:r>
              <w:rPr>
                <w:rFonts w:hint="eastAsia" w:ascii="宋体" w:hAnsi="宋体" w:cs="宋体"/>
                <w:szCs w:val="21"/>
              </w:rPr>
              <w:t>A</w:t>
            </w:r>
          </w:p>
        </w:tc>
      </w:tr>
    </w:tbl>
    <w:p w14:paraId="769F1EFE">
      <w:pPr>
        <w:spacing w:line="360" w:lineRule="auto"/>
        <w:rPr>
          <w:rFonts w:ascii="宋体" w:hAnsi="宋体" w:cs="宋体"/>
          <w:szCs w:val="21"/>
        </w:rPr>
      </w:pPr>
      <w:r>
        <w:rPr>
          <w:rFonts w:hint="eastAsia" w:ascii="宋体" w:hAnsi="宋体" w:cs="宋体"/>
          <w:szCs w:val="21"/>
        </w:rPr>
        <w:t>说明：</w:t>
      </w:r>
    </w:p>
    <w:p w14:paraId="5174F49A">
      <w:pPr>
        <w:spacing w:line="360" w:lineRule="auto"/>
        <w:rPr>
          <w:rFonts w:ascii="宋体" w:hAnsi="宋体" w:cs="宋体"/>
          <w:szCs w:val="21"/>
        </w:rPr>
      </w:pPr>
      <w:r>
        <w:rPr>
          <w:rFonts w:hint="eastAsia" w:ascii="宋体" w:hAnsi="宋体" w:cs="宋体"/>
          <w:szCs w:val="21"/>
        </w:rPr>
        <w:t>S 表示严重风险</w:t>
      </w:r>
    </w:p>
    <w:p w14:paraId="0ED89B61">
      <w:pPr>
        <w:spacing w:line="360" w:lineRule="auto"/>
        <w:rPr>
          <w:rFonts w:ascii="宋体" w:hAnsi="宋体" w:cs="宋体"/>
          <w:szCs w:val="21"/>
        </w:rPr>
      </w:pPr>
      <w:r>
        <w:rPr>
          <w:rFonts w:hint="eastAsia" w:ascii="宋体" w:hAnsi="宋体" w:cs="宋体"/>
          <w:szCs w:val="21"/>
        </w:rPr>
        <w:t>M 表示中等风险</w:t>
      </w:r>
    </w:p>
    <w:p w14:paraId="26CD8D24">
      <w:pPr>
        <w:spacing w:line="360" w:lineRule="auto"/>
        <w:rPr>
          <w:rFonts w:ascii="宋体" w:hAnsi="宋体" w:cs="宋体"/>
          <w:szCs w:val="21"/>
        </w:rPr>
      </w:pPr>
      <w:r>
        <w:rPr>
          <w:rFonts w:hint="eastAsia" w:ascii="宋体" w:hAnsi="宋体" w:cs="宋体"/>
          <w:szCs w:val="21"/>
        </w:rPr>
        <w:t>L 表示低风险</w:t>
      </w:r>
    </w:p>
    <w:p w14:paraId="36AC5AB2">
      <w:pPr>
        <w:spacing w:line="360" w:lineRule="auto"/>
        <w:rPr>
          <w:rFonts w:ascii="宋体" w:hAnsi="宋体" w:cs="宋体"/>
          <w:szCs w:val="21"/>
        </w:rPr>
      </w:pPr>
      <w:r>
        <w:rPr>
          <w:rFonts w:hint="eastAsia" w:ascii="宋体" w:hAnsi="宋体" w:cs="宋体"/>
          <w:szCs w:val="21"/>
        </w:rPr>
        <w:t>A 表示可容许风险</w:t>
      </w:r>
    </w:p>
    <w:p w14:paraId="0D20367C">
      <w:pPr>
        <w:spacing w:line="360" w:lineRule="auto"/>
        <w:ind w:firstLine="420" w:firstLineChars="200"/>
        <w:rPr>
          <w:rFonts w:ascii="宋体" w:hAnsi="宋体" w:cs="宋体"/>
          <w:szCs w:val="21"/>
        </w:rPr>
      </w:pPr>
      <w:r>
        <w:rPr>
          <w:rFonts w:hint="eastAsia" w:ascii="宋体" w:hAnsi="宋体" w:cs="宋体"/>
          <w:szCs w:val="21"/>
        </w:rPr>
        <w:t>风险预期：根据国内相关数据及前期检测结果，结合</w:t>
      </w:r>
      <w:r>
        <w:rPr>
          <w:rFonts w:hint="eastAsia" w:ascii="宋体" w:hAnsi="宋体" w:cs="宋体"/>
          <w:color w:val="191919"/>
          <w:szCs w:val="21"/>
          <w:shd w:val="clear" w:color="auto" w:fill="FFFFFF"/>
        </w:rPr>
        <w:t>欧盟非食品消费品快速预警系统(RAPEX)</w:t>
      </w:r>
      <w:r>
        <w:rPr>
          <w:rFonts w:hint="eastAsia" w:ascii="宋体" w:hAnsi="宋体" w:cs="宋体"/>
          <w:szCs w:val="21"/>
        </w:rPr>
        <w:t>估计，预期结论为</w:t>
      </w:r>
      <w:r>
        <w:rPr>
          <w:rFonts w:hint="eastAsia" w:ascii="宋体" w:hAnsi="宋体" w:cs="宋体"/>
          <w:lang w:val="en-US" w:eastAsia="zh-CN"/>
        </w:rPr>
        <w:t>老人纸尿裤</w:t>
      </w:r>
      <w:r>
        <w:rPr>
          <w:rFonts w:hint="eastAsia" w:ascii="宋体" w:hAnsi="宋体" w:cs="宋体"/>
          <w:szCs w:val="21"/>
        </w:rPr>
        <w:t>产品细菌菌落总数、大肠菌群、真菌菌落总数、致病性化脓菌、渗透性能、</w:t>
      </w:r>
      <w:r>
        <w:rPr>
          <w:rFonts w:hint="eastAsia" w:ascii="Times New Roman" w:hAnsi="Times New Roman" w:eastAsia="宋体" w:cs="Times New Roman"/>
          <w:szCs w:val="21"/>
        </w:rPr>
        <w:t>邻苯二甲酸酯</w:t>
      </w:r>
      <w:r>
        <w:rPr>
          <w:rFonts w:hint="eastAsia" w:ascii="宋体" w:hAnsi="宋体" w:cs="宋体"/>
          <w:szCs w:val="21"/>
        </w:rPr>
        <w:t>的风险为中等。</w:t>
      </w:r>
    </w:p>
    <w:p w14:paraId="27D6E207">
      <w:pPr>
        <w:spacing w:line="360" w:lineRule="auto"/>
        <w:ind w:firstLine="210" w:firstLineChars="100"/>
      </w:pPr>
      <w:bookmarkStart w:id="5" w:name="_Toc26152"/>
      <w:r>
        <w:rPr>
          <w:rFonts w:hint="eastAsia"/>
        </w:rPr>
        <w:t>6.5、风险处置方案</w:t>
      </w:r>
      <w:bookmarkEnd w:id="5"/>
    </w:p>
    <w:p w14:paraId="79A9FC1C">
      <w:pPr>
        <w:spacing w:line="360" w:lineRule="auto"/>
        <w:ind w:firstLine="420" w:firstLineChars="200"/>
        <w:rPr>
          <w:rFonts w:ascii="宋体" w:hAnsi="宋体" w:cs="宋体"/>
          <w:szCs w:val="21"/>
        </w:rPr>
      </w:pPr>
      <w:r>
        <w:rPr>
          <w:rFonts w:hint="eastAsia" w:ascii="宋体" w:hAnsi="宋体" w:cs="宋体"/>
          <w:szCs w:val="21"/>
        </w:rPr>
        <w:t>完善标准体系，加大政府对企业的服务体系。</w:t>
      </w:r>
    </w:p>
    <w:p w14:paraId="0939A8A6">
      <w:pPr>
        <w:spacing w:line="360" w:lineRule="auto"/>
        <w:ind w:firstLine="420" w:firstLineChars="200"/>
        <w:rPr>
          <w:rFonts w:ascii="宋体" w:hAnsi="宋体" w:cs="宋体"/>
          <w:szCs w:val="21"/>
        </w:rPr>
      </w:pPr>
      <w:r>
        <w:rPr>
          <w:rFonts w:hint="eastAsia" w:ascii="宋体" w:hAnsi="宋体" w:cs="宋体"/>
          <w:szCs w:val="21"/>
        </w:rPr>
        <w:t>目前，</w:t>
      </w:r>
      <w:r>
        <w:rPr>
          <w:rFonts w:hint="eastAsia" w:ascii="宋体" w:hAnsi="宋体" w:cs="宋体"/>
          <w:lang w:val="en-US" w:eastAsia="zh-CN"/>
        </w:rPr>
        <w:t>老人纸尿裤</w:t>
      </w:r>
      <w:r>
        <w:rPr>
          <w:rFonts w:hint="eastAsia" w:ascii="宋体" w:hAnsi="宋体" w:cs="宋体"/>
          <w:szCs w:val="21"/>
        </w:rPr>
        <w:t>产品</w:t>
      </w:r>
      <w:r>
        <w:rPr>
          <w:rFonts w:hint="eastAsia" w:ascii="宋体" w:hAnsi="宋体" w:cs="宋体"/>
          <w:szCs w:val="21"/>
          <w:lang w:val="en-US" w:eastAsia="zh-CN"/>
        </w:rPr>
        <w:t>已</w:t>
      </w:r>
      <w:r>
        <w:rPr>
          <w:rFonts w:hint="eastAsia" w:ascii="宋体" w:hAnsi="宋体" w:cs="宋体"/>
          <w:szCs w:val="21"/>
        </w:rPr>
        <w:t>出台专门的产品安全管控标准，建议相关部门尽快明确安全管控要求，促使企业规范生产，监管部门监督检查有法可依。</w:t>
      </w:r>
    </w:p>
    <w:p w14:paraId="0407A021">
      <w:pPr>
        <w:spacing w:line="360" w:lineRule="auto"/>
        <w:ind w:firstLine="420" w:firstLineChars="200"/>
        <w:rPr>
          <w:rFonts w:ascii="宋体" w:hAnsi="宋体" w:cs="宋体"/>
          <w:szCs w:val="21"/>
        </w:rPr>
      </w:pPr>
      <w:r>
        <w:rPr>
          <w:rFonts w:hint="eastAsia" w:ascii="宋体" w:hAnsi="宋体" w:cs="宋体"/>
          <w:szCs w:val="21"/>
        </w:rPr>
        <w:t>加强产品质量源头，提高企业的风险意识。</w:t>
      </w:r>
    </w:p>
    <w:p w14:paraId="3396D1D4">
      <w:pPr>
        <w:spacing w:line="360" w:lineRule="auto"/>
        <w:ind w:firstLine="420" w:firstLineChars="200"/>
        <w:rPr>
          <w:rFonts w:ascii="宋体" w:hAnsi="宋体" w:cs="宋体"/>
          <w:szCs w:val="21"/>
        </w:rPr>
      </w:pPr>
      <w:r>
        <w:rPr>
          <w:rFonts w:hint="eastAsia" w:ascii="宋体" w:hAnsi="宋体" w:cs="宋体"/>
          <w:szCs w:val="21"/>
        </w:rPr>
        <w:t>加强对</w:t>
      </w:r>
      <w:r>
        <w:rPr>
          <w:rFonts w:hint="eastAsia" w:ascii="宋体" w:hAnsi="宋体" w:cs="宋体"/>
          <w:lang w:val="en-US" w:eastAsia="zh-CN"/>
        </w:rPr>
        <w:t>老人纸尿裤</w:t>
      </w:r>
      <w:r>
        <w:rPr>
          <w:rFonts w:hint="eastAsia" w:ascii="宋体" w:hAnsi="宋体" w:cs="宋体"/>
          <w:szCs w:val="21"/>
        </w:rPr>
        <w:t xml:space="preserve">产品生产企业的监督检查力度，尤其是出口企业，对企业进行针对性的培训和监督指导，提醒产品出口风险，规范企业的生产行为，降低产品出口风险。 </w:t>
      </w:r>
    </w:p>
    <w:p w14:paraId="3BFC8290">
      <w:pPr>
        <w:spacing w:line="360" w:lineRule="auto"/>
        <w:ind w:firstLine="420" w:firstLineChars="200"/>
        <w:rPr>
          <w:rFonts w:ascii="宋体" w:hAnsi="宋体" w:cs="宋体"/>
          <w:szCs w:val="21"/>
        </w:rPr>
      </w:pPr>
      <w:r>
        <w:rPr>
          <w:rFonts w:hint="eastAsia" w:ascii="宋体" w:hAnsi="宋体" w:cs="宋体"/>
          <w:szCs w:val="21"/>
        </w:rPr>
        <w:t>进一步加强生产过程监管力度。</w:t>
      </w:r>
    </w:p>
    <w:p w14:paraId="6129B244">
      <w:pPr>
        <w:spacing w:line="360" w:lineRule="auto"/>
        <w:ind w:firstLine="420" w:firstLineChars="200"/>
        <w:rPr>
          <w:rFonts w:ascii="宋体" w:hAnsi="宋体" w:cs="宋体"/>
          <w:szCs w:val="21"/>
        </w:rPr>
      </w:pPr>
      <w:r>
        <w:rPr>
          <w:rFonts w:hint="eastAsia" w:ascii="宋体" w:hAnsi="宋体" w:cs="宋体"/>
          <w:szCs w:val="21"/>
        </w:rPr>
        <w:t>为保护消费者权益，消除</w:t>
      </w:r>
      <w:r>
        <w:rPr>
          <w:rFonts w:hint="eastAsia" w:ascii="宋体" w:hAnsi="宋体" w:cs="宋体"/>
          <w:lang w:val="en-US" w:eastAsia="zh-CN"/>
        </w:rPr>
        <w:t>老人纸尿裤</w:t>
      </w:r>
      <w:r>
        <w:rPr>
          <w:rFonts w:hint="eastAsia" w:ascii="宋体" w:hAnsi="宋体" w:cs="宋体"/>
          <w:szCs w:val="21"/>
        </w:rPr>
        <w:t>对</w:t>
      </w:r>
      <w:r>
        <w:rPr>
          <w:rFonts w:hint="eastAsia" w:ascii="宋体" w:hAnsi="宋体" w:cs="宋体"/>
          <w:szCs w:val="21"/>
          <w:lang w:val="en-US" w:eastAsia="zh-CN"/>
        </w:rPr>
        <w:t>老年人的身体健康</w:t>
      </w:r>
      <w:r>
        <w:rPr>
          <w:rFonts w:hint="eastAsia" w:ascii="宋体" w:hAnsi="宋体" w:cs="宋体"/>
          <w:szCs w:val="21"/>
        </w:rPr>
        <w:t>的安全隐患，监管部门应加强对企业生产过程的监督检查力度，检查企业生产过程中是否使用过量</w:t>
      </w:r>
      <w:r>
        <w:rPr>
          <w:rFonts w:hint="eastAsia" w:ascii="宋体" w:hAnsi="宋体" w:cs="宋体"/>
          <w:szCs w:val="21"/>
          <w:lang w:val="en-US" w:eastAsia="zh-CN"/>
        </w:rPr>
        <w:t>化学物质</w:t>
      </w:r>
      <w:r>
        <w:rPr>
          <w:rFonts w:hint="eastAsia" w:ascii="宋体" w:hAnsi="宋体" w:cs="宋体"/>
          <w:szCs w:val="21"/>
        </w:rPr>
        <w:t>等，加大违法惩治力度，强化企业对生产过程质量控制意识，通过对生产过程的从严把控，要求企业制定相应的制度文件、操作规程，以督促企业自身产品的整体质量提升。制度和管理比企业自律和觉悟更重要，国外的标准和要求更严、更多，出口企业通过管理和控制完全能达到国外的标准要求，这完全是制度和市场行为决定企业的自律行为。因此通过监督管理部门对企业生产过程的监督检查确保消费者能用上安全放心的产品。</w:t>
      </w:r>
    </w:p>
    <w:p w14:paraId="17A8C062">
      <w:pPr>
        <w:ind w:firstLine="210" w:firstLineChars="100"/>
      </w:pPr>
      <w:bookmarkStart w:id="6" w:name="_Toc25323"/>
      <w:r>
        <w:rPr>
          <w:rFonts w:hint="eastAsia"/>
        </w:rPr>
        <w:t>6.6、时间进度安排</w:t>
      </w:r>
      <w:bookmarkEnd w:id="6"/>
    </w:p>
    <w:tbl>
      <w:tblPr>
        <w:tblStyle w:val="1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rPr>
                <w:rFonts w:ascii="宋体" w:hAnsi="宋体" w:cs="宋体"/>
                <w:szCs w:val="21"/>
              </w:rPr>
            </w:pPr>
            <w:r>
              <w:rPr>
                <w:rFonts w:hint="eastAsia" w:ascii="宋体" w:hAnsi="宋体" w:cs="宋体"/>
                <w:szCs w:val="21"/>
              </w:rPr>
              <w:t>序号</w:t>
            </w:r>
          </w:p>
        </w:tc>
        <w:tc>
          <w:tcPr>
            <w:tcW w:w="1260" w:type="pct"/>
            <w:vAlign w:val="center"/>
          </w:tcPr>
          <w:p w14:paraId="70BF47BC">
            <w:pPr>
              <w:rPr>
                <w:rFonts w:ascii="宋体" w:hAnsi="宋体" w:cs="宋体"/>
                <w:szCs w:val="21"/>
              </w:rPr>
            </w:pPr>
            <w:r>
              <w:rPr>
                <w:rFonts w:hint="eastAsia" w:ascii="宋体" w:hAnsi="宋体" w:cs="宋体"/>
                <w:szCs w:val="21"/>
              </w:rPr>
              <w:t>起止时间</w:t>
            </w:r>
          </w:p>
        </w:tc>
        <w:tc>
          <w:tcPr>
            <w:tcW w:w="1492" w:type="pct"/>
            <w:vAlign w:val="center"/>
          </w:tcPr>
          <w:p w14:paraId="752FDA59">
            <w:pPr>
              <w:rPr>
                <w:rFonts w:ascii="宋体" w:hAnsi="宋体" w:cs="宋体"/>
                <w:szCs w:val="21"/>
              </w:rPr>
            </w:pPr>
            <w:r>
              <w:rPr>
                <w:rFonts w:hint="eastAsia" w:ascii="宋体" w:hAnsi="宋体" w:cs="宋体"/>
                <w:szCs w:val="21"/>
              </w:rPr>
              <w:t>阶段</w:t>
            </w:r>
          </w:p>
        </w:tc>
        <w:tc>
          <w:tcPr>
            <w:tcW w:w="1815" w:type="pct"/>
            <w:vAlign w:val="center"/>
          </w:tcPr>
          <w:p w14:paraId="47D88DA1">
            <w:pPr>
              <w:rPr>
                <w:rFonts w:ascii="宋体" w:hAnsi="宋体" w:cs="宋体"/>
                <w:szCs w:val="21"/>
              </w:rPr>
            </w:pPr>
            <w:r>
              <w:rPr>
                <w:rFonts w:hint="eastAsia" w:ascii="宋体" w:hAnsi="宋体" w:cs="宋体"/>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ascii="宋体" w:hAnsi="宋体" w:cs="宋体"/>
                <w:szCs w:val="21"/>
              </w:rPr>
            </w:pPr>
            <w:r>
              <w:rPr>
                <w:rFonts w:hint="eastAsia" w:ascii="宋体" w:hAnsi="宋体" w:cs="宋体"/>
                <w:szCs w:val="21"/>
              </w:rPr>
              <w:t>1</w:t>
            </w:r>
          </w:p>
        </w:tc>
        <w:tc>
          <w:tcPr>
            <w:tcW w:w="1260" w:type="pct"/>
            <w:vAlign w:val="center"/>
          </w:tcPr>
          <w:p w14:paraId="2B89A5F5">
            <w:pPr>
              <w:rPr>
                <w:rFonts w:ascii="宋体" w:hAnsi="宋体" w:cs="宋体"/>
                <w:szCs w:val="21"/>
              </w:rPr>
            </w:pPr>
            <w:r>
              <w:rPr>
                <w:rFonts w:hint="eastAsia" w:ascii="宋体" w:hAnsi="宋体" w:cs="宋体"/>
                <w:szCs w:val="21"/>
              </w:rPr>
              <w:t>任务书下达</w:t>
            </w:r>
          </w:p>
        </w:tc>
        <w:tc>
          <w:tcPr>
            <w:tcW w:w="1492" w:type="pct"/>
            <w:vAlign w:val="center"/>
          </w:tcPr>
          <w:p w14:paraId="5AB06AEA">
            <w:pPr>
              <w:rPr>
                <w:rFonts w:ascii="宋体" w:hAnsi="宋体" w:cs="宋体"/>
                <w:szCs w:val="21"/>
              </w:rPr>
            </w:pPr>
            <w:r>
              <w:rPr>
                <w:rFonts w:hint="eastAsia" w:ascii="宋体" w:hAnsi="宋体" w:cs="宋体"/>
                <w:szCs w:val="21"/>
              </w:rPr>
              <w:t>任务确认，下达任务书</w:t>
            </w:r>
          </w:p>
        </w:tc>
        <w:tc>
          <w:tcPr>
            <w:tcW w:w="1815" w:type="pct"/>
            <w:vAlign w:val="center"/>
          </w:tcPr>
          <w:p w14:paraId="3D0274B7">
            <w:pPr>
              <w:rPr>
                <w:rFonts w:ascii="宋体" w:hAnsi="宋体" w:cs="宋体"/>
                <w:szCs w:val="21"/>
              </w:rPr>
            </w:pPr>
            <w:r>
              <w:rPr>
                <w:rFonts w:hint="eastAsia" w:ascii="宋体" w:hAnsi="宋体" w:cs="宋体"/>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ascii="宋体" w:hAnsi="宋体" w:cs="宋体"/>
                <w:szCs w:val="21"/>
              </w:rPr>
            </w:pPr>
            <w:r>
              <w:rPr>
                <w:rFonts w:hint="eastAsia" w:ascii="宋体" w:hAnsi="宋体" w:cs="宋体"/>
                <w:szCs w:val="21"/>
              </w:rPr>
              <w:t>2</w:t>
            </w:r>
          </w:p>
        </w:tc>
        <w:tc>
          <w:tcPr>
            <w:tcW w:w="1260" w:type="pct"/>
            <w:vAlign w:val="center"/>
          </w:tcPr>
          <w:p w14:paraId="296AC921">
            <w:pPr>
              <w:rPr>
                <w:rFonts w:ascii="宋体" w:hAnsi="宋体" w:cs="宋体"/>
                <w:szCs w:val="21"/>
              </w:rPr>
            </w:pPr>
            <w:r>
              <w:rPr>
                <w:rFonts w:hint="eastAsia" w:ascii="宋体" w:hAnsi="宋体" w:cs="宋体"/>
                <w:szCs w:val="21"/>
              </w:rPr>
              <w:t>任务书下达后15个工作日</w:t>
            </w:r>
          </w:p>
        </w:tc>
        <w:tc>
          <w:tcPr>
            <w:tcW w:w="1492" w:type="pct"/>
            <w:vAlign w:val="center"/>
          </w:tcPr>
          <w:p w14:paraId="00B2D09B">
            <w:pPr>
              <w:rPr>
                <w:rFonts w:ascii="宋体" w:hAnsi="宋体" w:cs="宋体"/>
                <w:szCs w:val="21"/>
              </w:rPr>
            </w:pPr>
            <w:r>
              <w:rPr>
                <w:rFonts w:hint="eastAsia" w:ascii="宋体" w:hAnsi="宋体" w:cs="宋体"/>
                <w:szCs w:val="21"/>
              </w:rPr>
              <w:t>抽样阶段</w:t>
            </w:r>
          </w:p>
        </w:tc>
        <w:tc>
          <w:tcPr>
            <w:tcW w:w="1815" w:type="pct"/>
            <w:vAlign w:val="center"/>
          </w:tcPr>
          <w:p w14:paraId="66F98713">
            <w:pPr>
              <w:rPr>
                <w:rFonts w:ascii="宋体" w:hAnsi="宋体" w:cs="宋体"/>
                <w:szCs w:val="21"/>
              </w:rPr>
            </w:pPr>
            <w:r>
              <w:rPr>
                <w:rFonts w:hint="eastAsia" w:ascii="宋体" w:hAnsi="宋体" w:cs="宋体"/>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ascii="宋体" w:hAnsi="宋体" w:cs="宋体"/>
                <w:szCs w:val="21"/>
              </w:rPr>
            </w:pPr>
            <w:r>
              <w:rPr>
                <w:rFonts w:hint="eastAsia" w:ascii="宋体" w:hAnsi="宋体" w:cs="宋体"/>
                <w:szCs w:val="21"/>
              </w:rPr>
              <w:t>3</w:t>
            </w:r>
          </w:p>
        </w:tc>
        <w:tc>
          <w:tcPr>
            <w:tcW w:w="1260" w:type="pct"/>
            <w:vAlign w:val="center"/>
          </w:tcPr>
          <w:p w14:paraId="76AB5DE1">
            <w:pPr>
              <w:rPr>
                <w:rFonts w:ascii="宋体" w:hAnsi="宋体" w:cs="宋体"/>
                <w:szCs w:val="21"/>
              </w:rPr>
            </w:pPr>
            <w:r>
              <w:rPr>
                <w:rFonts w:hint="eastAsia" w:ascii="宋体" w:hAnsi="宋体" w:cs="宋体"/>
                <w:szCs w:val="21"/>
              </w:rPr>
              <w:t>实验室接到样品后30个工作日</w:t>
            </w:r>
          </w:p>
        </w:tc>
        <w:tc>
          <w:tcPr>
            <w:tcW w:w="1492" w:type="pct"/>
            <w:vAlign w:val="center"/>
          </w:tcPr>
          <w:p w14:paraId="273D79D3">
            <w:pPr>
              <w:rPr>
                <w:rFonts w:ascii="宋体" w:hAnsi="宋体" w:cs="宋体"/>
                <w:szCs w:val="21"/>
              </w:rPr>
            </w:pPr>
            <w:r>
              <w:rPr>
                <w:rFonts w:hint="eastAsia" w:ascii="宋体" w:hAnsi="宋体" w:cs="宋体"/>
                <w:szCs w:val="21"/>
              </w:rPr>
              <w:t>检测阶段</w:t>
            </w:r>
          </w:p>
        </w:tc>
        <w:tc>
          <w:tcPr>
            <w:tcW w:w="1815" w:type="pct"/>
            <w:vAlign w:val="center"/>
          </w:tcPr>
          <w:p w14:paraId="7C775B81">
            <w:pPr>
              <w:rPr>
                <w:rFonts w:ascii="宋体" w:hAnsi="宋体" w:cs="宋体"/>
                <w:szCs w:val="21"/>
              </w:rPr>
            </w:pPr>
            <w:r>
              <w:rPr>
                <w:rFonts w:hint="eastAsia" w:ascii="宋体" w:hAnsi="宋体" w:cs="宋体"/>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ascii="宋体" w:hAnsi="宋体" w:cs="宋体"/>
                <w:szCs w:val="21"/>
              </w:rPr>
            </w:pPr>
            <w:r>
              <w:rPr>
                <w:rFonts w:hint="eastAsia" w:ascii="宋体" w:hAnsi="宋体" w:cs="宋体"/>
                <w:szCs w:val="21"/>
              </w:rPr>
              <w:t>4</w:t>
            </w:r>
          </w:p>
        </w:tc>
        <w:tc>
          <w:tcPr>
            <w:tcW w:w="1260" w:type="pct"/>
            <w:vAlign w:val="center"/>
          </w:tcPr>
          <w:p w14:paraId="21615E24">
            <w:pPr>
              <w:rPr>
                <w:rFonts w:ascii="宋体" w:hAnsi="宋体" w:cs="宋体"/>
                <w:szCs w:val="21"/>
              </w:rPr>
            </w:pPr>
            <w:r>
              <w:rPr>
                <w:rFonts w:hint="eastAsia" w:ascii="宋体" w:hAnsi="宋体" w:cs="宋体"/>
                <w:szCs w:val="21"/>
              </w:rPr>
              <w:t>任务书下达后55个工作日</w:t>
            </w:r>
          </w:p>
        </w:tc>
        <w:tc>
          <w:tcPr>
            <w:tcW w:w="1492" w:type="pct"/>
            <w:vAlign w:val="center"/>
          </w:tcPr>
          <w:p w14:paraId="2F654FCA">
            <w:pPr>
              <w:rPr>
                <w:rFonts w:ascii="宋体" w:hAnsi="宋体" w:cs="宋体"/>
                <w:szCs w:val="21"/>
              </w:rPr>
            </w:pPr>
            <w:r>
              <w:rPr>
                <w:rFonts w:hint="eastAsia" w:ascii="宋体" w:hAnsi="宋体" w:cs="宋体"/>
                <w:szCs w:val="21"/>
              </w:rPr>
              <w:t>结果上报阶段</w:t>
            </w:r>
          </w:p>
        </w:tc>
        <w:tc>
          <w:tcPr>
            <w:tcW w:w="1815" w:type="pct"/>
            <w:vAlign w:val="center"/>
          </w:tcPr>
          <w:p w14:paraId="5CB2CD03">
            <w:pPr>
              <w:rPr>
                <w:rFonts w:ascii="宋体" w:hAnsi="宋体" w:cs="宋体"/>
                <w:szCs w:val="21"/>
              </w:rPr>
            </w:pPr>
            <w:r>
              <w:rPr>
                <w:rFonts w:hint="eastAsia" w:ascii="宋体" w:hAnsi="宋体" w:cs="宋体"/>
                <w:szCs w:val="21"/>
              </w:rPr>
              <w:t>（1）异议处理。</w:t>
            </w:r>
          </w:p>
          <w:p w14:paraId="526FDF5E">
            <w:pPr>
              <w:rPr>
                <w:rFonts w:ascii="宋体" w:hAnsi="宋体" w:cs="宋体"/>
                <w:szCs w:val="21"/>
              </w:rPr>
            </w:pPr>
            <w:r>
              <w:rPr>
                <w:rFonts w:hint="eastAsia" w:ascii="宋体" w:hAnsi="宋体" w:cs="宋体"/>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ascii="宋体" w:hAnsi="宋体" w:cs="宋体"/>
                <w:szCs w:val="21"/>
              </w:rPr>
            </w:pPr>
            <w:r>
              <w:rPr>
                <w:rFonts w:hint="eastAsia" w:ascii="宋体" w:hAnsi="宋体" w:cs="宋体"/>
                <w:szCs w:val="21"/>
              </w:rPr>
              <w:t>5</w:t>
            </w:r>
          </w:p>
        </w:tc>
        <w:tc>
          <w:tcPr>
            <w:tcW w:w="1260" w:type="pct"/>
            <w:vAlign w:val="center"/>
          </w:tcPr>
          <w:p w14:paraId="66FF9B08">
            <w:pPr>
              <w:rPr>
                <w:rFonts w:ascii="宋体" w:hAnsi="宋体" w:cs="宋体"/>
                <w:szCs w:val="21"/>
              </w:rPr>
            </w:pPr>
            <w:r>
              <w:rPr>
                <w:rFonts w:hint="eastAsia" w:ascii="宋体" w:hAnsi="宋体" w:cs="宋体"/>
                <w:szCs w:val="21"/>
              </w:rPr>
              <w:t>任务书下达后60个工作日</w:t>
            </w:r>
          </w:p>
        </w:tc>
        <w:tc>
          <w:tcPr>
            <w:tcW w:w="1492" w:type="pct"/>
            <w:vAlign w:val="center"/>
          </w:tcPr>
          <w:p w14:paraId="76EB6DE0">
            <w:pPr>
              <w:rPr>
                <w:rFonts w:ascii="宋体" w:hAnsi="宋体" w:cs="宋体"/>
                <w:szCs w:val="21"/>
              </w:rPr>
            </w:pPr>
            <w:r>
              <w:rPr>
                <w:rFonts w:hint="eastAsia" w:ascii="宋体" w:hAnsi="宋体" w:cs="宋体"/>
                <w:szCs w:val="21"/>
              </w:rPr>
              <w:t>分析和汇总阶段</w:t>
            </w:r>
          </w:p>
        </w:tc>
        <w:tc>
          <w:tcPr>
            <w:tcW w:w="1815" w:type="pct"/>
            <w:vAlign w:val="center"/>
          </w:tcPr>
          <w:p w14:paraId="40E320C3">
            <w:pPr>
              <w:rPr>
                <w:rFonts w:ascii="宋体" w:hAnsi="宋体" w:cs="宋体"/>
                <w:szCs w:val="21"/>
              </w:rPr>
            </w:pPr>
            <w:r>
              <w:rPr>
                <w:rFonts w:hint="eastAsia" w:ascii="宋体" w:hAnsi="宋体" w:cs="宋体"/>
                <w:szCs w:val="21"/>
              </w:rPr>
              <w:t>（1）材料汇总；</w:t>
            </w:r>
          </w:p>
          <w:p w14:paraId="646CB261">
            <w:pPr>
              <w:rPr>
                <w:rFonts w:ascii="宋体" w:hAnsi="宋体" w:cs="宋体"/>
                <w:szCs w:val="21"/>
              </w:rPr>
            </w:pPr>
            <w:r>
              <w:rPr>
                <w:rFonts w:hint="eastAsia" w:ascii="宋体" w:hAnsi="宋体" w:cs="宋体"/>
                <w:szCs w:val="21"/>
              </w:rPr>
              <w:t>（2）形成质量分析报告。</w:t>
            </w:r>
          </w:p>
        </w:tc>
      </w:tr>
    </w:tbl>
    <w:p w14:paraId="6BCFA5ED">
      <w:pPr>
        <w:rPr>
          <w:rFonts w:ascii="宋体" w:hAnsi="宋体" w:cs="宋体"/>
          <w:szCs w:val="21"/>
        </w:rPr>
      </w:pPr>
    </w:p>
    <w:p w14:paraId="324DDDB2"/>
    <w:p w14:paraId="2BFCD3DE">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华测检测认证集团股份有限公司</w:t>
      </w:r>
    </w:p>
    <w:p w14:paraId="4E60D218">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2025年6月8日</w:t>
      </w:r>
    </w:p>
    <w:p w14:paraId="13758DB7">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D70ED3A6-BCFA-4B38-AA5C-3BE083E5368C}"/>
  </w:font>
  <w:font w:name="仿宋">
    <w:panose1 w:val="02010609060101010101"/>
    <w:charset w:val="86"/>
    <w:family w:val="modern"/>
    <w:pitch w:val="default"/>
    <w:sig w:usb0="800002BF" w:usb1="38CF7CFA" w:usb2="00000016" w:usb3="00000000" w:csb0="00040001" w:csb1="00000000"/>
    <w:embedRegular r:id="rId2" w:fontKey="{AF6C5EE7-4D8F-4D9E-8114-4EE19D04C33A}"/>
  </w:font>
  <w:font w:name="宋体-方正超大字符集">
    <w:altName w:val="宋体"/>
    <w:panose1 w:val="00000000000000000000"/>
    <w:charset w:val="86"/>
    <w:family w:val="script"/>
    <w:pitch w:val="default"/>
    <w:sig w:usb0="00000000" w:usb1="00000000" w:usb2="00000010" w:usb3="00000000" w:csb0="00040000" w:csb1="00000000"/>
    <w:embedRegular r:id="rId3" w:fontKey="{898ADB83-526E-41F1-9B3E-DDBE26C4DDCE}"/>
  </w:font>
  <w:font w:name="方正小标宋_GBK">
    <w:altName w:val="微软雅黑"/>
    <w:panose1 w:val="00000000000000000000"/>
    <w:charset w:val="86"/>
    <w:family w:val="auto"/>
    <w:pitch w:val="default"/>
    <w:sig w:usb0="00000000" w:usb1="00000000" w:usb2="00082016" w:usb3="00000000" w:csb0="00040001" w:csb1="00000000"/>
    <w:embedRegular r:id="rId4" w:fontKey="{B6C0B8F0-D974-4A9A-A550-BCF441A4B8FE}"/>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zljNTFjZWEzNmI0OTgxMzY4NzJjMTM2YWVlYzkifQ=="/>
  </w:docVars>
  <w:rsids>
    <w:rsidRoot w:val="000031A1"/>
    <w:rsid w:val="000031A1"/>
    <w:rsid w:val="00004149"/>
    <w:rsid w:val="00013120"/>
    <w:rsid w:val="000C06E6"/>
    <w:rsid w:val="00110586"/>
    <w:rsid w:val="00110791"/>
    <w:rsid w:val="0015536F"/>
    <w:rsid w:val="001603D6"/>
    <w:rsid w:val="0016175B"/>
    <w:rsid w:val="001C0CC0"/>
    <w:rsid w:val="002061F7"/>
    <w:rsid w:val="00210962"/>
    <w:rsid w:val="00216CBF"/>
    <w:rsid w:val="00246CF8"/>
    <w:rsid w:val="00273AE2"/>
    <w:rsid w:val="002929EE"/>
    <w:rsid w:val="002C4C36"/>
    <w:rsid w:val="002C7354"/>
    <w:rsid w:val="003011D2"/>
    <w:rsid w:val="00304174"/>
    <w:rsid w:val="00334057"/>
    <w:rsid w:val="00354926"/>
    <w:rsid w:val="00436DED"/>
    <w:rsid w:val="00437149"/>
    <w:rsid w:val="00445D57"/>
    <w:rsid w:val="004824D8"/>
    <w:rsid w:val="004D2CDA"/>
    <w:rsid w:val="004E1B0B"/>
    <w:rsid w:val="004E34C0"/>
    <w:rsid w:val="0051661A"/>
    <w:rsid w:val="00534D6E"/>
    <w:rsid w:val="005351E6"/>
    <w:rsid w:val="00547A53"/>
    <w:rsid w:val="00562EB7"/>
    <w:rsid w:val="006A4F9B"/>
    <w:rsid w:val="006F4824"/>
    <w:rsid w:val="00712D9A"/>
    <w:rsid w:val="00720B0E"/>
    <w:rsid w:val="00721CCE"/>
    <w:rsid w:val="00725F0A"/>
    <w:rsid w:val="00766B6E"/>
    <w:rsid w:val="00766CB7"/>
    <w:rsid w:val="007708BF"/>
    <w:rsid w:val="0078035A"/>
    <w:rsid w:val="00786C9F"/>
    <w:rsid w:val="0079781E"/>
    <w:rsid w:val="007C39AD"/>
    <w:rsid w:val="007E48F8"/>
    <w:rsid w:val="00801699"/>
    <w:rsid w:val="00815EDF"/>
    <w:rsid w:val="00832716"/>
    <w:rsid w:val="00864939"/>
    <w:rsid w:val="00872ED1"/>
    <w:rsid w:val="00874321"/>
    <w:rsid w:val="008743B2"/>
    <w:rsid w:val="008A357C"/>
    <w:rsid w:val="009205E8"/>
    <w:rsid w:val="00962AEF"/>
    <w:rsid w:val="00965A04"/>
    <w:rsid w:val="009A4F62"/>
    <w:rsid w:val="009A678E"/>
    <w:rsid w:val="009B2FD7"/>
    <w:rsid w:val="009E3A8F"/>
    <w:rsid w:val="00A2635B"/>
    <w:rsid w:val="00A33956"/>
    <w:rsid w:val="00A65BB5"/>
    <w:rsid w:val="00A74B37"/>
    <w:rsid w:val="00AE407C"/>
    <w:rsid w:val="00B43097"/>
    <w:rsid w:val="00B77B61"/>
    <w:rsid w:val="00C1172F"/>
    <w:rsid w:val="00C1753B"/>
    <w:rsid w:val="00C27619"/>
    <w:rsid w:val="00C4672D"/>
    <w:rsid w:val="00C86171"/>
    <w:rsid w:val="00CE4E48"/>
    <w:rsid w:val="00CE72AE"/>
    <w:rsid w:val="00D555B7"/>
    <w:rsid w:val="00D7032F"/>
    <w:rsid w:val="00D84ADD"/>
    <w:rsid w:val="00D95874"/>
    <w:rsid w:val="00E01AE0"/>
    <w:rsid w:val="00E333ED"/>
    <w:rsid w:val="00E61F06"/>
    <w:rsid w:val="00E642FC"/>
    <w:rsid w:val="00E66962"/>
    <w:rsid w:val="00E93EEA"/>
    <w:rsid w:val="00EA320A"/>
    <w:rsid w:val="00EB534F"/>
    <w:rsid w:val="00F15CC9"/>
    <w:rsid w:val="00F33E76"/>
    <w:rsid w:val="00F75136"/>
    <w:rsid w:val="00FA55BC"/>
    <w:rsid w:val="00FB04C4"/>
    <w:rsid w:val="00FB3041"/>
    <w:rsid w:val="048D164A"/>
    <w:rsid w:val="070D7412"/>
    <w:rsid w:val="072E208E"/>
    <w:rsid w:val="0732381D"/>
    <w:rsid w:val="08F204AC"/>
    <w:rsid w:val="092B1819"/>
    <w:rsid w:val="0B00275A"/>
    <w:rsid w:val="0B87417F"/>
    <w:rsid w:val="0CC714A7"/>
    <w:rsid w:val="0D141031"/>
    <w:rsid w:val="0D170316"/>
    <w:rsid w:val="0EB93339"/>
    <w:rsid w:val="0FD77F2D"/>
    <w:rsid w:val="117C77AF"/>
    <w:rsid w:val="12EF3A78"/>
    <w:rsid w:val="152E03E8"/>
    <w:rsid w:val="152F6116"/>
    <w:rsid w:val="16ED53B9"/>
    <w:rsid w:val="175E3CFD"/>
    <w:rsid w:val="180C6BE2"/>
    <w:rsid w:val="1A951111"/>
    <w:rsid w:val="1AB1581F"/>
    <w:rsid w:val="1B7A5039"/>
    <w:rsid w:val="1B836D49"/>
    <w:rsid w:val="1D282061"/>
    <w:rsid w:val="1DC51D0D"/>
    <w:rsid w:val="1FEF6675"/>
    <w:rsid w:val="20414D4B"/>
    <w:rsid w:val="20973EA1"/>
    <w:rsid w:val="221A4197"/>
    <w:rsid w:val="22740E60"/>
    <w:rsid w:val="23502079"/>
    <w:rsid w:val="248919F2"/>
    <w:rsid w:val="265E1596"/>
    <w:rsid w:val="2810627B"/>
    <w:rsid w:val="28892427"/>
    <w:rsid w:val="2B1851DD"/>
    <w:rsid w:val="2C163734"/>
    <w:rsid w:val="2D265975"/>
    <w:rsid w:val="2F782E84"/>
    <w:rsid w:val="30E84203"/>
    <w:rsid w:val="354841B8"/>
    <w:rsid w:val="36EB04FF"/>
    <w:rsid w:val="370276D6"/>
    <w:rsid w:val="37B7401D"/>
    <w:rsid w:val="386B3079"/>
    <w:rsid w:val="395C3C16"/>
    <w:rsid w:val="404C3684"/>
    <w:rsid w:val="40645556"/>
    <w:rsid w:val="42D5315D"/>
    <w:rsid w:val="4320017F"/>
    <w:rsid w:val="46C75F3C"/>
    <w:rsid w:val="4D292E6F"/>
    <w:rsid w:val="4EB5358E"/>
    <w:rsid w:val="524953E7"/>
    <w:rsid w:val="539D6D46"/>
    <w:rsid w:val="56D46BF8"/>
    <w:rsid w:val="57F840A4"/>
    <w:rsid w:val="58A91308"/>
    <w:rsid w:val="596A7FEE"/>
    <w:rsid w:val="5BA67D81"/>
    <w:rsid w:val="5BD112A2"/>
    <w:rsid w:val="5CD526CC"/>
    <w:rsid w:val="5E9F0DA8"/>
    <w:rsid w:val="5EC073AC"/>
    <w:rsid w:val="5F615B5E"/>
    <w:rsid w:val="61A30FEA"/>
    <w:rsid w:val="623A1223"/>
    <w:rsid w:val="625378CF"/>
    <w:rsid w:val="62C728EC"/>
    <w:rsid w:val="63D26282"/>
    <w:rsid w:val="65643B4C"/>
    <w:rsid w:val="678114C7"/>
    <w:rsid w:val="68391117"/>
    <w:rsid w:val="68582403"/>
    <w:rsid w:val="6A42336B"/>
    <w:rsid w:val="6AA81C9B"/>
    <w:rsid w:val="6B563571"/>
    <w:rsid w:val="6C6D0151"/>
    <w:rsid w:val="6D7955B3"/>
    <w:rsid w:val="6E7D140D"/>
    <w:rsid w:val="6F343F18"/>
    <w:rsid w:val="6FCF38F2"/>
    <w:rsid w:val="701F484D"/>
    <w:rsid w:val="705A62D8"/>
    <w:rsid w:val="71431EA2"/>
    <w:rsid w:val="725E5BA2"/>
    <w:rsid w:val="72C810AD"/>
    <w:rsid w:val="72D45068"/>
    <w:rsid w:val="784C1F84"/>
    <w:rsid w:val="7A361E33"/>
    <w:rsid w:val="7A867D67"/>
    <w:rsid w:val="7AAD0B5B"/>
    <w:rsid w:val="7CFC042D"/>
    <w:rsid w:val="7D450D50"/>
    <w:rsid w:val="7EED7C04"/>
    <w:rsid w:val="7F49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qFormat/>
    <w:uiPriority w:val="0"/>
    <w:pPr>
      <w:keepNext/>
      <w:keepLines/>
      <w:spacing w:line="360" w:lineRule="auto"/>
      <w:outlineLvl w:val="3"/>
    </w:pPr>
    <w:rPr>
      <w:rFonts w:ascii="Arial" w:hAnsi="Arial"/>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6">
    <w:name w:val="Body Text Indent"/>
    <w:basedOn w:val="1"/>
    <w:link w:val="19"/>
    <w:semiHidden/>
    <w:unhideWhenUsed/>
    <w:qFormat/>
    <w:uiPriority w:val="99"/>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link w:val="20"/>
    <w:unhideWhenUsed/>
    <w:qFormat/>
    <w:uiPriority w:val="99"/>
    <w:pPr>
      <w:autoSpaceDE w:val="0"/>
      <w:autoSpaceDN w:val="0"/>
      <w:ind w:firstLine="420" w:firstLineChars="200"/>
      <w:jc w:val="left"/>
    </w:pPr>
    <w:rPr>
      <w:rFonts w:ascii="宋体" w:hAnsi="宋体" w:cs="宋体"/>
      <w:kern w:val="0"/>
      <w:sz w:val="24"/>
      <w:szCs w:val="22"/>
      <w:lang w:val="zh-CN" w:bidi="zh-CN"/>
    </w:rPr>
  </w:style>
  <w:style w:type="character" w:styleId="13">
    <w:name w:val="Strong"/>
    <w:basedOn w:val="12"/>
    <w:qFormat/>
    <w:uiPriority w:val="22"/>
    <w:rPr>
      <w:b/>
      <w:bCs/>
    </w:rPr>
  </w:style>
  <w:style w:type="character" w:customStyle="1" w:styleId="14">
    <w:name w:val="标题 4 字符"/>
    <w:basedOn w:val="12"/>
    <w:link w:val="5"/>
    <w:qFormat/>
    <w:uiPriority w:val="0"/>
    <w:rPr>
      <w:rFonts w:ascii="Arial" w:hAnsi="Arial" w:eastAsia="宋体" w:cs="Times New Roman"/>
      <w:b/>
      <w:sz w:val="28"/>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18">
    <w:name w:val="标题 3 字符"/>
    <w:basedOn w:val="12"/>
    <w:link w:val="4"/>
    <w:semiHidden/>
    <w:qFormat/>
    <w:uiPriority w:val="9"/>
    <w:rPr>
      <w:rFonts w:ascii="Times New Roman" w:hAnsi="Times New Roman" w:eastAsia="宋体" w:cs="Times New Roman"/>
      <w:b/>
      <w:bCs/>
      <w:sz w:val="32"/>
      <w:szCs w:val="32"/>
    </w:rPr>
  </w:style>
  <w:style w:type="character" w:customStyle="1" w:styleId="19">
    <w:name w:val="正文文本缩进 字符"/>
    <w:basedOn w:val="12"/>
    <w:link w:val="6"/>
    <w:semiHidden/>
    <w:qFormat/>
    <w:uiPriority w:val="99"/>
    <w:rPr>
      <w:rFonts w:ascii="Times New Roman" w:hAnsi="Times New Roman" w:eastAsia="宋体" w:cs="Times New Roman"/>
      <w:szCs w:val="24"/>
    </w:rPr>
  </w:style>
  <w:style w:type="character" w:customStyle="1" w:styleId="20">
    <w:name w:val="正文文本首行缩进 2 字符"/>
    <w:basedOn w:val="19"/>
    <w:link w:val="10"/>
    <w:qFormat/>
    <w:uiPriority w:val="99"/>
    <w:rPr>
      <w:rFonts w:ascii="宋体" w:hAnsi="宋体" w:eastAsia="宋体" w:cs="宋体"/>
      <w:kern w:val="0"/>
      <w:sz w:val="24"/>
      <w:szCs w:val="24"/>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4"/>
      <w:szCs w:val="22"/>
      <w:lang w:val="zh-CN" w:bidi="zh-CN"/>
    </w:rPr>
  </w:style>
  <w:style w:type="character" w:styleId="22">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3708</Words>
  <Characters>4160</Characters>
  <Lines>61</Lines>
  <Paragraphs>17</Paragraphs>
  <TotalTime>1</TotalTime>
  <ScaleCrop>false</ScaleCrop>
  <LinksUpToDate>false</LinksUpToDate>
  <CharactersWithSpaces>4274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2023-07-07T02:03:00Z</dcterms:created>
  <dc:creator>candyshen</dc:creator>
  <cp:lastModifiedBy>小魔仙</cp:lastModifiedBy>
  <dcterms:modified xsi:type="dcterms:W3CDTF">2025-06-16T07:40:01Z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5C6942FF8E0742E297AA25AA206784CD_13</vt:lpwstr>
  </property>
  <property fmtid="{D5CDD505-2E9C-101B-9397-08002B2CF9AE}" pid="4" name="KSOTemplateDocerSaveRecord">
    <vt:lpwstr>eyJoZGlkIjoiMmVjMmM0MGQ5MTYwYTdmMzlhNTI4MTY2NWNhNzg3MTIiLCJ1c2VySWQiOiIyNTU3MjczMDYifQ==</vt:lpwstr>
  </property>
</Properties>
</file>