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ascii="仿宋_GB2312" w:hAnsi="仿宋" w:eastAsia="仿宋_GB2312" w:cs="宋体-方正超大字符集"/>
          <w:b/>
          <w:bCs/>
          <w:sz w:val="28"/>
          <w:szCs w:val="28"/>
        </w:rPr>
      </w:pPr>
      <w:bookmarkStart w:id="7" w:name="_GoBack"/>
      <w:r>
        <w:rPr>
          <w:rFonts w:hint="eastAsia" w:ascii="宋体" w:hAnsi="宋体" w:cs="方正小标宋_GBK"/>
          <w:b/>
          <w:spacing w:val="-6"/>
          <w:sz w:val="36"/>
          <w:szCs w:val="36"/>
        </w:rPr>
        <w:t>202</w:t>
      </w:r>
      <w:r>
        <w:rPr>
          <w:rFonts w:hint="eastAsia" w:ascii="宋体" w:hAnsi="宋体" w:cs="方正小标宋_GBK"/>
          <w:b/>
          <w:spacing w:val="-6"/>
          <w:sz w:val="36"/>
          <w:szCs w:val="36"/>
          <w:lang w:val="en-US" w:eastAsia="zh-CN"/>
        </w:rPr>
        <w:t>5</w:t>
      </w:r>
      <w:r>
        <w:rPr>
          <w:rFonts w:hint="eastAsia" w:ascii="宋体" w:hAnsi="宋体" w:cs="方正小标宋_GBK"/>
          <w:b/>
          <w:spacing w:val="-6"/>
          <w:sz w:val="36"/>
          <w:szCs w:val="36"/>
        </w:rPr>
        <w:t>年</w:t>
      </w:r>
      <w:r>
        <w:rPr>
          <w:rFonts w:hint="eastAsia" w:ascii="宋体" w:hAnsi="宋体" w:cs="方正小标宋_GBK"/>
          <w:b/>
          <w:spacing w:val="-6"/>
          <w:sz w:val="36"/>
          <w:szCs w:val="36"/>
          <w:lang w:val="en-US" w:eastAsia="zh-CN"/>
        </w:rPr>
        <w:t>大同市塑料餐具</w:t>
      </w:r>
      <w:r>
        <w:rPr>
          <w:rFonts w:hint="eastAsia" w:ascii="宋体" w:hAnsi="宋体" w:cs="方正小标宋_GBK"/>
          <w:b/>
          <w:spacing w:val="-6"/>
          <w:sz w:val="36"/>
          <w:szCs w:val="36"/>
        </w:rPr>
        <w:t>类产品风险监测项目实施方案</w:t>
      </w:r>
    </w:p>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tabs>
          <w:tab w:val="left" w:pos="420"/>
        </w:tabs>
        <w:spacing w:line="360" w:lineRule="auto"/>
        <w:ind w:firstLine="420" w:firstLineChars="200"/>
        <w:rPr>
          <w:rFonts w:ascii="宋体" w:hAnsi="宋体" w:cs="宋体"/>
          <w:szCs w:val="21"/>
        </w:rPr>
      </w:pPr>
      <w:r>
        <w:rPr>
          <w:rFonts w:hint="default" w:ascii="宋体" w:hAnsi="宋体" w:cs="宋体"/>
        </w:rPr>
        <w:t>关于</w:t>
      </w:r>
      <w:r>
        <w:rPr>
          <w:rFonts w:hint="eastAsia" w:ascii="宋体" w:hAnsi="宋体" w:cs="宋体"/>
          <w:lang w:eastAsia="zh-CN"/>
        </w:rPr>
        <w:t>塑料餐具</w:t>
      </w:r>
      <w:r>
        <w:rPr>
          <w:rFonts w:hint="default" w:ascii="宋体" w:hAnsi="宋体" w:cs="宋体"/>
        </w:rPr>
        <w:t>的舆情主要集中在产品质量安全问题上</w:t>
      </w:r>
      <w:r>
        <w:rPr>
          <w:rFonts w:hint="eastAsia" w:ascii="宋体" w:hAnsi="宋体" w:cs="宋体"/>
        </w:rPr>
        <w:t>。近</w:t>
      </w:r>
      <w:r>
        <w:rPr>
          <w:rFonts w:hint="eastAsia" w:ascii="宋体" w:hAnsi="宋体" w:cs="宋体"/>
          <w:szCs w:val="21"/>
        </w:rPr>
        <w:t>三年网络舆情呈现：</w:t>
      </w:r>
    </w:p>
    <w:p w14:paraId="4C560607">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舆情1: </w:t>
      </w:r>
      <w:r>
        <w:rPr>
          <w:rFonts w:hint="default" w:ascii="宋体" w:hAnsi="宋体" w:eastAsia="宋体" w:cs="宋体"/>
          <w:kern w:val="2"/>
          <w:sz w:val="21"/>
          <w:szCs w:val="24"/>
          <w:lang w:val="en-US" w:eastAsia="zh-CN" w:bidi="ar-SA"/>
        </w:rPr>
        <w:t>《消费者报道》从市面上选购了</w:t>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"https://zhida.zhihu.com/search?content_id=150546411&amp;content_type=Article&amp;match_order=1&amp;q=%E4%B9%90%E6%89%A3%E4%B9%90%E6%89%A3&amp;zhida_source=entity" \t "https://zhuanlan.zhihu.com/p/_blank"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乐扣乐扣</w:t>
      </w:r>
      <w:r>
        <w:rPr>
          <w:rFonts w:hint="eastAsia" w:ascii="宋体" w:hAnsi="宋体" w:eastAsia="宋体" w:cs="宋体"/>
          <w:kern w:val="2"/>
          <w:sz w:val="21"/>
          <w:szCs w:val="24"/>
          <w:lang w:val="en-US" w:eastAsia="zh-CN" w:bidi="ar-SA"/>
        </w:rPr>
        <w:fldChar w:fldCharType="end"/>
      </w:r>
      <w:r>
        <w:rPr>
          <w:rFonts w:hint="eastAsia" w:ascii="宋体" w:hAnsi="宋体" w:eastAsia="宋体" w:cs="宋体"/>
          <w:kern w:val="2"/>
          <w:sz w:val="21"/>
          <w:szCs w:val="24"/>
          <w:lang w:val="en-US" w:eastAsia="zh-CN" w:bidi="ar-SA"/>
        </w:rPr>
        <w:t>、苏泊尔、南极人、</w:t>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"https://zhida.zhihu.com/search?content_id=150546411&amp;content_type=Article&amp;match_order=1&amp;q=%E8%86%B3%E9%AD%94%E5%B8%88&amp;zhida_source=entity" \t "https://zhuanlan.zhihu.com/p/_blank"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膳魔师</w:t>
      </w:r>
      <w:r>
        <w:rPr>
          <w:rFonts w:hint="eastAsia" w:ascii="宋体" w:hAnsi="宋体" w:eastAsia="宋体" w:cs="宋体"/>
          <w:kern w:val="2"/>
          <w:sz w:val="21"/>
          <w:szCs w:val="24"/>
          <w:lang w:val="en-US" w:eastAsia="zh-CN" w:bidi="ar-SA"/>
        </w:rPr>
        <w:fldChar w:fldCharType="end"/>
      </w:r>
      <w:r>
        <w:rPr>
          <w:rFonts w:hint="eastAsia" w:ascii="宋体" w:hAnsi="宋体" w:eastAsia="宋体" w:cs="宋体"/>
          <w:kern w:val="2"/>
          <w:sz w:val="21"/>
          <w:szCs w:val="24"/>
          <w:lang w:val="en-US" w:eastAsia="zh-CN" w:bidi="ar-SA"/>
        </w:rPr>
        <w:t>、</w:t>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"https://zhida.zhihu.com/search?content_id=150546411&amp;content_type=Article&amp;match_order=1&amp;q=%E6%B3%B0%E7%A6%8F%E9%AB%98&amp;zhida_source=entity" \t "https://zhuanlan.zhihu.com/p/_blank"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泰福高</w:t>
      </w:r>
      <w:r>
        <w:rPr>
          <w:rFonts w:hint="eastAsia" w:ascii="宋体" w:hAnsi="宋体" w:eastAsia="宋体" w:cs="宋体"/>
          <w:kern w:val="2"/>
          <w:sz w:val="21"/>
          <w:szCs w:val="24"/>
          <w:lang w:val="en-US" w:eastAsia="zh-CN" w:bidi="ar-SA"/>
        </w:rPr>
        <w:fldChar w:fldCharType="end"/>
      </w:r>
      <w:r>
        <w:rPr>
          <w:rFonts w:hint="eastAsia" w:ascii="宋体" w:hAnsi="宋体" w:eastAsia="宋体" w:cs="宋体"/>
          <w:kern w:val="2"/>
          <w:sz w:val="21"/>
          <w:szCs w:val="24"/>
          <w:lang w:val="en-US" w:eastAsia="zh-CN" w:bidi="ar-SA"/>
        </w:rPr>
        <w:t>、</w:t>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"https://zhida.zhihu.com/search?content_id=150546411&amp;content_type=Article&amp;match_order=1&amp;q=%E7%BD%91%E6%98%93%E4%B8%A5%E9%80%89&amp;zhida_source=entity" \t "https://zhuanlan.zhihu.com/p/_blank"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网易严选</w:t>
      </w:r>
      <w:r>
        <w:rPr>
          <w:rFonts w:hint="eastAsia" w:ascii="宋体" w:hAnsi="宋体" w:eastAsia="宋体" w:cs="宋体"/>
          <w:kern w:val="2"/>
          <w:sz w:val="21"/>
          <w:szCs w:val="24"/>
          <w:lang w:val="en-US" w:eastAsia="zh-CN" w:bidi="ar-SA"/>
        </w:rPr>
        <w:fldChar w:fldCharType="end"/>
      </w:r>
      <w:r>
        <w:rPr>
          <w:rFonts w:hint="eastAsia" w:ascii="宋体" w:hAnsi="宋体" w:eastAsia="宋体" w:cs="宋体"/>
          <w:kern w:val="2"/>
          <w:sz w:val="21"/>
          <w:szCs w:val="24"/>
          <w:lang w:val="en-US" w:eastAsia="zh-CN" w:bidi="ar-SA"/>
        </w:rPr>
        <w:t>、淘宝心选、宜家、名创优品、华润万家、NOME等11款号称可在微波炉中加热的饭盒，送到第三方权威检测机构进行检测。该次评测针对塑料餐具的，塑化剂、总迁移量和VOC分别进行了测试。</w:t>
      </w:r>
      <w:r>
        <w:rPr>
          <w:rFonts w:hint="default" w:ascii="宋体" w:hAnsi="宋体" w:eastAsia="宋体" w:cs="宋体"/>
          <w:kern w:val="2"/>
          <w:sz w:val="21"/>
          <w:szCs w:val="24"/>
          <w:lang w:val="en-US" w:eastAsia="zh-CN" w:bidi="ar-SA"/>
        </w:rPr>
        <w:t>结果显示，淘宝心选、宜家、NOME等3款饭盒的盒盖检出总迁移量，尤其是宜家、NOME的盒盖总迁移量接近限值的一半。</w:t>
      </w:r>
      <w:r>
        <w:rPr>
          <w:rFonts w:hint="eastAsia" w:ascii="宋体" w:hAnsi="宋体" w:eastAsia="宋体" w:cs="宋体"/>
          <w:kern w:val="2"/>
          <w:sz w:val="21"/>
          <w:szCs w:val="24"/>
          <w:lang w:val="en-US" w:eastAsia="zh-CN" w:bidi="ar-SA"/>
        </w:rPr>
        <w:t>这3款饭盒的总迁移量都在安全范围内，未超过国标。挥发性化合物：7款密封胶圈有风险，不要将盒盖放入微波炉。</w:t>
      </w:r>
    </w:p>
    <w:p w14:paraId="0C1E4A1F">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1"/>
          <w:lang w:val="en-US" w:eastAsia="zh-CN" w:bidi="ar-SA"/>
        </w:rPr>
        <w:t>舆情2： 2023年发生在江苏南京的一起事件引起了全国关注。一个一岁半的男婴在使用某种儿童塑料碗半年后，突然出现发热、脸色苍白等症状，最终被确诊为急性白血病。医生在排查病因时，发现孩子使用的那套餐具在高温下释放出大量甲醛和苯类物质，而这些物质本应严格禁止出现在儿童用品中。</w:t>
      </w:r>
      <w:r>
        <w:rPr>
          <w:rFonts w:hint="default" w:ascii="宋体" w:hAnsi="宋体" w:eastAsia="宋体" w:cs="宋体"/>
          <w:kern w:val="2"/>
          <w:sz w:val="21"/>
          <w:szCs w:val="21"/>
          <w:lang w:val="en-US" w:eastAsia="zh-CN" w:bidi="ar-SA"/>
        </w:rPr>
        <w:t>更令人揪心的是，做出这套餐具的厂家并非正规企业，而是一家无证小作坊，原材料来源不明，连最基本的检测报告都拿不</w:t>
      </w:r>
      <w:r>
        <w:rPr>
          <w:rFonts w:hint="default" w:ascii="宋体" w:hAnsi="宋体" w:eastAsia="宋体" w:cs="宋体"/>
          <w:kern w:val="2"/>
          <w:sz w:val="21"/>
          <w:szCs w:val="24"/>
          <w:lang w:val="en-US" w:eastAsia="zh-CN" w:bidi="ar-SA"/>
        </w:rPr>
        <w:t>出来。</w:t>
      </w:r>
    </w:p>
    <w:p w14:paraId="69C6214D">
      <w:pPr>
        <w:spacing w:line="360" w:lineRule="auto"/>
        <w:ind w:firstLine="420" w:firstLineChars="200"/>
        <w:rPr>
          <w:rFonts w:hint="eastAsia" w:ascii="宋体" w:hAnsi="宋体" w:cs="宋体"/>
        </w:rPr>
      </w:pP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59716C14">
      <w:pPr>
        <w:tabs>
          <w:tab w:val="left" w:pos="420"/>
        </w:tabs>
        <w:spacing w:line="360" w:lineRule="auto"/>
        <w:ind w:firstLine="420" w:firstLineChars="200"/>
        <w:rPr>
          <w:rFonts w:hint="default" w:ascii="宋体" w:hAnsi="宋体" w:cs="宋体"/>
          <w:szCs w:val="21"/>
          <w:lang w:val="en-US" w:eastAsia="zh-CN"/>
        </w:rPr>
      </w:pPr>
      <w:r>
        <w:rPr>
          <w:rFonts w:hint="eastAsia" w:ascii="宋体" w:hAnsi="宋体" w:cs="宋体"/>
          <w:szCs w:val="21"/>
        </w:rPr>
        <w:t>202</w:t>
      </w:r>
      <w:r>
        <w:rPr>
          <w:rFonts w:hint="eastAsia" w:ascii="宋体" w:hAnsi="宋体" w:cs="宋体"/>
          <w:szCs w:val="21"/>
          <w:lang w:val="en-US" w:eastAsia="zh-CN"/>
        </w:rPr>
        <w:t>5年5月</w:t>
      </w:r>
      <w:r>
        <w:rPr>
          <w:rFonts w:hint="eastAsia" w:ascii="宋体" w:hAnsi="宋体" w:cs="宋体"/>
          <w:szCs w:val="21"/>
        </w:rPr>
        <w:t>攸县康怡纸塑包装厂按照《消费品召回管理暂行规定》的要求，主动向湖南省市场监督管理局报告了召回计划，将自即日起，召回2024年1月1日至2024年12月28日生产的部分康洁诺鸿运杯塑料水杯（生产日期分别为2024年1月1日、2024年1月5日、2024年1月14日、2024年1月21日、2024年1月28日、2024年10月20日、2024年12月28日），规格为210mL/只、120只/包，涉及数量为12940包。本次召回范围内的康洁诺鸿运杯塑料水杯，由于负重性能较差，盛装热水时，可能会造成烫伤，存在安全隐患</w:t>
      </w:r>
    </w:p>
    <w:p w14:paraId="2BE5683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kern w:val="2"/>
          <w:sz w:val="21"/>
          <w:szCs w:val="21"/>
          <w:lang w:val="en-US" w:eastAsia="zh-CN" w:bidi="ar-SA"/>
        </w:rPr>
        <w:t>2024年12月年安徽玖隆密胺制品有限公司按照《消费品召回管理暂行规定》的要求，向安徽省市场监督管理局、六安市市场监督管理局报告了召回计划，将自即日起，召回2024年7月28日生产的密胺餐具小碗（规格型号：GF-MTW-X/件，产品货号NO.B-5），涉及数量为394件。本次召回范围内的密胺餐具小碗，因生产工艺把关不严，导致其产生微小的损伤或磨损，易沾染污垢，长期接触使用可能危害消费者身体健康，存在安全隐患。</w:t>
      </w:r>
      <w:r>
        <w:rPr>
          <w:rFonts w:hint="eastAsia" w:ascii="宋体" w:hAnsi="宋体" w:eastAsia="宋体" w:cs="宋体"/>
          <w:i w:val="0"/>
          <w:iCs w:val="0"/>
          <w:caps w:val="0"/>
          <w:color w:val="000000"/>
          <w:spacing w:val="0"/>
          <w:sz w:val="21"/>
          <w:szCs w:val="21"/>
        </w:rPr>
        <w:t>安徽玖隆密胺制品有限公司将无条件接受该批次产品的退货，以消除安全隐患。</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塑料餐具</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7D4A8C8E">
      <w:pPr>
        <w:tabs>
          <w:tab w:val="left" w:pos="420"/>
        </w:tabs>
        <w:spacing w:line="360" w:lineRule="auto"/>
        <w:rPr>
          <w:rFonts w:hint="default" w:ascii="宋体" w:hAnsi="宋体" w:eastAsia="方正仿宋简体" w:cs="宋体"/>
          <w:szCs w:val="21"/>
          <w:lang w:val="en-US" w:eastAsia="zh-CN"/>
        </w:rPr>
      </w:pPr>
      <w:r>
        <w:rPr>
          <w:rFonts w:hint="eastAsia" w:ascii="宋体" w:hAnsi="宋体" w:cs="宋体"/>
          <w:szCs w:val="21"/>
        </w:rPr>
        <w:t>国内：</w:t>
      </w:r>
      <w:r>
        <w:rPr>
          <w:rFonts w:hint="eastAsia" w:ascii="宋体" w:hAnsi="宋体" w:cs="宋体"/>
          <w:szCs w:val="21"/>
          <w:lang w:eastAsia="zh-CN"/>
        </w:rPr>
        <w:t>塑料餐具应符合GB 4806.7-20</w:t>
      </w:r>
      <w:r>
        <w:rPr>
          <w:rFonts w:hint="eastAsia" w:ascii="宋体" w:hAnsi="宋体" w:cs="宋体"/>
          <w:szCs w:val="21"/>
          <w:lang w:val="en-US" w:eastAsia="zh-CN"/>
        </w:rPr>
        <w:t>23</w:t>
      </w:r>
      <w:r>
        <w:rPr>
          <w:rFonts w:hint="eastAsia" w:ascii="宋体" w:hAnsi="宋体" w:cs="宋体"/>
          <w:szCs w:val="21"/>
          <w:lang w:eastAsia="zh-CN"/>
        </w:rPr>
        <w:t>《食品安全国家标准 食品接触用塑料材料及制品》、及GB 9685《食品安全国家标准 食品接触材料及制品用添加剂使用标准》</w:t>
      </w:r>
      <w:r>
        <w:rPr>
          <w:rFonts w:hint="eastAsia" w:ascii="宋体" w:hAnsi="宋体" w:cs="宋体"/>
          <w:szCs w:val="21"/>
          <w:lang w:val="en-US" w:eastAsia="zh-CN"/>
        </w:rPr>
        <w:t>等国家关于食品接触材料的强制性要求。</w:t>
      </w:r>
    </w:p>
    <w:p w14:paraId="0C49A4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外：欧盟食品接触材料的框架要求1935/2004/EC《欧洲议会和理事会关于拟与食品接触的材料和制品和废除指令80/590/EEC和89/109/EEC的法规》。Regulation（EU）10/2011对于塑料材质FCM的要求包括全面迁移和特定迁移，欧盟确实有统一的法律框架，即第 1935/2004 号法规（EC），其中规定了食品接触材料的良好生产规范（GMP）、安全性和惰性的一般原则，但这还不是全部。不同形式的 FCM 和特定物质还受到其自身统一法规的管辖，例如：指令 93/11/EEC – 弹性体或橡胶</w:t>
      </w:r>
      <w:r>
        <w:rPr>
          <w:rFonts w:hint="eastAsia" w:ascii="宋体" w:hAnsi="宋体" w:cs="宋体"/>
          <w:b w:val="0"/>
          <w:bCs w:val="0"/>
          <w:kern w:val="2"/>
          <w:sz w:val="21"/>
          <w:szCs w:val="21"/>
          <w:lang w:val="en-US" w:eastAsia="zh-CN" w:bidi="ar-SA"/>
        </w:rPr>
        <w:t>塑料餐具</w:t>
      </w:r>
      <w:r>
        <w:rPr>
          <w:rFonts w:hint="eastAsia" w:ascii="宋体" w:hAnsi="宋体" w:eastAsia="宋体" w:cs="宋体"/>
          <w:b w:val="0"/>
          <w:bCs w:val="0"/>
          <w:kern w:val="2"/>
          <w:sz w:val="21"/>
          <w:szCs w:val="21"/>
          <w:lang w:val="en-US" w:eastAsia="zh-CN" w:bidi="ar-SA"/>
        </w:rPr>
        <w:t>和安抚</w:t>
      </w:r>
      <w:r>
        <w:rPr>
          <w:rFonts w:hint="eastAsia" w:ascii="宋体" w:hAnsi="宋体" w:cs="宋体"/>
          <w:b w:val="0"/>
          <w:bCs w:val="0"/>
          <w:kern w:val="2"/>
          <w:sz w:val="21"/>
          <w:szCs w:val="21"/>
          <w:lang w:val="en-US" w:eastAsia="zh-CN" w:bidi="ar-SA"/>
        </w:rPr>
        <w:t>塑料餐具</w:t>
      </w:r>
      <w:r>
        <w:rPr>
          <w:rFonts w:hint="eastAsia" w:ascii="宋体" w:hAnsi="宋体" w:eastAsia="宋体" w:cs="宋体"/>
          <w:b w:val="0"/>
          <w:bCs w:val="0"/>
          <w:kern w:val="2"/>
          <w:sz w:val="21"/>
          <w:szCs w:val="21"/>
          <w:lang w:val="en-US" w:eastAsia="zh-CN" w:bidi="ar-SA"/>
        </w:rPr>
        <w:t>中释放 N-亚硝胺和 N-亚硝基物质</w:t>
      </w:r>
      <w:r>
        <w:rPr>
          <w:rFonts w:hint="eastAsia" w:ascii="宋体" w:hAnsi="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2019年9月15日，德国产品安全委员会发布了</w:t>
      </w:r>
      <w:r>
        <w:rPr>
          <w:rFonts w:hint="default" w:ascii="宋体" w:hAnsi="宋体" w:eastAsia="宋体" w:cs="宋体"/>
          <w:b w:val="0"/>
          <w:bCs w:val="0"/>
          <w:kern w:val="2"/>
          <w:sz w:val="21"/>
          <w:szCs w:val="21"/>
          <w:lang w:val="en-US" w:eastAsia="zh-CN" w:bidi="ar-SA"/>
        </w:rPr>
        <w:fldChar w:fldCharType="begin"/>
      </w:r>
      <w:r>
        <w:rPr>
          <w:rFonts w:hint="default" w:ascii="宋体" w:hAnsi="宋体" w:eastAsia="宋体" w:cs="宋体"/>
          <w:b w:val="0"/>
          <w:bCs w:val="0"/>
          <w:kern w:val="2"/>
          <w:sz w:val="21"/>
          <w:szCs w:val="21"/>
          <w:lang w:val="en-US" w:eastAsia="zh-CN" w:bidi="ar-SA"/>
        </w:rPr>
        <w:instrText xml:space="preserve"> HYPERLINK "http://www.intertek.com.cn/service/GS.html" </w:instrText>
      </w:r>
      <w:r>
        <w:rPr>
          <w:rFonts w:hint="default" w:ascii="宋体" w:hAnsi="宋体" w:eastAsia="宋体" w:cs="宋体"/>
          <w:b w:val="0"/>
          <w:bCs w:val="0"/>
          <w:kern w:val="2"/>
          <w:sz w:val="21"/>
          <w:szCs w:val="21"/>
          <w:lang w:val="en-US" w:eastAsia="zh-CN" w:bidi="ar-SA"/>
        </w:rPr>
        <w:fldChar w:fldCharType="separate"/>
      </w:r>
      <w:r>
        <w:rPr>
          <w:rFonts w:hint="default" w:ascii="宋体" w:hAnsi="宋体" w:eastAsia="宋体" w:cs="宋体"/>
          <w:b w:val="0"/>
          <w:bCs w:val="0"/>
          <w:kern w:val="2"/>
          <w:sz w:val="21"/>
          <w:szCs w:val="21"/>
          <w:lang w:val="en-US" w:eastAsia="zh-CN" w:bidi="ar-SA"/>
        </w:rPr>
        <w:t>GS</w:t>
      </w:r>
      <w:r>
        <w:rPr>
          <w:rFonts w:hint="default" w:ascii="宋体" w:hAnsi="宋体" w:eastAsia="宋体" w:cs="宋体"/>
          <w:b w:val="0"/>
          <w:bCs w:val="0"/>
          <w:kern w:val="2"/>
          <w:sz w:val="21"/>
          <w:szCs w:val="21"/>
          <w:lang w:val="en-US" w:eastAsia="zh-CN" w:bidi="ar-SA"/>
        </w:rPr>
        <w:fldChar w:fldCharType="end"/>
      </w:r>
      <w:r>
        <w:rPr>
          <w:rFonts w:hint="default" w:ascii="宋体" w:hAnsi="宋体" w:eastAsia="宋体" w:cs="宋体"/>
          <w:b w:val="0"/>
          <w:bCs w:val="0"/>
          <w:kern w:val="2"/>
          <w:sz w:val="21"/>
          <w:szCs w:val="21"/>
          <w:lang w:val="en-US" w:eastAsia="zh-CN" w:bidi="ar-SA"/>
        </w:rPr>
        <w:fldChar w:fldCharType="begin"/>
      </w:r>
      <w:r>
        <w:rPr>
          <w:rFonts w:hint="default" w:ascii="宋体" w:hAnsi="宋体" w:eastAsia="宋体" w:cs="宋体"/>
          <w:b w:val="0"/>
          <w:bCs w:val="0"/>
          <w:kern w:val="2"/>
          <w:sz w:val="21"/>
          <w:szCs w:val="21"/>
          <w:lang w:val="en-US" w:eastAsia="zh-CN" w:bidi="ar-SA"/>
        </w:rPr>
        <w:instrText xml:space="preserve"> HYPERLINK "http://www.intertek.com.cn/service/GS.html" </w:instrText>
      </w:r>
      <w:r>
        <w:rPr>
          <w:rFonts w:hint="default" w:ascii="宋体" w:hAnsi="宋体" w:eastAsia="宋体" w:cs="宋体"/>
          <w:b w:val="0"/>
          <w:bCs w:val="0"/>
          <w:kern w:val="2"/>
          <w:sz w:val="21"/>
          <w:szCs w:val="21"/>
          <w:lang w:val="en-US" w:eastAsia="zh-CN" w:bidi="ar-SA"/>
        </w:rPr>
        <w:fldChar w:fldCharType="separate"/>
      </w:r>
      <w:r>
        <w:rPr>
          <w:rFonts w:hint="default" w:ascii="宋体" w:hAnsi="宋体" w:eastAsia="宋体" w:cs="宋体"/>
          <w:b w:val="0"/>
          <w:bCs w:val="0"/>
          <w:kern w:val="2"/>
          <w:sz w:val="21"/>
          <w:szCs w:val="21"/>
          <w:lang w:val="en-US" w:eastAsia="zh-CN" w:bidi="ar-SA"/>
        </w:rPr>
        <w:t>认证</w:t>
      </w:r>
      <w:r>
        <w:rPr>
          <w:rFonts w:hint="default" w:ascii="宋体" w:hAnsi="宋体" w:eastAsia="宋体" w:cs="宋体"/>
          <w:b w:val="0"/>
          <w:bCs w:val="0"/>
          <w:kern w:val="2"/>
          <w:sz w:val="21"/>
          <w:szCs w:val="21"/>
          <w:lang w:val="en-US" w:eastAsia="zh-CN" w:bidi="ar-SA"/>
        </w:rPr>
        <w:fldChar w:fldCharType="end"/>
      </w:r>
      <w:r>
        <w:rPr>
          <w:rFonts w:hint="default" w:ascii="宋体" w:hAnsi="宋体" w:eastAsia="宋体" w:cs="宋体"/>
          <w:b w:val="0"/>
          <w:bCs w:val="0"/>
          <w:kern w:val="2"/>
          <w:sz w:val="21"/>
          <w:szCs w:val="21"/>
          <w:lang w:val="en-US" w:eastAsia="zh-CN" w:bidi="ar-SA"/>
        </w:rPr>
        <w:t>中有关产品中多环芳香烃（Polycyclic Aromatic Hydrocarbons，简称 PAHs）含量限制的新标准，该标准（AfPS GS 2019:01 PAK (PAH)）将取代AfPS GS 2014:01 PAK (PAH)，并于2020年7月1日正式生效，旧版AfPS GS 2014:01 PAK将于2020年6月30日失效。多环芳香烃（PAHs）是指具有两个或两个以上苯环的一类有机化合物，大多数多环芳香烃具有致癌毒性。</w:t>
      </w:r>
      <w:r>
        <w:rPr>
          <w:rFonts w:hint="eastAsia" w:ascii="宋体" w:hAnsi="宋体" w:eastAsia="宋体" w:cs="宋体"/>
          <w:b w:val="0"/>
          <w:bCs w:val="0"/>
          <w:kern w:val="2"/>
          <w:sz w:val="21"/>
          <w:szCs w:val="21"/>
          <w:lang w:val="en-US" w:eastAsia="zh-CN" w:bidi="ar-SA"/>
        </w:rPr>
        <w:t>该要求将PAHS的管控分为三类</w:t>
      </w:r>
      <w:r>
        <w:rPr>
          <w:rFonts w:hint="default" w:ascii="宋体" w:hAnsi="宋体" w:eastAsia="宋体" w:cs="宋体"/>
          <w:b w:val="0"/>
          <w:bCs w:val="0"/>
          <w:kern w:val="2"/>
          <w:sz w:val="21"/>
          <w:szCs w:val="21"/>
          <w:lang w:val="en-US" w:eastAsia="zh-CN" w:bidi="ar-SA"/>
        </w:rPr>
        <w:t>：</w:t>
      </w:r>
    </w:p>
    <w:p w14:paraId="4BF904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第1类(Category 1) ：意图放入嘴内的材料或玩具中材料列于2009/48/EC或(含)3岁以下儿童使用之产品会与皮肤有长时间接触(超过30秒)</w:t>
      </w:r>
    </w:p>
    <w:p w14:paraId="6F5666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第2类(Category 2)：不属于第1类的材料并可预见与皮肤长时间接触(超过30秒)或重复与皮肤接触(这包含 a.儿童使用b. 其他消费品)</w:t>
      </w:r>
    </w:p>
    <w:p w14:paraId="447955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第3类(Category 3)：可预见与皮肤接触短于30秒(短期与皮肤接触)，以及不属于第1类或第2类的材料(这包含 a.儿童使用b. 其他消费品)</w:t>
      </w: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hint="eastAsia" w:ascii="宋体" w:hAnsi="宋体" w:cs="宋体"/>
          <w:b/>
          <w:bCs/>
          <w:szCs w:val="21"/>
        </w:rPr>
      </w:pPr>
      <w:r>
        <w:rPr>
          <w:rFonts w:hint="eastAsia" w:ascii="宋体" w:hAnsi="宋体" w:cs="宋体"/>
          <w:b/>
          <w:bCs/>
          <w:szCs w:val="21"/>
        </w:rPr>
        <w:t>国内检测方法：</w:t>
      </w:r>
    </w:p>
    <w:p w14:paraId="7A9945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感官</w:t>
      </w:r>
      <w:r>
        <w:rPr>
          <w:rFonts w:hint="eastAsia" w:ascii="宋体" w:hAnsi="宋体" w:cs="宋体"/>
          <w:b w:val="0"/>
          <w:bCs w:val="0"/>
          <w:kern w:val="2"/>
          <w:sz w:val="21"/>
          <w:szCs w:val="21"/>
          <w:lang w:val="en-US" w:eastAsia="zh-CN" w:bidi="ar-SA"/>
        </w:rPr>
        <w:t>要求</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感官要求包括感官和浸泡液，测试方法为</w:t>
      </w:r>
      <w:r>
        <w:rPr>
          <w:rFonts w:hint="default" w:ascii="宋体" w:hAnsi="宋体" w:eastAsia="宋体" w:cs="宋体"/>
          <w:b w:val="0"/>
          <w:bCs w:val="0"/>
          <w:kern w:val="2"/>
          <w:sz w:val="21"/>
          <w:szCs w:val="21"/>
          <w:lang w:val="en-US" w:eastAsia="zh-CN" w:bidi="ar-SA"/>
        </w:rPr>
        <w:t>GB 4806.</w:t>
      </w:r>
      <w:r>
        <w:rPr>
          <w:rFonts w:hint="eastAsia" w:ascii="宋体" w:hAnsi="宋体" w:cs="宋体"/>
          <w:b w:val="0"/>
          <w:bCs w:val="0"/>
          <w:kern w:val="2"/>
          <w:sz w:val="21"/>
          <w:szCs w:val="21"/>
          <w:lang w:val="en-US" w:eastAsia="zh-CN" w:bidi="ar-SA"/>
        </w:rPr>
        <w:t>7</w:t>
      </w:r>
      <w:r>
        <w:rPr>
          <w:rFonts w:hint="default" w:ascii="宋体" w:hAnsi="宋体" w:eastAsia="宋体" w:cs="宋体"/>
          <w:b w:val="0"/>
          <w:bCs w:val="0"/>
          <w:kern w:val="2"/>
          <w:sz w:val="21"/>
          <w:szCs w:val="21"/>
          <w:lang w:val="en-US" w:eastAsia="zh-CN" w:bidi="ar-SA"/>
        </w:rPr>
        <w:t>-20</w:t>
      </w:r>
      <w:r>
        <w:rPr>
          <w:rFonts w:hint="eastAsia" w:ascii="宋体" w:hAnsi="宋体" w:cs="宋体"/>
          <w:b w:val="0"/>
          <w:bCs w:val="0"/>
          <w:kern w:val="2"/>
          <w:sz w:val="21"/>
          <w:szCs w:val="21"/>
          <w:lang w:val="en-US" w:eastAsia="zh-CN" w:bidi="ar-SA"/>
        </w:rPr>
        <w:t>23</w:t>
      </w:r>
      <w:r>
        <w:rPr>
          <w:rFonts w:hint="eastAsia" w:ascii="宋体" w:hAnsi="宋体" w:eastAsia="宋体" w:cs="宋体"/>
          <w:b w:val="0"/>
          <w:bCs w:val="0"/>
          <w:kern w:val="2"/>
          <w:sz w:val="21"/>
          <w:szCs w:val="21"/>
          <w:lang w:val="en-US" w:eastAsia="zh-CN" w:bidi="ar-SA"/>
        </w:rPr>
        <w:t>《食品安全国家标准 食品接触用塑料材料及制品》</w:t>
      </w:r>
    </w:p>
    <w:p w14:paraId="65088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总迁移量：</w:t>
      </w:r>
      <w:r>
        <w:rPr>
          <w:rFonts w:hint="default" w:ascii="宋体" w:hAnsi="宋体" w:eastAsia="宋体" w:cs="宋体"/>
          <w:b w:val="0"/>
          <w:bCs w:val="0"/>
          <w:kern w:val="2"/>
          <w:sz w:val="21"/>
          <w:szCs w:val="21"/>
          <w:lang w:val="en-US" w:eastAsia="zh-CN" w:bidi="ar-SA"/>
        </w:rPr>
        <w:t>GB 31604.8-2021</w:t>
      </w:r>
      <w:r>
        <w:rPr>
          <w:rFonts w:hint="eastAsia" w:ascii="宋体" w:hAnsi="宋体" w:eastAsia="宋体" w:cs="宋体"/>
          <w:b w:val="0"/>
          <w:bCs w:val="0"/>
          <w:kern w:val="2"/>
          <w:sz w:val="21"/>
          <w:szCs w:val="21"/>
          <w:lang w:val="en-US" w:eastAsia="zh-CN" w:bidi="ar-SA"/>
        </w:rPr>
        <w:t xml:space="preserve"> 《食品安全国家标准 食品接触材料及制品 总迁移量的测定》</w:t>
      </w:r>
    </w:p>
    <w:p w14:paraId="13D912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高锰酸钾消耗量</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GB 31604.2-2016</w:t>
      </w:r>
      <w:r>
        <w:rPr>
          <w:rFonts w:hint="eastAsia" w:ascii="宋体" w:hAnsi="宋体" w:eastAsia="宋体" w:cs="宋体"/>
          <w:b w:val="0"/>
          <w:bCs w:val="0"/>
          <w:kern w:val="2"/>
          <w:sz w:val="21"/>
          <w:szCs w:val="21"/>
          <w:lang w:val="en-US" w:eastAsia="zh-CN" w:bidi="ar-SA"/>
        </w:rPr>
        <w:t xml:space="preserve"> 《食品安全国家标准 食品接触材料及制品 高锰酸钾消耗量的测定》</w:t>
      </w:r>
    </w:p>
    <w:p w14:paraId="1099A8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重金属（以</w:t>
      </w:r>
      <w:r>
        <w:rPr>
          <w:rFonts w:hint="eastAsia" w:ascii="宋体" w:hAnsi="宋体" w:cs="宋体"/>
          <w:b w:val="0"/>
          <w:bCs w:val="0"/>
          <w:kern w:val="2"/>
          <w:sz w:val="21"/>
          <w:szCs w:val="21"/>
          <w:lang w:val="en-US" w:eastAsia="zh-CN" w:bidi="ar-SA"/>
        </w:rPr>
        <w:t>Pb</w:t>
      </w:r>
      <w:r>
        <w:rPr>
          <w:rFonts w:hint="default" w:ascii="宋体" w:hAnsi="宋体" w:eastAsia="宋体" w:cs="宋体"/>
          <w:b w:val="0"/>
          <w:bCs w:val="0"/>
          <w:kern w:val="2"/>
          <w:sz w:val="21"/>
          <w:szCs w:val="21"/>
          <w:lang w:val="en-US" w:eastAsia="zh-CN" w:bidi="ar-SA"/>
        </w:rPr>
        <w:t>计）</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GB 31604.9-2016</w:t>
      </w:r>
      <w:r>
        <w:rPr>
          <w:rFonts w:hint="eastAsia" w:ascii="宋体" w:hAnsi="宋体" w:eastAsia="宋体" w:cs="宋体"/>
          <w:b w:val="0"/>
          <w:bCs w:val="0"/>
          <w:kern w:val="2"/>
          <w:sz w:val="21"/>
          <w:szCs w:val="21"/>
          <w:lang w:val="en-US" w:eastAsia="zh-CN" w:bidi="ar-SA"/>
        </w:rPr>
        <w:t>《食品安全国家标准 食品接触材料及制品 食品模拟物中重金属的测定》</w:t>
      </w:r>
    </w:p>
    <w:p w14:paraId="384967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芳香族伯胺</w:t>
      </w:r>
      <w:r>
        <w:rPr>
          <w:rFonts w:hint="default" w:ascii="宋体" w:hAnsi="宋体" w:eastAsia="宋体" w:cs="宋体"/>
          <w:b w:val="0"/>
          <w:bCs w:val="0"/>
          <w:kern w:val="2"/>
          <w:sz w:val="21"/>
          <w:szCs w:val="21"/>
          <w:lang w:val="en-US" w:eastAsia="zh-CN" w:bidi="ar-SA"/>
        </w:rPr>
        <w:t>迁移</w:t>
      </w:r>
      <w:r>
        <w:rPr>
          <w:rFonts w:hint="eastAsia" w:ascii="宋体" w:hAnsi="宋体" w:cs="宋体"/>
          <w:b w:val="0"/>
          <w:bCs w:val="0"/>
          <w:kern w:val="2"/>
          <w:sz w:val="21"/>
          <w:szCs w:val="21"/>
          <w:lang w:val="en-US" w:eastAsia="zh-CN" w:bidi="ar-SA"/>
        </w:rPr>
        <w:t>总</w:t>
      </w:r>
      <w:r>
        <w:rPr>
          <w:rFonts w:hint="default" w:ascii="宋体" w:hAnsi="宋体" w:eastAsia="宋体" w:cs="宋体"/>
          <w:b w:val="0"/>
          <w:bCs w:val="0"/>
          <w:kern w:val="2"/>
          <w:sz w:val="21"/>
          <w:szCs w:val="21"/>
          <w:lang w:val="en-US" w:eastAsia="zh-CN" w:bidi="ar-SA"/>
        </w:rPr>
        <w:t>量</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 xml:space="preserve">GB 31604.52-2021 </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食品接触材料及制品芳香族伯胺迁移的测定</w:t>
      </w:r>
      <w:r>
        <w:rPr>
          <w:rFonts w:hint="eastAsia" w:ascii="宋体" w:hAnsi="宋体" w:eastAsia="宋体" w:cs="宋体"/>
          <w:b w:val="0"/>
          <w:bCs w:val="0"/>
          <w:kern w:val="2"/>
          <w:sz w:val="21"/>
          <w:szCs w:val="21"/>
          <w:lang w:val="en-US" w:eastAsia="zh-CN" w:bidi="ar-SA"/>
        </w:rPr>
        <w:t>》</w:t>
      </w:r>
    </w:p>
    <w:p w14:paraId="04A466B4">
      <w:pPr>
        <w:adjustRightInd w:val="0"/>
        <w:snapToGrid w:val="0"/>
        <w:ind w:firstLine="420" w:firstLineChars="200"/>
        <w:jc w:val="both"/>
        <w:rPr>
          <w:rFonts w:hint="eastAsia" w:ascii="宋体" w:hAnsi="宋体" w:eastAsia="宋体" w:cs="宋体"/>
          <w:szCs w:val="21"/>
          <w:lang w:eastAsia="zh-CN"/>
        </w:rPr>
      </w:pPr>
    </w:p>
    <w:p w14:paraId="09B65CD8">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国外检测方法(欧盟)：</w:t>
      </w:r>
    </w:p>
    <w:p w14:paraId="35A54DDF">
      <w:pPr>
        <w:tabs>
          <w:tab w:val="left" w:pos="420"/>
        </w:tabs>
        <w:spacing w:line="360" w:lineRule="auto"/>
        <w:rPr>
          <w:rFonts w:ascii="宋体" w:hAnsi="宋体" w:cs="宋体"/>
          <w:szCs w:val="21"/>
        </w:rPr>
      </w:pPr>
      <w:bookmarkStart w:id="0" w:name="_Toc9074"/>
      <w:r>
        <w:rPr>
          <w:rFonts w:hint="eastAsia" w:ascii="宋体" w:hAnsi="宋体" w:cs="宋体"/>
          <w:szCs w:val="21"/>
          <w:lang w:val="en-US" w:eastAsia="zh-CN"/>
        </w:rPr>
        <w:t>全面迁移：</w:t>
      </w:r>
      <w:r>
        <w:rPr>
          <w:rFonts w:hint="eastAsia" w:ascii="宋体" w:hAnsi="宋体" w:cs="宋体"/>
          <w:szCs w:val="21"/>
        </w:rPr>
        <w:t>EN 1186-3:2022</w:t>
      </w:r>
      <w:r>
        <w:rPr>
          <w:rFonts w:hint="eastAsia" w:ascii="宋体" w:hAnsi="宋体" w:cs="宋体"/>
          <w:szCs w:val="21"/>
          <w:lang w:val="en-US" w:eastAsia="zh-CN"/>
        </w:rPr>
        <w:t xml:space="preserve"> </w:t>
      </w:r>
      <w:r>
        <w:rPr>
          <w:rFonts w:hint="eastAsia" w:ascii="宋体" w:hAnsi="宋体" w:cs="宋体"/>
          <w:szCs w:val="21"/>
        </w:rPr>
        <w:t>Materials and articles in contact with foodstuffs - Plastics - Part 3: Test methods for overall migration in evaporable simulants</w:t>
      </w:r>
    </w:p>
    <w:p w14:paraId="7A6D41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重金属特定迁移、初级芳香胺迁移量</w:t>
      </w:r>
      <w:r>
        <w:rPr>
          <w:rFonts w:hint="eastAsia" w:ascii="宋体" w:hAnsi="宋体" w:cs="宋体"/>
          <w:szCs w:val="21"/>
        </w:rPr>
        <w:t>：</w:t>
      </w:r>
      <w:r>
        <w:rPr>
          <w:rFonts w:hint="eastAsia" w:ascii="宋体" w:hAnsi="宋体" w:eastAsia="宋体" w:cs="宋体"/>
          <w:b w:val="0"/>
          <w:bCs w:val="0"/>
          <w:kern w:val="2"/>
          <w:sz w:val="21"/>
          <w:szCs w:val="21"/>
          <w:lang w:val="en-US" w:eastAsia="zh-CN" w:bidi="ar-SA"/>
        </w:rPr>
        <w:t>EN 13130-1:2004</w:t>
      </w:r>
      <w:r>
        <w:rPr>
          <w:rFonts w:hint="eastAsia" w:ascii="宋体"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Materials and articles</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in contact with</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foodstuffs-Plastics</w:t>
      </w:r>
      <w:r>
        <w:rPr>
          <w:rFonts w:hint="eastAsia" w:ascii="宋体"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substances sub</w:t>
      </w:r>
      <w:r>
        <w:rPr>
          <w:rFonts w:hint="eastAsia" w:ascii="宋体" w:hAnsi="宋体" w:cs="宋体"/>
          <w:b w:val="0"/>
          <w:bCs w:val="0"/>
          <w:kern w:val="2"/>
          <w:sz w:val="21"/>
          <w:szCs w:val="21"/>
          <w:lang w:val="en-US" w:eastAsia="zh-CN" w:bidi="ar-SA"/>
        </w:rPr>
        <w:t>j</w:t>
      </w:r>
      <w:r>
        <w:rPr>
          <w:rFonts w:hint="default" w:ascii="宋体" w:hAnsi="宋体" w:eastAsia="宋体" w:cs="宋体"/>
          <w:b w:val="0"/>
          <w:bCs w:val="0"/>
          <w:kern w:val="2"/>
          <w:sz w:val="21"/>
          <w:szCs w:val="21"/>
          <w:lang w:val="en-US" w:eastAsia="zh-CN" w:bidi="ar-SA"/>
        </w:rPr>
        <w:t>ect to</w:t>
      </w:r>
      <w:r>
        <w:rPr>
          <w:rFonts w:hint="eastAsia" w:ascii="宋体" w:hAnsi="宋体" w:eastAsia="宋体" w:cs="宋体"/>
          <w:b w:val="0"/>
          <w:bCs w:val="0"/>
          <w:kern w:val="2"/>
          <w:sz w:val="21"/>
          <w:szCs w:val="21"/>
          <w:lang w:val="en-US" w:eastAsia="zh-CN" w:bidi="ar-SA"/>
        </w:rPr>
        <w:t xml:space="preserve"> l</w:t>
      </w:r>
      <w:r>
        <w:rPr>
          <w:rFonts w:hint="default" w:ascii="宋体" w:hAnsi="宋体" w:eastAsia="宋体" w:cs="宋体"/>
          <w:b w:val="0"/>
          <w:bCs w:val="0"/>
          <w:kern w:val="2"/>
          <w:sz w:val="21"/>
          <w:szCs w:val="21"/>
          <w:lang w:val="en-US" w:eastAsia="zh-CN" w:bidi="ar-SA"/>
        </w:rPr>
        <w:t>imitation</w:t>
      </w:r>
    </w:p>
    <w:p w14:paraId="27782B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PAHS含量：AfPS GS 2019：01 PAK</w:t>
      </w:r>
    </w:p>
    <w:p w14:paraId="3DB9D088">
      <w:pPr>
        <w:spacing w:line="360" w:lineRule="auto"/>
        <w:rPr>
          <w:b/>
          <w:bCs/>
        </w:rPr>
      </w:pPr>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38BB5471">
      <w:pPr>
        <w:spacing w:line="360" w:lineRule="auto"/>
        <w:ind w:firstLine="420" w:firstLineChars="200"/>
        <w:rPr>
          <w:rFonts w:ascii="宋体" w:hAnsi="宋体" w:cs="宋体"/>
          <w:color w:val="000000"/>
          <w:szCs w:val="21"/>
        </w:rPr>
      </w:pPr>
      <w:r>
        <w:rPr>
          <w:rFonts w:hint="eastAsia" w:ascii="宋体" w:hAnsi="宋体" w:cs="宋体"/>
          <w:color w:val="000000"/>
          <w:szCs w:val="21"/>
        </w:rPr>
        <w:t>本次监测的产品为对</w:t>
      </w:r>
      <w:r>
        <w:rPr>
          <w:rFonts w:hint="eastAsia" w:ascii="宋体" w:hAnsi="宋体" w:cs="宋体"/>
          <w:color w:val="000000"/>
          <w:szCs w:val="21"/>
          <w:lang w:eastAsia="zh-CN"/>
        </w:rPr>
        <w:t>塑料餐具</w:t>
      </w:r>
      <w:r>
        <w:rPr>
          <w:rFonts w:hint="eastAsia" w:ascii="宋体" w:hAnsi="宋体" w:cs="宋体"/>
          <w:color w:val="000000"/>
          <w:szCs w:val="21"/>
        </w:rPr>
        <w:t>产品，典型的产品图片如下图。</w:t>
      </w:r>
    </w:p>
    <w:p w14:paraId="05A3404E">
      <w:pPr>
        <w:pStyle w:val="10"/>
        <w:rPr>
          <w:sz w:val="21"/>
          <w:szCs w:val="21"/>
          <w:lang w:val="en-US"/>
        </w:rPr>
      </w:pPr>
      <w:r>
        <w:rPr>
          <w:rFonts w:hint="eastAsia"/>
          <w:sz w:val="21"/>
          <w:szCs w:val="21"/>
        </w:rPr>
        <w:t xml:space="preserve"> </w:t>
      </w:r>
      <w:r>
        <w:rPr>
          <w:rFonts w:ascii="宋体" w:hAnsi="宋体" w:eastAsia="宋体" w:cs="宋体"/>
          <w:sz w:val="24"/>
          <w:szCs w:val="24"/>
        </w:rPr>
        <w:drawing>
          <wp:inline distT="0" distB="0" distL="114300" distR="114300">
            <wp:extent cx="2266950" cy="2086610"/>
            <wp:effectExtent l="0" t="0" r="0"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66950" cy="208661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728470" cy="1956435"/>
            <wp:effectExtent l="0" t="0" r="5080" b="571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1728470" cy="1956435"/>
                    </a:xfrm>
                    <a:prstGeom prst="rect">
                      <a:avLst/>
                    </a:prstGeom>
                    <a:noFill/>
                    <a:ln w="9525">
                      <a:noFill/>
                    </a:ln>
                  </pic:spPr>
                </pic:pic>
              </a:graphicData>
            </a:graphic>
          </wp:inline>
        </w:drawing>
      </w:r>
    </w:p>
    <w:p w14:paraId="62E6AE3A">
      <w:pPr>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color w:val="000000"/>
          <w:szCs w:val="21"/>
          <w:lang w:eastAsia="zh-CN"/>
        </w:rPr>
        <w:t>塑料餐具</w:t>
      </w:r>
      <w:r>
        <w:rPr>
          <w:rFonts w:hint="eastAsia" w:ascii="宋体" w:hAnsi="宋体" w:cs="宋体"/>
          <w:color w:val="000000"/>
          <w:szCs w:val="21"/>
        </w:rPr>
        <w:t>样品数量为</w:t>
      </w:r>
      <w:r>
        <w:rPr>
          <w:rFonts w:hint="eastAsia" w:ascii="宋体" w:hAnsi="宋体" w:cs="宋体"/>
          <w:color w:val="000000"/>
          <w:szCs w:val="21"/>
          <w:highlight w:val="none"/>
          <w:lang w:val="en-US" w:eastAsia="zh-CN"/>
        </w:rPr>
        <w:t>5</w:t>
      </w:r>
      <w:r>
        <w:rPr>
          <w:rFonts w:hint="eastAsia" w:ascii="宋体" w:hAnsi="宋体" w:cs="宋体"/>
          <w:color w:val="000000"/>
          <w:szCs w:val="21"/>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color w:val="000000"/>
          <w:szCs w:val="21"/>
          <w:lang w:eastAsia="zh-CN"/>
        </w:rPr>
        <w:t>塑料餐具</w:t>
      </w:r>
      <w:r>
        <w:rPr>
          <w:rFonts w:hint="eastAsia" w:ascii="宋体" w:hAnsi="宋体" w:cs="宋体"/>
          <w:szCs w:val="21"/>
        </w:rPr>
        <w:t>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03887ADA">
      <w:pPr>
        <w:spacing w:line="360" w:lineRule="auto"/>
        <w:ind w:firstLine="420" w:firstLineChars="200"/>
        <w:rPr>
          <w:rFonts w:ascii="宋体" w:hAnsi="宋体" w:cs="宋体"/>
          <w:szCs w:val="21"/>
        </w:rPr>
      </w:pPr>
      <w:r>
        <w:rPr>
          <w:rFonts w:hint="eastAsia" w:ascii="宋体" w:hAnsi="宋体" w:cs="宋体"/>
          <w:szCs w:val="21"/>
        </w:rPr>
        <w:t>（2）抽样型号或规格：抽样基数满足抽样数量即可，样品应为同一生产企业、同一标准生产、同一商标、同一规格型号的产品。每批次产品抽取样品</w:t>
      </w:r>
      <w:r>
        <w:rPr>
          <w:rFonts w:hint="eastAsia" w:ascii="宋体" w:hAnsi="宋体" w:cs="宋体"/>
          <w:szCs w:val="21"/>
          <w:highlight w:val="none"/>
          <w:lang w:val="en-US" w:eastAsia="zh-CN"/>
        </w:rPr>
        <w:t>5</w:t>
      </w:r>
      <w:r>
        <w:rPr>
          <w:rFonts w:hint="eastAsia" w:ascii="宋体" w:hAnsi="宋体" w:cs="宋体"/>
          <w:szCs w:val="21"/>
        </w:rPr>
        <w:t>个。对于体积较小的</w:t>
      </w:r>
      <w:r>
        <w:rPr>
          <w:rFonts w:hint="eastAsia" w:ascii="宋体" w:hAnsi="宋体" w:cs="宋体"/>
          <w:szCs w:val="21"/>
          <w:lang w:eastAsia="zh-CN"/>
        </w:rPr>
        <w:t>塑料餐具</w:t>
      </w:r>
      <w:r>
        <w:rPr>
          <w:rFonts w:hint="eastAsia" w:ascii="宋体" w:hAnsi="宋体" w:cs="宋体"/>
          <w:szCs w:val="21"/>
        </w:rPr>
        <w:t>产品，可适当增加抽样数量，但不得超过检验、复检的合理需要。</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hint="eastAsia" w:ascii="宋体" w:hAnsi="宋体" w:cs="宋体"/>
          <w:szCs w:val="21"/>
        </w:rPr>
      </w:pPr>
      <w:r>
        <w:rPr>
          <w:rFonts w:hint="eastAsia" w:ascii="宋体" w:hAnsi="宋体" w:cs="宋体"/>
          <w:szCs w:val="21"/>
        </w:rPr>
        <w:t>表1   检验项目</w:t>
      </w:r>
    </w:p>
    <w:p w14:paraId="1A4337B8">
      <w:pPr>
        <w:spacing w:line="360" w:lineRule="auto"/>
        <w:jc w:val="center"/>
        <w:rPr>
          <w:rFonts w:hint="eastAsia" w:ascii="宋体" w:hAnsi="宋体" w:cs="宋体"/>
          <w:szCs w:val="21"/>
        </w:rPr>
      </w:pP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53"/>
        <w:gridCol w:w="1723"/>
        <w:gridCol w:w="988"/>
        <w:gridCol w:w="3070"/>
        <w:gridCol w:w="2038"/>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253"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2711" w:type="dxa"/>
            <w:gridSpan w:val="2"/>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307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2038"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621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24D2298D">
            <w:pPr>
              <w:jc w:val="center"/>
              <w:rPr>
                <w:rFonts w:hint="default" w:ascii="宋体" w:hAnsi="宋体" w:eastAsia="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tc>
        <w:tc>
          <w:tcPr>
            <w:tcW w:w="1253" w:type="dxa"/>
            <w:vMerge w:val="restart"/>
            <w:vAlign w:val="center"/>
          </w:tcPr>
          <w:p w14:paraId="2D90D3B3">
            <w:pPr>
              <w:jc w:val="left"/>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塑料餐具</w:t>
            </w:r>
          </w:p>
        </w:tc>
        <w:tc>
          <w:tcPr>
            <w:tcW w:w="1723" w:type="dxa"/>
            <w:vMerge w:val="restart"/>
            <w:vAlign w:val="center"/>
          </w:tcPr>
          <w:p w14:paraId="28164CD3">
            <w:pPr>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感官要求</w:t>
            </w:r>
          </w:p>
        </w:tc>
        <w:tc>
          <w:tcPr>
            <w:tcW w:w="988" w:type="dxa"/>
            <w:vAlign w:val="center"/>
          </w:tcPr>
          <w:p w14:paraId="6C8E905D">
            <w:pPr>
              <w:jc w:val="center"/>
              <w:rPr>
                <w:rFonts w:hint="eastAsia" w:eastAsia="宋体"/>
                <w:szCs w:val="21"/>
                <w:lang w:eastAsia="zh-CN"/>
              </w:rPr>
            </w:pPr>
            <w:r>
              <w:rPr>
                <w:rFonts w:hint="eastAsia"/>
                <w:szCs w:val="21"/>
                <w:lang w:val="en-US" w:eastAsia="zh-CN"/>
              </w:rPr>
              <w:t>感官</w:t>
            </w:r>
          </w:p>
        </w:tc>
        <w:tc>
          <w:tcPr>
            <w:tcW w:w="3070" w:type="dxa"/>
            <w:vMerge w:val="restart"/>
            <w:vAlign w:val="center"/>
          </w:tcPr>
          <w:p w14:paraId="6E178FB9">
            <w:pPr>
              <w:jc w:val="center"/>
              <w:rPr>
                <w:rFonts w:hint="default" w:ascii="宋体" w:hAnsi="宋体" w:eastAsia="宋体" w:cs="宋体"/>
                <w:color w:val="191919"/>
                <w:szCs w:val="21"/>
                <w:shd w:val="clear" w:color="auto" w:fill="FFFFFF"/>
                <w:lang w:val="en-US" w:eastAsia="zh-CN"/>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Merge w:val="restart"/>
            <w:vAlign w:val="center"/>
          </w:tcPr>
          <w:p w14:paraId="38627C36">
            <w:pPr>
              <w:jc w:val="center"/>
              <w:rPr>
                <w:rFonts w:ascii="宋体" w:hAnsi="宋体" w:cs="宋体"/>
                <w:color w:val="191919"/>
                <w:szCs w:val="21"/>
                <w:shd w:val="clear" w:color="auto" w:fill="FFFFFF"/>
              </w:rPr>
            </w:pPr>
            <w:r>
              <w:rPr>
                <w:szCs w:val="21"/>
              </w:rPr>
              <w:t>GB 4806.</w:t>
            </w:r>
            <w:r>
              <w:rPr>
                <w:rFonts w:hint="eastAsia"/>
                <w:szCs w:val="21"/>
                <w:lang w:val="en-US" w:eastAsia="zh-CN"/>
              </w:rPr>
              <w:t>7</w:t>
            </w:r>
            <w:r>
              <w:rPr>
                <w:szCs w:val="21"/>
              </w:rPr>
              <w:t>-20</w:t>
            </w:r>
            <w:r>
              <w:rPr>
                <w:rFonts w:hint="eastAsia"/>
                <w:szCs w:val="21"/>
                <w:lang w:val="en-US" w:eastAsia="zh-CN"/>
              </w:rPr>
              <w:t>23</w:t>
            </w:r>
          </w:p>
        </w:tc>
      </w:tr>
      <w:tr w14:paraId="3698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20255CA2">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253" w:type="dxa"/>
            <w:vMerge w:val="continue"/>
            <w:vAlign w:val="center"/>
          </w:tcPr>
          <w:p w14:paraId="545F6607">
            <w:pPr>
              <w:jc w:val="left"/>
              <w:rPr>
                <w:rFonts w:ascii="宋体" w:hAnsi="宋体" w:cs="宋体"/>
                <w:color w:val="191919"/>
                <w:szCs w:val="21"/>
                <w:shd w:val="clear" w:color="auto" w:fill="FFFFFF"/>
              </w:rPr>
            </w:pPr>
          </w:p>
        </w:tc>
        <w:tc>
          <w:tcPr>
            <w:tcW w:w="1723" w:type="dxa"/>
            <w:vMerge w:val="continue"/>
            <w:vAlign w:val="center"/>
          </w:tcPr>
          <w:p w14:paraId="46DA4144">
            <w:pPr>
              <w:jc w:val="center"/>
              <w:rPr>
                <w:rFonts w:ascii="宋体" w:hAnsi="宋体" w:cs="宋体"/>
                <w:color w:val="191919"/>
                <w:szCs w:val="21"/>
                <w:shd w:val="clear" w:color="auto" w:fill="FFFFFF"/>
              </w:rPr>
            </w:pPr>
          </w:p>
        </w:tc>
        <w:tc>
          <w:tcPr>
            <w:tcW w:w="988" w:type="dxa"/>
            <w:vAlign w:val="center"/>
          </w:tcPr>
          <w:p w14:paraId="0883D181">
            <w:pPr>
              <w:jc w:val="center"/>
              <w:rPr>
                <w:rFonts w:hint="eastAsia" w:eastAsia="宋体"/>
                <w:szCs w:val="21"/>
                <w:lang w:eastAsia="zh-CN"/>
              </w:rPr>
            </w:pPr>
            <w:r>
              <w:rPr>
                <w:rFonts w:hint="eastAsia"/>
                <w:szCs w:val="21"/>
                <w:lang w:val="en-US" w:eastAsia="zh-CN"/>
              </w:rPr>
              <w:t>浸泡液</w:t>
            </w:r>
          </w:p>
        </w:tc>
        <w:tc>
          <w:tcPr>
            <w:tcW w:w="3070" w:type="dxa"/>
            <w:vMerge w:val="continue"/>
          </w:tcPr>
          <w:p w14:paraId="3E069A81">
            <w:pPr>
              <w:jc w:val="left"/>
              <w:rPr>
                <w:rFonts w:ascii="宋体" w:hAnsi="宋体" w:cs="宋体"/>
                <w:color w:val="191919"/>
                <w:szCs w:val="21"/>
                <w:shd w:val="clear" w:color="auto" w:fill="FFFFFF"/>
              </w:rPr>
            </w:pPr>
          </w:p>
        </w:tc>
        <w:tc>
          <w:tcPr>
            <w:tcW w:w="2038" w:type="dxa"/>
            <w:vMerge w:val="continue"/>
          </w:tcPr>
          <w:p w14:paraId="1E6227AC">
            <w:pPr>
              <w:jc w:val="left"/>
              <w:rPr>
                <w:rFonts w:ascii="宋体" w:hAnsi="宋体" w:cs="宋体"/>
                <w:color w:val="191919"/>
                <w:szCs w:val="21"/>
                <w:shd w:val="clear" w:color="auto" w:fill="FFFFFF"/>
              </w:rPr>
            </w:pPr>
          </w:p>
        </w:tc>
      </w:tr>
      <w:tr w14:paraId="3D60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70457B18">
            <w:pPr>
              <w:jc w:val="center"/>
              <w:rPr>
                <w:rFonts w:hint="eastAsia"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253" w:type="dxa"/>
            <w:vMerge w:val="continue"/>
            <w:vAlign w:val="center"/>
          </w:tcPr>
          <w:p w14:paraId="13D9A012">
            <w:pPr>
              <w:jc w:val="left"/>
              <w:rPr>
                <w:rFonts w:ascii="宋体" w:hAnsi="宋体" w:cs="宋体"/>
                <w:color w:val="191919"/>
                <w:szCs w:val="21"/>
                <w:shd w:val="clear" w:color="auto" w:fill="FFFFFF"/>
              </w:rPr>
            </w:pPr>
          </w:p>
        </w:tc>
        <w:tc>
          <w:tcPr>
            <w:tcW w:w="2711" w:type="dxa"/>
            <w:gridSpan w:val="2"/>
            <w:vAlign w:val="center"/>
          </w:tcPr>
          <w:p w14:paraId="32BB5EE8">
            <w:pPr>
              <w:adjustRightInd w:val="0"/>
              <w:snapToGrid w:val="0"/>
              <w:jc w:val="center"/>
              <w:rPr>
                <w:rFonts w:hint="eastAsia" w:eastAsia="宋体"/>
                <w:szCs w:val="21"/>
                <w:lang w:val="en-US" w:eastAsia="zh-CN"/>
              </w:rPr>
            </w:pPr>
            <w:r>
              <w:rPr>
                <w:rFonts w:hint="eastAsia"/>
                <w:szCs w:val="21"/>
                <w:lang w:val="en-US" w:eastAsia="zh-CN"/>
              </w:rPr>
              <w:t>总迁移量</w:t>
            </w:r>
          </w:p>
        </w:tc>
        <w:tc>
          <w:tcPr>
            <w:tcW w:w="3070" w:type="dxa"/>
            <w:vAlign w:val="center"/>
          </w:tcPr>
          <w:p w14:paraId="35DAB2DC">
            <w:pPr>
              <w:adjustRightInd w:val="0"/>
              <w:snapToGrid w:val="0"/>
              <w:jc w:val="center"/>
              <w:rPr>
                <w:szCs w:val="21"/>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4FC50030">
            <w:pPr>
              <w:adjustRightInd w:val="0"/>
              <w:snapToGrid w:val="0"/>
              <w:jc w:val="center"/>
              <w:rPr>
                <w:szCs w:val="21"/>
              </w:rPr>
            </w:pPr>
            <w:r>
              <w:rPr>
                <w:rFonts w:hint="eastAsia"/>
                <w:szCs w:val="21"/>
              </w:rPr>
              <w:t>GB 31604.8-2021</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253" w:type="dxa"/>
            <w:vMerge w:val="continue"/>
            <w:vAlign w:val="center"/>
          </w:tcPr>
          <w:p w14:paraId="322A61B6">
            <w:pPr>
              <w:jc w:val="left"/>
              <w:rPr>
                <w:rFonts w:ascii="宋体" w:hAnsi="宋体" w:cs="宋体"/>
                <w:color w:val="191919"/>
                <w:szCs w:val="21"/>
                <w:shd w:val="clear" w:color="auto" w:fill="FFFFFF"/>
              </w:rPr>
            </w:pPr>
          </w:p>
        </w:tc>
        <w:tc>
          <w:tcPr>
            <w:tcW w:w="2711" w:type="dxa"/>
            <w:gridSpan w:val="2"/>
            <w:vAlign w:val="center"/>
          </w:tcPr>
          <w:p w14:paraId="66CA3135">
            <w:pPr>
              <w:adjustRightInd w:val="0"/>
              <w:snapToGrid w:val="0"/>
              <w:jc w:val="center"/>
              <w:rPr>
                <w:rFonts w:ascii="宋体" w:hAnsi="宋体" w:cs="宋体"/>
                <w:color w:val="191919"/>
                <w:szCs w:val="21"/>
                <w:shd w:val="clear" w:color="auto" w:fill="FFFFFF"/>
              </w:rPr>
            </w:pPr>
            <w:r>
              <w:rPr>
                <w:szCs w:val="21"/>
              </w:rPr>
              <w:t>高锰酸钾消耗量</w:t>
            </w:r>
          </w:p>
        </w:tc>
        <w:tc>
          <w:tcPr>
            <w:tcW w:w="3070" w:type="dxa"/>
            <w:vAlign w:val="center"/>
          </w:tcPr>
          <w:p w14:paraId="750085B0">
            <w:pPr>
              <w:adjustRightInd w:val="0"/>
              <w:snapToGrid w:val="0"/>
              <w:jc w:val="center"/>
              <w:rPr>
                <w:rFonts w:hint="default" w:ascii="宋体" w:hAnsi="宋体" w:eastAsia="宋体" w:cs="宋体"/>
                <w:color w:val="191919"/>
                <w:szCs w:val="21"/>
                <w:shd w:val="clear" w:color="auto" w:fill="FFFFFF"/>
                <w:lang w:val="en-US" w:eastAsia="zh-CN"/>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3015A5AD">
            <w:pPr>
              <w:adjustRightInd w:val="0"/>
              <w:snapToGrid w:val="0"/>
              <w:jc w:val="center"/>
              <w:rPr>
                <w:rFonts w:ascii="宋体" w:hAnsi="宋体" w:cs="宋体"/>
                <w:color w:val="191919"/>
                <w:szCs w:val="21"/>
                <w:shd w:val="clear" w:color="auto" w:fill="FFFFFF"/>
              </w:rPr>
            </w:pPr>
            <w:r>
              <w:rPr>
                <w:szCs w:val="21"/>
              </w:rPr>
              <w:t>GB 31604.2-2016</w:t>
            </w:r>
          </w:p>
        </w:tc>
      </w:tr>
      <w:tr w14:paraId="6B0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6D2CF86E">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5</w:t>
            </w:r>
          </w:p>
        </w:tc>
        <w:tc>
          <w:tcPr>
            <w:tcW w:w="1253" w:type="dxa"/>
            <w:vMerge w:val="continue"/>
            <w:vAlign w:val="center"/>
          </w:tcPr>
          <w:p w14:paraId="71438ED7">
            <w:pPr>
              <w:jc w:val="left"/>
              <w:rPr>
                <w:rFonts w:ascii="宋体" w:hAnsi="宋体" w:cs="宋体"/>
                <w:color w:val="191919"/>
                <w:szCs w:val="21"/>
                <w:shd w:val="clear" w:color="auto" w:fill="FFFFFF"/>
              </w:rPr>
            </w:pPr>
          </w:p>
        </w:tc>
        <w:tc>
          <w:tcPr>
            <w:tcW w:w="2711" w:type="dxa"/>
            <w:gridSpan w:val="2"/>
            <w:vAlign w:val="center"/>
          </w:tcPr>
          <w:p w14:paraId="502C38D0">
            <w:pPr>
              <w:adjustRightInd w:val="0"/>
              <w:snapToGrid w:val="0"/>
              <w:jc w:val="center"/>
              <w:rPr>
                <w:rFonts w:ascii="宋体" w:hAnsi="宋体" w:cs="宋体"/>
                <w:color w:val="191919"/>
                <w:szCs w:val="21"/>
                <w:shd w:val="clear" w:color="auto" w:fill="FFFFFF"/>
              </w:rPr>
            </w:pPr>
            <w:r>
              <w:rPr>
                <w:szCs w:val="21"/>
              </w:rPr>
              <w:t>重金属（以</w:t>
            </w:r>
            <w:r>
              <w:rPr>
                <w:rFonts w:hint="eastAsia"/>
                <w:szCs w:val="21"/>
                <w:lang w:val="en-US" w:eastAsia="zh-CN"/>
              </w:rPr>
              <w:t>Pb</w:t>
            </w:r>
            <w:r>
              <w:rPr>
                <w:szCs w:val="21"/>
              </w:rPr>
              <w:t>计）</w:t>
            </w:r>
          </w:p>
        </w:tc>
        <w:tc>
          <w:tcPr>
            <w:tcW w:w="3070" w:type="dxa"/>
            <w:vAlign w:val="center"/>
          </w:tcPr>
          <w:p w14:paraId="701585B0">
            <w:pPr>
              <w:adjustRightInd w:val="0"/>
              <w:snapToGrid w:val="0"/>
              <w:jc w:val="center"/>
              <w:rPr>
                <w:rFonts w:ascii="宋体" w:hAnsi="宋体" w:cs="宋体"/>
                <w:color w:val="191919"/>
                <w:szCs w:val="21"/>
                <w:shd w:val="clear" w:color="auto" w:fill="FFFFFF"/>
              </w:rPr>
            </w:pPr>
            <w:r>
              <w:rPr>
                <w:szCs w:val="21"/>
              </w:rPr>
              <w:t>GB 4806.</w:t>
            </w:r>
            <w:r>
              <w:rPr>
                <w:rFonts w:hint="eastAsia"/>
                <w:szCs w:val="21"/>
                <w:lang w:val="en-US" w:eastAsia="zh-CN"/>
              </w:rPr>
              <w:t>7</w:t>
            </w:r>
            <w:r>
              <w:rPr>
                <w:szCs w:val="21"/>
              </w:rPr>
              <w:t>-2015</w:t>
            </w:r>
          </w:p>
        </w:tc>
        <w:tc>
          <w:tcPr>
            <w:tcW w:w="2038" w:type="dxa"/>
            <w:vAlign w:val="center"/>
          </w:tcPr>
          <w:p w14:paraId="04B691E6">
            <w:pPr>
              <w:adjustRightInd w:val="0"/>
              <w:snapToGrid w:val="0"/>
              <w:jc w:val="center"/>
              <w:rPr>
                <w:rFonts w:ascii="宋体" w:hAnsi="宋体" w:cs="宋体"/>
                <w:color w:val="191919"/>
                <w:szCs w:val="21"/>
                <w:shd w:val="clear" w:color="auto" w:fill="FFFFFF"/>
              </w:rPr>
            </w:pPr>
            <w:r>
              <w:rPr>
                <w:szCs w:val="21"/>
              </w:rPr>
              <w:t>GB 31604.9-2016</w:t>
            </w:r>
          </w:p>
        </w:tc>
      </w:tr>
      <w:tr w14:paraId="3DA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8FFDD8">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6</w:t>
            </w:r>
          </w:p>
        </w:tc>
        <w:tc>
          <w:tcPr>
            <w:tcW w:w="1253" w:type="dxa"/>
            <w:vMerge w:val="continue"/>
            <w:vAlign w:val="center"/>
          </w:tcPr>
          <w:p w14:paraId="120A2489">
            <w:pPr>
              <w:jc w:val="left"/>
              <w:rPr>
                <w:rFonts w:ascii="宋体" w:hAnsi="宋体" w:cs="宋体"/>
                <w:color w:val="191919"/>
                <w:szCs w:val="21"/>
                <w:shd w:val="clear" w:color="auto" w:fill="FFFFFF"/>
              </w:rPr>
            </w:pPr>
          </w:p>
        </w:tc>
        <w:tc>
          <w:tcPr>
            <w:tcW w:w="2711" w:type="dxa"/>
            <w:gridSpan w:val="2"/>
            <w:vAlign w:val="center"/>
          </w:tcPr>
          <w:p w14:paraId="05B9370D">
            <w:pPr>
              <w:adjustRightInd w:val="0"/>
              <w:snapToGrid w:val="0"/>
              <w:jc w:val="center"/>
              <w:rPr>
                <w:rFonts w:ascii="宋体" w:hAnsi="宋体" w:cs="宋体"/>
                <w:color w:val="191919"/>
                <w:szCs w:val="21"/>
                <w:shd w:val="clear" w:color="auto" w:fill="FFFFFF"/>
              </w:rPr>
            </w:pPr>
            <w:r>
              <w:rPr>
                <w:rFonts w:hint="eastAsia"/>
                <w:szCs w:val="21"/>
                <w:lang w:val="en-US" w:eastAsia="zh-CN"/>
              </w:rPr>
              <w:t>芳香族伯胺</w:t>
            </w:r>
            <w:r>
              <w:rPr>
                <w:szCs w:val="21"/>
              </w:rPr>
              <w:t>迁移</w:t>
            </w:r>
            <w:r>
              <w:rPr>
                <w:rFonts w:hint="eastAsia"/>
                <w:szCs w:val="21"/>
                <w:lang w:val="en-US" w:eastAsia="zh-CN"/>
              </w:rPr>
              <w:t>总</w:t>
            </w:r>
            <w:r>
              <w:rPr>
                <w:szCs w:val="21"/>
              </w:rPr>
              <w:t>量</w:t>
            </w:r>
          </w:p>
        </w:tc>
        <w:tc>
          <w:tcPr>
            <w:tcW w:w="3070" w:type="dxa"/>
            <w:vAlign w:val="center"/>
          </w:tcPr>
          <w:p w14:paraId="674CB75E">
            <w:pPr>
              <w:adjustRightInd w:val="0"/>
              <w:snapToGrid w:val="0"/>
              <w:jc w:val="center"/>
              <w:rPr>
                <w:rFonts w:hint="default" w:ascii="宋体" w:hAnsi="宋体" w:eastAsia="宋体" w:cs="宋体"/>
                <w:color w:val="191919"/>
                <w:szCs w:val="21"/>
                <w:shd w:val="clear" w:color="auto" w:fill="FFFFFF"/>
                <w:lang w:val="en-US" w:eastAsia="zh-CN"/>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109A8EBB">
            <w:pPr>
              <w:adjustRightInd w:val="0"/>
              <w:snapToGrid w:val="0"/>
              <w:jc w:val="center"/>
              <w:rPr>
                <w:rFonts w:ascii="宋体" w:hAnsi="宋体" w:cs="宋体"/>
                <w:color w:val="191919"/>
                <w:szCs w:val="21"/>
                <w:shd w:val="clear" w:color="auto" w:fill="FFFFFF"/>
              </w:rPr>
            </w:pPr>
            <w:r>
              <w:rPr>
                <w:rFonts w:hint="eastAsia"/>
                <w:szCs w:val="21"/>
              </w:rPr>
              <w:t xml:space="preserve">GB 31604.52-2021 </w:t>
            </w:r>
          </w:p>
        </w:tc>
      </w:tr>
      <w:tr w14:paraId="689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1ACA3FC9">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7</w:t>
            </w:r>
          </w:p>
        </w:tc>
        <w:tc>
          <w:tcPr>
            <w:tcW w:w="1253" w:type="dxa"/>
            <w:vMerge w:val="continue"/>
            <w:vAlign w:val="center"/>
          </w:tcPr>
          <w:p w14:paraId="5BFDBA97">
            <w:pPr>
              <w:jc w:val="left"/>
              <w:rPr>
                <w:rFonts w:ascii="宋体" w:hAnsi="宋体" w:cs="宋体"/>
                <w:color w:val="191919"/>
                <w:szCs w:val="21"/>
                <w:shd w:val="clear" w:color="auto" w:fill="FFFFFF"/>
              </w:rPr>
            </w:pPr>
          </w:p>
        </w:tc>
        <w:tc>
          <w:tcPr>
            <w:tcW w:w="2711" w:type="dxa"/>
            <w:gridSpan w:val="2"/>
            <w:vAlign w:val="center"/>
          </w:tcPr>
          <w:p w14:paraId="2FEC1204">
            <w:pPr>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重金属特定迁移（19项）</w:t>
            </w:r>
          </w:p>
        </w:tc>
        <w:tc>
          <w:tcPr>
            <w:tcW w:w="3070" w:type="dxa"/>
          </w:tcPr>
          <w:p w14:paraId="0E7BF128">
            <w:pPr>
              <w:jc w:val="center"/>
              <w:rPr>
                <w:rFonts w:ascii="宋体" w:hAnsi="宋体" w:cs="宋体"/>
                <w:color w:val="191919"/>
                <w:szCs w:val="21"/>
                <w:shd w:val="clear" w:color="auto" w:fill="FFFFFF"/>
              </w:rPr>
            </w:pPr>
            <w:r>
              <w:rPr>
                <w:rFonts w:hint="eastAsia"/>
                <w:szCs w:val="21"/>
              </w:rPr>
              <w:t>(EU) No 10/2011及其修订指令</w:t>
            </w:r>
          </w:p>
        </w:tc>
        <w:tc>
          <w:tcPr>
            <w:tcW w:w="2038" w:type="dxa"/>
          </w:tcPr>
          <w:p w14:paraId="43DF4CDE">
            <w:pPr>
              <w:jc w:val="left"/>
              <w:rPr>
                <w:rFonts w:ascii="宋体" w:hAnsi="宋体" w:cs="宋体"/>
                <w:color w:val="191919"/>
                <w:szCs w:val="21"/>
                <w:shd w:val="clear" w:color="auto" w:fill="FFFFFF"/>
              </w:rPr>
            </w:pPr>
            <w:r>
              <w:rPr>
                <w:rFonts w:hint="eastAsia"/>
                <w:szCs w:val="21"/>
              </w:rPr>
              <w:t>BS EN 13130-1:2004</w:t>
            </w:r>
          </w:p>
        </w:tc>
      </w:tr>
      <w:tr w14:paraId="7B2C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739B514D">
            <w:pPr>
              <w:jc w:val="center"/>
              <w:rPr>
                <w:rFonts w:hint="eastAsia" w:ascii="宋体" w:hAnsi="宋体" w:cs="宋体"/>
                <w:color w:val="191919"/>
                <w:szCs w:val="21"/>
                <w:shd w:val="clear" w:color="auto" w:fill="FFFFFF"/>
                <w:lang w:val="en-US" w:eastAsia="zh-CN"/>
              </w:rPr>
            </w:pPr>
            <w:bookmarkStart w:id="3" w:name="_Toc12509"/>
            <w:r>
              <w:rPr>
                <w:rFonts w:hint="eastAsia" w:ascii="宋体" w:hAnsi="宋体" w:cs="宋体"/>
                <w:color w:val="191919"/>
                <w:szCs w:val="21"/>
                <w:shd w:val="clear" w:color="auto" w:fill="FFFFFF"/>
                <w:lang w:val="en-US" w:eastAsia="zh-CN"/>
              </w:rPr>
              <w:t>8</w:t>
            </w:r>
          </w:p>
        </w:tc>
        <w:tc>
          <w:tcPr>
            <w:tcW w:w="1253" w:type="dxa"/>
            <w:vAlign w:val="center"/>
          </w:tcPr>
          <w:p w14:paraId="6D4517CE">
            <w:pPr>
              <w:jc w:val="left"/>
              <w:rPr>
                <w:rFonts w:ascii="宋体" w:hAnsi="宋体" w:cs="宋体"/>
                <w:color w:val="191919"/>
                <w:szCs w:val="21"/>
                <w:shd w:val="clear" w:color="auto" w:fill="FFFFFF"/>
              </w:rPr>
            </w:pPr>
          </w:p>
        </w:tc>
        <w:tc>
          <w:tcPr>
            <w:tcW w:w="2711" w:type="dxa"/>
            <w:gridSpan w:val="2"/>
            <w:vAlign w:val="center"/>
          </w:tcPr>
          <w:p w14:paraId="024CBA85">
            <w:pPr>
              <w:jc w:val="center"/>
              <w:rPr>
                <w:rFonts w:hint="default"/>
                <w:szCs w:val="21"/>
                <w:lang w:val="en-US" w:eastAsia="zh-CN"/>
              </w:rPr>
            </w:pPr>
            <w:r>
              <w:rPr>
                <w:rFonts w:hint="eastAsia"/>
                <w:szCs w:val="21"/>
                <w:lang w:val="en-US" w:eastAsia="zh-CN"/>
              </w:rPr>
              <w:t>PAHS含量</w:t>
            </w:r>
          </w:p>
        </w:tc>
        <w:tc>
          <w:tcPr>
            <w:tcW w:w="3070" w:type="dxa"/>
          </w:tcPr>
          <w:p w14:paraId="075704AA">
            <w:pPr>
              <w:jc w:val="center"/>
              <w:rPr>
                <w:rFonts w:hint="default" w:eastAsia="宋体"/>
                <w:szCs w:val="21"/>
                <w:lang w:val="en-US" w:eastAsia="zh-CN"/>
              </w:rPr>
            </w:pPr>
            <w:r>
              <w:rPr>
                <w:rFonts w:hint="eastAsia"/>
                <w:szCs w:val="21"/>
                <w:lang w:val="en-US" w:eastAsia="zh-CN"/>
              </w:rPr>
              <w:t>德国GS</w:t>
            </w:r>
          </w:p>
        </w:tc>
        <w:tc>
          <w:tcPr>
            <w:tcW w:w="2038" w:type="dxa"/>
          </w:tcPr>
          <w:p w14:paraId="1AB6E989">
            <w:pPr>
              <w:jc w:val="left"/>
              <w:rPr>
                <w:rFonts w:hint="eastAsia"/>
                <w:szCs w:val="21"/>
              </w:rPr>
            </w:pPr>
            <w:r>
              <w:rPr>
                <w:rFonts w:hint="eastAsia" w:ascii="宋体" w:hAnsi="宋体" w:cs="宋体"/>
                <w:b w:val="0"/>
                <w:bCs w:val="0"/>
                <w:kern w:val="2"/>
                <w:sz w:val="21"/>
                <w:szCs w:val="21"/>
                <w:lang w:val="en-US" w:eastAsia="zh-CN" w:bidi="ar-SA"/>
              </w:rPr>
              <w:t>AfPS GS 2019：01 PAK</w:t>
            </w:r>
          </w:p>
        </w:tc>
      </w:tr>
      <w:bookmarkEnd w:id="2"/>
    </w:tbl>
    <w:p w14:paraId="1B307997">
      <w:pPr>
        <w:spacing w:line="360" w:lineRule="auto"/>
        <w:ind w:firstLine="210" w:firstLineChars="100"/>
      </w:pPr>
      <w:r>
        <w:rPr>
          <w:rFonts w:hint="eastAsia"/>
        </w:rPr>
        <w:t>6.3、数据及分析方法</w:t>
      </w:r>
      <w:bookmarkEnd w:id="3"/>
    </w:p>
    <w:p w14:paraId="2DB555FF">
      <w:pPr>
        <w:tabs>
          <w:tab w:val="left" w:pos="420"/>
        </w:tabs>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szCs w:val="21"/>
          <w:lang w:eastAsia="zh-CN"/>
        </w:rPr>
        <w:t>塑料餐具</w:t>
      </w:r>
      <w:r>
        <w:rPr>
          <w:rFonts w:hint="eastAsia" w:ascii="宋体" w:hAnsi="宋体" w:cs="宋体"/>
          <w:szCs w:val="21"/>
        </w:rPr>
        <w:t>产品</w:t>
      </w:r>
      <w:r>
        <w:rPr>
          <w:rFonts w:hint="eastAsia" w:ascii="宋体" w:hAnsi="宋体" w:cs="宋体"/>
          <w:szCs w:val="21"/>
          <w:lang w:val="en-US" w:eastAsia="zh-CN"/>
        </w:rPr>
        <w:t>感官要求</w:t>
      </w:r>
      <w:r>
        <w:rPr>
          <w:rFonts w:hint="eastAsia" w:ascii="宋体" w:hAnsi="宋体" w:cs="宋体"/>
          <w:szCs w:val="21"/>
        </w:rPr>
        <w:t>、</w:t>
      </w:r>
      <w:r>
        <w:rPr>
          <w:rFonts w:hint="eastAsia" w:ascii="宋体" w:hAnsi="宋体" w:cs="宋体"/>
          <w:szCs w:val="21"/>
          <w:lang w:val="en-US" w:eastAsia="zh-CN"/>
        </w:rPr>
        <w:t>总迁移量</w:t>
      </w:r>
      <w:r>
        <w:rPr>
          <w:rFonts w:hint="eastAsia" w:ascii="宋体" w:hAnsi="宋体" w:cs="宋体"/>
          <w:szCs w:val="21"/>
        </w:rPr>
        <w:t>、</w:t>
      </w:r>
      <w:r>
        <w:rPr>
          <w:rFonts w:hint="eastAsia" w:ascii="宋体" w:hAnsi="宋体" w:cs="宋体"/>
          <w:szCs w:val="21"/>
          <w:lang w:val="en-US" w:eastAsia="zh-CN"/>
        </w:rPr>
        <w:t>高锰酸钾消耗量</w:t>
      </w:r>
      <w:r>
        <w:rPr>
          <w:rFonts w:hint="eastAsia" w:ascii="宋体" w:hAnsi="宋体" w:cs="宋体"/>
          <w:szCs w:val="21"/>
        </w:rPr>
        <w:t>、</w:t>
      </w:r>
      <w:r>
        <w:rPr>
          <w:rFonts w:hint="eastAsia" w:ascii="宋体" w:hAnsi="宋体" w:cs="宋体"/>
          <w:szCs w:val="21"/>
          <w:lang w:val="en-US" w:eastAsia="zh-CN"/>
        </w:rPr>
        <w:t>重金属以铅计、</w:t>
      </w:r>
      <w:r>
        <w:rPr>
          <w:rFonts w:hint="eastAsia" w:ascii="宋体" w:hAnsi="宋体" w:cs="宋体"/>
          <w:szCs w:val="21"/>
        </w:rPr>
        <w:t>香族伯胺迁移总量，重金属特定迁移</w:t>
      </w:r>
      <w:r>
        <w:rPr>
          <w:rFonts w:hint="eastAsia" w:ascii="宋体" w:hAnsi="宋体" w:cs="宋体"/>
          <w:szCs w:val="21"/>
          <w:lang w:val="en-US" w:eastAsia="zh-CN"/>
        </w:rPr>
        <w:t>和</w:t>
      </w:r>
      <w:r>
        <w:rPr>
          <w:rFonts w:hint="eastAsia" w:ascii="宋体" w:hAnsi="宋体" w:cs="宋体"/>
          <w:szCs w:val="21"/>
        </w:rPr>
        <w:t>PAHS含量项目的数据。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4" w:name="_Toc17642"/>
      <w:r>
        <w:rPr>
          <w:rFonts w:hint="eastAsia"/>
        </w:rPr>
        <w:t>6.4、风险评估</w:t>
      </w:r>
      <w:bookmarkEnd w:id="4"/>
      <w:r>
        <w:rPr>
          <w:rFonts w:hint="eastAsia"/>
          <w:lang w:eastAsia="zh-CN"/>
        </w:rPr>
        <w:t>塑料餐具</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szCs w:val="21"/>
          <w:lang w:val="en-US" w:eastAsia="zh-CN"/>
        </w:rPr>
        <w:t>塑料餐具</w:t>
      </w:r>
      <w:r>
        <w:rPr>
          <w:rFonts w:hint="eastAsia" w:ascii="宋体" w:hAnsi="宋体" w:cs="宋体"/>
          <w:szCs w:val="21"/>
        </w:rPr>
        <w:t>的特点，模拟现实使用场景及可预见的其他情况，对检测项目进行分析。具体分析方法考虑使用矩阵法及其他相对比较适用的方法，参考GB/T22760-20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10"/>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10"/>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10"/>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10"/>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10"/>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10"/>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10"/>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10"/>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10"/>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10"/>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10"/>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10"/>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10"/>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10"/>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10"/>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42428B51">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10"/>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10"/>
              <w:autoSpaceDE/>
              <w:autoSpaceDN/>
              <w:spacing w:after="0"/>
              <w:ind w:left="0" w:leftChars="0" w:firstLine="0" w:firstLineChars="0"/>
              <w:jc w:val="center"/>
              <w:rPr>
                <w:sz w:val="21"/>
                <w:szCs w:val="21"/>
                <w:highlight w:val="none"/>
              </w:rPr>
            </w:pPr>
            <w:r>
              <w:rPr>
                <w:rFonts w:hint="eastAsia"/>
                <w:sz w:val="21"/>
                <w:szCs w:val="21"/>
                <w:highlight w:val="none"/>
                <w:lang w:val="en-US"/>
              </w:rPr>
              <w:t>M</w:t>
            </w:r>
          </w:p>
        </w:tc>
        <w:tc>
          <w:tcPr>
            <w:tcW w:w="1620" w:type="dxa"/>
            <w:shd w:val="clear" w:color="auto" w:fill="auto"/>
            <w:vAlign w:val="center"/>
          </w:tcPr>
          <w:p w14:paraId="4F4E817A">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10"/>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FFFFFF" w:themeFill="background1"/>
            <w:vAlign w:val="center"/>
          </w:tcPr>
          <w:p w14:paraId="5B6CE1D7">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10"/>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10"/>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10"/>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10"/>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tabs>
          <w:tab w:val="left" w:pos="420"/>
        </w:tabs>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w:t>
      </w:r>
      <w:r>
        <w:rPr>
          <w:rFonts w:hint="eastAsia" w:ascii="宋体" w:hAnsi="宋体" w:cs="宋体"/>
          <w:szCs w:val="21"/>
        </w:rPr>
        <w:t>食品和饲料快速预警系统</w:t>
      </w:r>
      <w:r>
        <w:rPr>
          <w:rFonts w:hint="eastAsia" w:ascii="宋体" w:hAnsi="宋体" w:cs="宋体"/>
          <w:color w:val="191919"/>
          <w:szCs w:val="21"/>
          <w:shd w:val="clear" w:color="auto" w:fill="FFFFFF"/>
        </w:rPr>
        <w:t>(RA</w:t>
      </w:r>
      <w:r>
        <w:rPr>
          <w:rFonts w:hint="eastAsia" w:ascii="宋体" w:hAnsi="宋体" w:cs="宋体"/>
          <w:color w:val="191919"/>
          <w:szCs w:val="21"/>
          <w:shd w:val="clear" w:color="auto" w:fill="FFFFFF"/>
          <w:lang w:val="en-US" w:eastAsia="zh-CN"/>
        </w:rPr>
        <w:t>SFF</w:t>
      </w:r>
      <w:r>
        <w:rPr>
          <w:rFonts w:hint="eastAsia" w:ascii="宋体" w:hAnsi="宋体" w:cs="宋体"/>
          <w:color w:val="191919"/>
          <w:szCs w:val="21"/>
          <w:shd w:val="clear" w:color="auto" w:fill="FFFFFF"/>
        </w:rPr>
        <w:t>)</w:t>
      </w:r>
      <w:r>
        <w:rPr>
          <w:rFonts w:hint="eastAsia" w:ascii="宋体" w:hAnsi="宋体" w:cs="宋体"/>
          <w:szCs w:val="21"/>
        </w:rPr>
        <w:t>估计，预期结论为</w:t>
      </w:r>
      <w:r>
        <w:rPr>
          <w:rFonts w:hint="eastAsia" w:ascii="宋体" w:hAnsi="宋体" w:cs="宋体"/>
          <w:szCs w:val="21"/>
          <w:lang w:eastAsia="zh-CN"/>
        </w:rPr>
        <w:t>塑料餐具</w:t>
      </w:r>
      <w:r>
        <w:rPr>
          <w:rFonts w:hint="eastAsia" w:ascii="宋体" w:hAnsi="宋体" w:cs="宋体"/>
          <w:szCs w:val="21"/>
        </w:rPr>
        <w:t>产品</w:t>
      </w:r>
      <w:r>
        <w:rPr>
          <w:rFonts w:hint="eastAsia" w:ascii="宋体" w:hAnsi="宋体" w:cs="宋体"/>
          <w:color w:val="191919"/>
          <w:szCs w:val="21"/>
          <w:shd w:val="clear" w:color="auto" w:fill="FFFFFF"/>
          <w:lang w:val="en-US" w:eastAsia="zh-CN"/>
        </w:rPr>
        <w:t>感官要求</w:t>
      </w:r>
      <w:r>
        <w:rPr>
          <w:rFonts w:hint="eastAsia" w:ascii="宋体" w:hAnsi="宋体" w:cs="宋体"/>
          <w:color w:val="191919"/>
          <w:szCs w:val="21"/>
          <w:shd w:val="clear" w:color="auto" w:fill="FFFFFF"/>
        </w:rPr>
        <w:t>、</w:t>
      </w:r>
      <w:r>
        <w:rPr>
          <w:rFonts w:hint="eastAsia" w:ascii="宋体" w:hAnsi="宋体" w:cs="宋体"/>
          <w:color w:val="191919"/>
          <w:szCs w:val="21"/>
          <w:shd w:val="clear" w:color="auto" w:fill="FFFFFF"/>
          <w:lang w:val="en-US" w:eastAsia="zh-CN"/>
        </w:rPr>
        <w:t>总迁移量</w:t>
      </w:r>
      <w:r>
        <w:rPr>
          <w:rFonts w:hint="eastAsia" w:ascii="宋体" w:hAnsi="宋体" w:cs="宋体"/>
          <w:color w:val="191919"/>
          <w:szCs w:val="21"/>
          <w:shd w:val="clear" w:color="auto" w:fill="FFFFFF"/>
        </w:rPr>
        <w:t>、</w:t>
      </w:r>
      <w:r>
        <w:rPr>
          <w:rFonts w:hint="eastAsia" w:ascii="宋体" w:hAnsi="宋体" w:cs="宋体"/>
          <w:color w:val="191919"/>
          <w:szCs w:val="21"/>
          <w:shd w:val="clear" w:color="auto" w:fill="FFFFFF"/>
          <w:lang w:val="en-US" w:eastAsia="zh-CN"/>
        </w:rPr>
        <w:t>高锰酸钾消耗量</w:t>
      </w:r>
      <w:r>
        <w:rPr>
          <w:rFonts w:hint="eastAsia" w:ascii="宋体" w:hAnsi="宋体" w:cs="宋体"/>
          <w:color w:val="191919"/>
          <w:szCs w:val="21"/>
          <w:shd w:val="clear" w:color="auto" w:fill="FFFFFF"/>
        </w:rPr>
        <w:t>、</w:t>
      </w:r>
      <w:r>
        <w:rPr>
          <w:rFonts w:hint="eastAsia" w:ascii="宋体" w:hAnsi="宋体" w:cs="宋体"/>
          <w:color w:val="191919"/>
          <w:szCs w:val="21"/>
          <w:shd w:val="clear" w:color="auto" w:fill="FFFFFF"/>
          <w:lang w:val="en-US" w:eastAsia="zh-CN"/>
        </w:rPr>
        <w:t>重金属以铅计、</w:t>
      </w:r>
      <w:r>
        <w:rPr>
          <w:rFonts w:hint="eastAsia" w:ascii="宋体" w:hAnsi="宋体" w:cs="宋体"/>
          <w:szCs w:val="21"/>
        </w:rPr>
        <w:t>芳香族伯胺迁移总量，重金属特定迁移,PAHS含量的风险为中等。</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szCs w:val="21"/>
          <w:lang w:eastAsia="zh-CN"/>
        </w:rPr>
        <w:t>塑料餐具</w:t>
      </w:r>
      <w:r>
        <w:rPr>
          <w:rFonts w:hint="eastAsia" w:ascii="宋体" w:hAnsi="宋体" w:cs="宋体"/>
          <w:szCs w:val="21"/>
          <w:lang w:val="en-US" w:eastAsia="zh-CN"/>
        </w:rPr>
        <w:t>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szCs w:val="21"/>
          <w:lang w:eastAsia="zh-CN"/>
        </w:rPr>
        <w:t>塑料餐具</w:t>
      </w:r>
      <w:r>
        <w:rPr>
          <w:rFonts w:hint="eastAsia" w:ascii="宋体" w:hAnsi="宋体" w:cs="宋体"/>
          <w:szCs w:val="21"/>
        </w:rPr>
        <w:t xml:space="preserve">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szCs w:val="21"/>
          <w:lang w:eastAsia="zh-CN"/>
        </w:rPr>
        <w:t>塑料餐具</w:t>
      </w:r>
      <w:r>
        <w:rPr>
          <w:rFonts w:hint="eastAsia" w:ascii="宋体" w:hAnsi="宋体" w:cs="宋体"/>
          <w:szCs w:val="21"/>
        </w:rPr>
        <w:t>对</w:t>
      </w:r>
      <w:r>
        <w:rPr>
          <w:rFonts w:hint="eastAsia" w:ascii="宋体" w:hAnsi="宋体" w:cs="宋体"/>
          <w:szCs w:val="21"/>
          <w:lang w:val="en-US" w:eastAsia="zh-CN"/>
        </w:rPr>
        <w:t>人体</w:t>
      </w:r>
      <w:r>
        <w:rPr>
          <w:rFonts w:hint="eastAsia" w:ascii="宋体" w:hAnsi="宋体" w:cs="宋体"/>
          <w:szCs w:val="21"/>
        </w:rPr>
        <w:t>健康的安全隐患，监管部门应加强对企业生产过程的监督检查力度，检查企业生产过程中是否使用过量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4E0C8C8E"/>
    <w:p w14:paraId="2C4BC24E"/>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5CDE49E4"/>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4C6F963F-C020-492B-B79B-AC115BF82869}"/>
  </w:font>
  <w:font w:name="仿宋">
    <w:panose1 w:val="02010609060101010101"/>
    <w:charset w:val="86"/>
    <w:family w:val="modern"/>
    <w:pitch w:val="default"/>
    <w:sig w:usb0="800002BF" w:usb1="38CF7CFA" w:usb2="00000016" w:usb3="00000000" w:csb0="00040001" w:csb1="00000000"/>
    <w:embedRegular r:id="rId2" w:fontKey="{B9A6F207-442F-48A8-A966-931D88972094}"/>
  </w:font>
  <w:font w:name="宋体-方正超大字符集">
    <w:altName w:val="宋体"/>
    <w:panose1 w:val="00000000000000000000"/>
    <w:charset w:val="86"/>
    <w:family w:val="script"/>
    <w:pitch w:val="default"/>
    <w:sig w:usb0="00000000" w:usb1="00000000" w:usb2="00000010" w:usb3="00000000" w:csb0="00040000" w:csb1="00000000"/>
    <w:embedRegular r:id="rId3" w:fontKey="{32BA3162-D9C5-4F6B-B638-AFE26701BBB8}"/>
  </w:font>
  <w:font w:name="方正小标宋_GBK">
    <w:altName w:val="微软雅黑"/>
    <w:panose1 w:val="00000000000000000000"/>
    <w:charset w:val="86"/>
    <w:family w:val="auto"/>
    <w:pitch w:val="default"/>
    <w:sig w:usb0="00000000" w:usb1="00000000" w:usb2="00082016" w:usb3="00000000" w:csb0="00040001" w:csb1="00000000"/>
    <w:embedRegular r:id="rId4" w:fontKey="{ACCEC106-4217-4B30-B32B-8F11508DDF0E}"/>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embedRegular r:id="rId5" w:fontKey="{94BA43C4-C752-4807-A453-4027B7E18142}"/>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2DA0712"/>
    <w:rsid w:val="044B36F8"/>
    <w:rsid w:val="048D164A"/>
    <w:rsid w:val="070D7412"/>
    <w:rsid w:val="072E208E"/>
    <w:rsid w:val="0732381D"/>
    <w:rsid w:val="07503853"/>
    <w:rsid w:val="08EC001B"/>
    <w:rsid w:val="08F204AC"/>
    <w:rsid w:val="096B0BD8"/>
    <w:rsid w:val="0A7E52D0"/>
    <w:rsid w:val="0B00275A"/>
    <w:rsid w:val="0B0E131B"/>
    <w:rsid w:val="0B87417F"/>
    <w:rsid w:val="0C393981"/>
    <w:rsid w:val="0C7278E7"/>
    <w:rsid w:val="0C741652"/>
    <w:rsid w:val="0D141031"/>
    <w:rsid w:val="0D170316"/>
    <w:rsid w:val="0EB93339"/>
    <w:rsid w:val="0FCE019A"/>
    <w:rsid w:val="0FD77F2D"/>
    <w:rsid w:val="117C77AF"/>
    <w:rsid w:val="12EF3A78"/>
    <w:rsid w:val="14A427AB"/>
    <w:rsid w:val="152E03E8"/>
    <w:rsid w:val="152F6116"/>
    <w:rsid w:val="15487778"/>
    <w:rsid w:val="16ED53B9"/>
    <w:rsid w:val="175E3CFD"/>
    <w:rsid w:val="17792AAB"/>
    <w:rsid w:val="180C6BE2"/>
    <w:rsid w:val="1A951111"/>
    <w:rsid w:val="1AB1581F"/>
    <w:rsid w:val="1B7A5039"/>
    <w:rsid w:val="1B815E5F"/>
    <w:rsid w:val="1B836D49"/>
    <w:rsid w:val="1D282061"/>
    <w:rsid w:val="1D57445C"/>
    <w:rsid w:val="1DC51D0D"/>
    <w:rsid w:val="20414D4B"/>
    <w:rsid w:val="20DA09E1"/>
    <w:rsid w:val="221A4197"/>
    <w:rsid w:val="23502079"/>
    <w:rsid w:val="247F2B3F"/>
    <w:rsid w:val="26F06753"/>
    <w:rsid w:val="2810627B"/>
    <w:rsid w:val="28892427"/>
    <w:rsid w:val="296D2F34"/>
    <w:rsid w:val="2A246E81"/>
    <w:rsid w:val="2B107392"/>
    <w:rsid w:val="2B1851DD"/>
    <w:rsid w:val="2C163734"/>
    <w:rsid w:val="2D265975"/>
    <w:rsid w:val="2D5E35E4"/>
    <w:rsid w:val="2E2C723F"/>
    <w:rsid w:val="2F782E84"/>
    <w:rsid w:val="2F9E6829"/>
    <w:rsid w:val="2FD1009E"/>
    <w:rsid w:val="301937F3"/>
    <w:rsid w:val="30C31292"/>
    <w:rsid w:val="30E84203"/>
    <w:rsid w:val="356674DA"/>
    <w:rsid w:val="36EB04FF"/>
    <w:rsid w:val="370276D6"/>
    <w:rsid w:val="37B7401D"/>
    <w:rsid w:val="386B3079"/>
    <w:rsid w:val="38C11761"/>
    <w:rsid w:val="393578EF"/>
    <w:rsid w:val="395C3C16"/>
    <w:rsid w:val="3C4936B2"/>
    <w:rsid w:val="3CD972F5"/>
    <w:rsid w:val="42D5315D"/>
    <w:rsid w:val="4320017F"/>
    <w:rsid w:val="434D725F"/>
    <w:rsid w:val="45C53DA9"/>
    <w:rsid w:val="45FA3CF2"/>
    <w:rsid w:val="46382F03"/>
    <w:rsid w:val="46AF6F5C"/>
    <w:rsid w:val="46C75F3C"/>
    <w:rsid w:val="4D292E6F"/>
    <w:rsid w:val="4EB5358E"/>
    <w:rsid w:val="5093723E"/>
    <w:rsid w:val="524953E7"/>
    <w:rsid w:val="5265190D"/>
    <w:rsid w:val="539D6D46"/>
    <w:rsid w:val="552B174F"/>
    <w:rsid w:val="562C25A4"/>
    <w:rsid w:val="56D46BF8"/>
    <w:rsid w:val="57F840A4"/>
    <w:rsid w:val="58A91308"/>
    <w:rsid w:val="59771FD5"/>
    <w:rsid w:val="59E574DB"/>
    <w:rsid w:val="5BA67D81"/>
    <w:rsid w:val="5BD112A2"/>
    <w:rsid w:val="5CD526CC"/>
    <w:rsid w:val="5D4F5275"/>
    <w:rsid w:val="5E9F0DA8"/>
    <w:rsid w:val="5EC073AC"/>
    <w:rsid w:val="5F39005D"/>
    <w:rsid w:val="5F615B5E"/>
    <w:rsid w:val="61A30FEA"/>
    <w:rsid w:val="623A1223"/>
    <w:rsid w:val="625378CF"/>
    <w:rsid w:val="62C728EC"/>
    <w:rsid w:val="63D26282"/>
    <w:rsid w:val="63D93329"/>
    <w:rsid w:val="643E2B2A"/>
    <w:rsid w:val="65643B4C"/>
    <w:rsid w:val="6705674E"/>
    <w:rsid w:val="678114C7"/>
    <w:rsid w:val="68141A0D"/>
    <w:rsid w:val="68582403"/>
    <w:rsid w:val="68872F0B"/>
    <w:rsid w:val="696B3119"/>
    <w:rsid w:val="6A42336B"/>
    <w:rsid w:val="6AA81C9B"/>
    <w:rsid w:val="6B563571"/>
    <w:rsid w:val="6B9A6509"/>
    <w:rsid w:val="6C6D0151"/>
    <w:rsid w:val="6D3E3ADD"/>
    <w:rsid w:val="6D7955B3"/>
    <w:rsid w:val="6E193E12"/>
    <w:rsid w:val="6E7D140D"/>
    <w:rsid w:val="6F343F18"/>
    <w:rsid w:val="6FB4618D"/>
    <w:rsid w:val="6FCF38F2"/>
    <w:rsid w:val="705A62D8"/>
    <w:rsid w:val="71431EA2"/>
    <w:rsid w:val="725E5BA2"/>
    <w:rsid w:val="72C810AD"/>
    <w:rsid w:val="72D45068"/>
    <w:rsid w:val="73FD42B3"/>
    <w:rsid w:val="782627C3"/>
    <w:rsid w:val="784C1F84"/>
    <w:rsid w:val="78752787"/>
    <w:rsid w:val="7A361E33"/>
    <w:rsid w:val="7A867D67"/>
    <w:rsid w:val="7A895048"/>
    <w:rsid w:val="7AAD0B5B"/>
    <w:rsid w:val="7B451167"/>
    <w:rsid w:val="7CFC042D"/>
    <w:rsid w:val="7D450D50"/>
    <w:rsid w:val="7DCB087D"/>
    <w:rsid w:val="7EDB7DFD"/>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qFormat/>
    <w:uiPriority w:val="0"/>
    <w:pPr>
      <w:keepNext/>
      <w:keepLines/>
      <w:spacing w:line="360" w:lineRule="auto"/>
      <w:outlineLvl w:val="3"/>
    </w:pPr>
    <w:rPr>
      <w:rFonts w:ascii="Arial" w:hAnsi="Arial"/>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0"/>
    <w:semiHidden/>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link w:val="21"/>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标题 4 字符"/>
    <w:basedOn w:val="12"/>
    <w:link w:val="5"/>
    <w:qFormat/>
    <w:uiPriority w:val="0"/>
    <w:rPr>
      <w:rFonts w:ascii="Arial" w:hAnsi="Arial" w:eastAsia="宋体" w:cs="Times New Roman"/>
      <w:b/>
      <w:sz w:val="28"/>
      <w:szCs w:val="24"/>
    </w:rPr>
  </w:style>
  <w:style w:type="character" w:customStyle="1" w:styleId="16">
    <w:name w:val="页眉 字符"/>
    <w:basedOn w:val="12"/>
    <w:link w:val="8"/>
    <w:qFormat/>
    <w:uiPriority w:val="99"/>
    <w:rPr>
      <w:rFonts w:ascii="Times New Roman" w:hAnsi="Times New Roman" w:eastAsia="宋体" w:cs="Times New Roman"/>
      <w:sz w:val="18"/>
      <w:szCs w:val="18"/>
    </w:rPr>
  </w:style>
  <w:style w:type="character" w:customStyle="1" w:styleId="17">
    <w:name w:val="页脚 字符"/>
    <w:basedOn w:val="12"/>
    <w:link w:val="7"/>
    <w:qFormat/>
    <w:uiPriority w:val="99"/>
    <w:rPr>
      <w:rFonts w:ascii="Times New Roman" w:hAnsi="Times New Roman" w:eastAsia="宋体" w:cs="Times New Roman"/>
      <w:sz w:val="18"/>
      <w:szCs w:val="18"/>
    </w:rPr>
  </w:style>
  <w:style w:type="character" w:customStyle="1" w:styleId="18">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19">
    <w:name w:val="标题 3 字符"/>
    <w:basedOn w:val="12"/>
    <w:link w:val="4"/>
    <w:semiHidden/>
    <w:qFormat/>
    <w:uiPriority w:val="9"/>
    <w:rPr>
      <w:rFonts w:ascii="Times New Roman" w:hAnsi="Times New Roman" w:eastAsia="宋体" w:cs="Times New Roman"/>
      <w:b/>
      <w:bCs/>
      <w:sz w:val="32"/>
      <w:szCs w:val="32"/>
    </w:rPr>
  </w:style>
  <w:style w:type="character" w:customStyle="1" w:styleId="20">
    <w:name w:val="正文文本缩进 字符"/>
    <w:basedOn w:val="12"/>
    <w:link w:val="6"/>
    <w:semiHidden/>
    <w:qFormat/>
    <w:uiPriority w:val="99"/>
    <w:rPr>
      <w:rFonts w:ascii="Times New Roman" w:hAnsi="Times New Roman" w:eastAsia="宋体" w:cs="Times New Roman"/>
      <w:szCs w:val="24"/>
    </w:rPr>
  </w:style>
  <w:style w:type="character" w:customStyle="1" w:styleId="21">
    <w:name w:val="正文文本首行缩进 2 字符"/>
    <w:basedOn w:val="20"/>
    <w:link w:val="10"/>
    <w:qFormat/>
    <w:uiPriority w:val="99"/>
    <w:rPr>
      <w:rFonts w:ascii="宋体" w:hAnsi="宋体" w:eastAsia="宋体" w:cs="宋体"/>
      <w:kern w:val="0"/>
      <w:sz w:val="24"/>
      <w:szCs w:val="24"/>
      <w:lang w:val="zh-CN" w:bidi="zh-CN"/>
    </w:rPr>
  </w:style>
  <w:style w:type="paragraph" w:customStyle="1" w:styleId="22">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3">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3907</Words>
  <Characters>4686</Characters>
  <Lines>61</Lines>
  <Paragraphs>17</Paragraphs>
  <TotalTime>0</TotalTime>
  <ScaleCrop>false</ScaleCrop>
  <LinksUpToDate>false</LinksUpToDate>
  <CharactersWithSpaces>4808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小魔仙</cp:lastModifiedBy>
  <dcterms:modified xsi:type="dcterms:W3CDTF">2025-06-16T07:41:03Z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5EDA4E29698748D0B97479A76A66E640_13</vt:lpwstr>
  </property>
  <property fmtid="{D5CDD505-2E9C-101B-9397-08002B2CF9AE}" pid="4" name="KSOTemplateDocerSaveRecord">
    <vt:lpwstr>eyJoZGlkIjoiMmVjMmM0MGQ5MTYwYTdmMzlhNTI4MTY2NWNhNzg3MTIiLCJ1c2VySWQiOiIyNTU3MjczMDYifQ==</vt:lpwstr>
  </property>
</Properties>
</file>