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ascii="仿宋_GB2312" w:hAnsi="仿宋" w:eastAsia="仿宋_GB2312" w:cs="宋体-方正超大字符集"/>
          <w:b/>
          <w:bCs/>
          <w:sz w:val="28"/>
          <w:szCs w:val="28"/>
        </w:rPr>
      </w:pPr>
      <w:r>
        <w:rPr>
          <w:rFonts w:hint="eastAsia" w:ascii="宋体" w:hAnsi="宋体" w:cs="方正小标宋_GBK"/>
          <w:b/>
          <w:sz w:val="36"/>
          <w:szCs w:val="36"/>
        </w:rPr>
        <w:t>202</w:t>
      </w:r>
      <w:r>
        <w:rPr>
          <w:rFonts w:hint="eastAsia" w:ascii="宋体" w:hAnsi="宋体" w:cs="方正小标宋_GBK"/>
          <w:b/>
          <w:sz w:val="36"/>
          <w:szCs w:val="36"/>
          <w:lang w:val="en-US" w:eastAsia="zh-CN"/>
        </w:rPr>
        <w:t>5</w:t>
      </w:r>
      <w:r>
        <w:rPr>
          <w:rFonts w:hint="eastAsia" w:ascii="宋体" w:hAnsi="宋体" w:cs="方正小标宋_GBK"/>
          <w:b/>
          <w:sz w:val="36"/>
          <w:szCs w:val="36"/>
        </w:rPr>
        <w:t>年</w:t>
      </w:r>
      <w:r>
        <w:rPr>
          <w:rFonts w:hint="eastAsia" w:ascii="宋体" w:hAnsi="宋体" w:cs="方正小标宋_GBK"/>
          <w:b/>
          <w:sz w:val="36"/>
          <w:szCs w:val="36"/>
          <w:lang w:val="en-US" w:eastAsia="zh-CN"/>
        </w:rPr>
        <w:t>大同市奶嘴</w:t>
      </w:r>
      <w:r>
        <w:rPr>
          <w:rFonts w:hint="eastAsia" w:ascii="宋体" w:hAnsi="宋体" w:cs="方正小标宋_GBK"/>
          <w:b/>
          <w:sz w:val="36"/>
          <w:szCs w:val="36"/>
        </w:rPr>
        <w:t>类产品风险监测项目实施方案</w:t>
      </w:r>
    </w:p>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tabs>
          <w:tab w:val="left" w:pos="420"/>
        </w:tabs>
        <w:spacing w:line="360" w:lineRule="auto"/>
        <w:ind w:firstLine="420" w:firstLineChars="200"/>
        <w:rPr>
          <w:rFonts w:ascii="宋体" w:hAnsi="宋体" w:cs="宋体"/>
          <w:szCs w:val="21"/>
        </w:rPr>
      </w:pPr>
      <w:r>
        <w:rPr>
          <w:rFonts w:hint="default" w:ascii="宋体" w:hAnsi="宋体" w:cs="宋体"/>
        </w:rPr>
        <w:t>关于奶嘴的舆情主要集中在产品质量安全问题上</w:t>
      </w:r>
      <w:r>
        <w:rPr>
          <w:rFonts w:hint="eastAsia" w:ascii="宋体" w:hAnsi="宋体" w:cs="宋体"/>
        </w:rPr>
        <w:t>。近</w:t>
      </w:r>
      <w:r>
        <w:rPr>
          <w:rFonts w:hint="eastAsia" w:ascii="宋体" w:hAnsi="宋体" w:cs="宋体"/>
          <w:szCs w:val="21"/>
        </w:rPr>
        <w:t>三年网络舆情呈现：</w:t>
      </w:r>
    </w:p>
    <w:p w14:paraId="06452DE9">
      <w:pPr>
        <w:spacing w:line="360" w:lineRule="auto"/>
        <w:ind w:firstLine="420" w:firstLineChars="200"/>
        <w:rPr>
          <w:rFonts w:hint="default" w:ascii="宋体" w:hAnsi="宋体" w:cs="宋体"/>
        </w:rPr>
      </w:pPr>
      <w:r>
        <w:rPr>
          <w:rFonts w:hint="eastAsia" w:ascii="宋体" w:hAnsi="宋体" w:cs="宋体"/>
        </w:rPr>
        <w:t>舆情1: 抽</w:t>
      </w:r>
      <w:r>
        <w:rPr>
          <w:rFonts w:hint="default" w:ascii="宋体" w:hAnsi="宋体" w:cs="宋体"/>
        </w:rPr>
        <w:t>抽检不合格问题受：《消费者报道》2024 年 11 月整理的信息显示，2021 年 1 月至 2024 年 10 月，各地监管部门共抽检奶嘴 1064 批次，不合格 58 批次，不合格率为 5.5%。不合格原因主要是挥发性物质超标、标签标识不合规以及小零件问题，其中挥发性物质超标占比 68.3%。涉及上海贝儿康婴童用品有限公司、珠海市胖孩儿孕婴用品有限公司等企业，以及优优贝比、可拉贝拉等品牌，引发家长对奶嘴质量的担忧。</w:t>
      </w:r>
    </w:p>
    <w:p w14:paraId="69C6214D">
      <w:pPr>
        <w:spacing w:line="360" w:lineRule="auto"/>
        <w:ind w:firstLine="420" w:firstLineChars="200"/>
        <w:rPr>
          <w:rFonts w:hint="eastAsia" w:ascii="宋体" w:hAnsi="宋体" w:cs="宋体"/>
        </w:rPr>
      </w:pPr>
      <w:r>
        <w:rPr>
          <w:rFonts w:hint="eastAsia" w:ascii="宋体" w:hAnsi="宋体" w:cs="宋体"/>
        </w:rPr>
        <w:t xml:space="preserve">舆情2： </w:t>
      </w:r>
      <w:r>
        <w:rPr>
          <w:rFonts w:hint="default" w:ascii="宋体" w:hAnsi="宋体" w:cs="宋体"/>
        </w:rPr>
        <w:t>电商平台成不合格重灾区：据 “2024 年上海市奶瓶奶嘴产品质量监督抽查结果” 和 “2024 年上海市婴幼儿安抚奶嘴产品质量监督抽查结果”，被抽查的不合格批次全部来源于电商渠道，包括天猫、京东等多个网店。线上平台因商家偷工减料、监管难以全面覆盖等原因，成为不合格产品的 “重灾区”，宝爸宝妈们被提醒要认准线下正规渠道购买母婴产品。</w:t>
      </w: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17E16C4D">
      <w:pPr>
        <w:tabs>
          <w:tab w:val="left" w:pos="420"/>
        </w:tabs>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2023年国家市场监督管理总局对昆山婴诺母婴用品有限公司召回countbaby牌中宽口硅胶奶嘴</w:t>
      </w:r>
      <w:r>
        <w:rPr>
          <w:rFonts w:hint="eastAsia" w:ascii="宋体" w:hAnsi="宋体" w:cs="宋体"/>
          <w:szCs w:val="21"/>
          <w:lang w:val="en-US" w:eastAsia="zh-CN"/>
        </w:rPr>
        <w:t>实施召回。实施召回的奶嘴产品为透明硅胶婴儿奶嘴，流量开口为大十字形状。该奶嘴产品存在的主要缺陷为奶嘴中的挥发性物质含量较高，可能导致的后果为婴儿长期使用挥发性物质含量较高的奶嘴，可能会影响身体健康。</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7D4A8C8E">
      <w:pPr>
        <w:tabs>
          <w:tab w:val="left" w:pos="420"/>
        </w:tabs>
        <w:spacing w:line="360" w:lineRule="auto"/>
        <w:rPr>
          <w:rFonts w:hint="default" w:ascii="宋体" w:hAnsi="宋体" w:eastAsia="宋体" w:cs="宋体"/>
          <w:szCs w:val="21"/>
          <w:lang w:val="en-US" w:eastAsia="zh-CN"/>
        </w:rPr>
      </w:pPr>
      <w:r>
        <w:rPr>
          <w:rFonts w:hint="eastAsia" w:ascii="宋体" w:hAnsi="宋体" w:cs="宋体"/>
          <w:szCs w:val="21"/>
        </w:rPr>
        <w:t>国内：奶嘴相关的国家标准主要有 GB 38995-2020《婴幼儿用奶瓶和奶嘴》、GB 4806.2-2015《食品安全国家标准 奶嘴》</w:t>
      </w:r>
      <w:r>
        <w:rPr>
          <w:rFonts w:hint="eastAsia" w:ascii="宋体" w:hAnsi="宋体" w:cs="宋体"/>
          <w:szCs w:val="21"/>
          <w:lang w:eastAsia="zh-CN"/>
        </w:rPr>
        <w:t>。</w:t>
      </w:r>
      <w:r>
        <w:rPr>
          <w:rFonts w:hint="eastAsia" w:ascii="宋体" w:hAnsi="宋体" w:cs="宋体"/>
          <w:szCs w:val="21"/>
        </w:rPr>
        <w:t>GB 38995-2020《婴幼儿用奶瓶和奶嘴》</w:t>
      </w:r>
      <w:r>
        <w:rPr>
          <w:rFonts w:hint="eastAsia" w:ascii="宋体" w:hAnsi="宋体" w:cs="宋体"/>
          <w:szCs w:val="21"/>
          <w:lang w:val="en-US" w:eastAsia="zh-CN"/>
        </w:rPr>
        <w:t>对奶嘴的机械物理要求做出了规定，</w:t>
      </w:r>
      <w:r>
        <w:rPr>
          <w:rFonts w:hint="eastAsia" w:ascii="宋体" w:hAnsi="宋体" w:cs="宋体"/>
          <w:szCs w:val="21"/>
        </w:rPr>
        <w:t>GB 4806.2-2015《食品安全国家标准 奶嘴》</w:t>
      </w:r>
      <w:r>
        <w:rPr>
          <w:rFonts w:hint="eastAsia" w:ascii="宋体" w:hAnsi="宋体" w:cs="宋体"/>
          <w:szCs w:val="21"/>
          <w:lang w:val="en-US" w:eastAsia="zh-CN"/>
        </w:rPr>
        <w:t>对奶嘴的理化指标也做出了规定。</w:t>
      </w:r>
    </w:p>
    <w:p w14:paraId="0EBB10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国外：欧盟</w:t>
      </w:r>
      <w:r>
        <w:rPr>
          <w:rFonts w:hint="default" w:ascii="宋体" w:hAnsi="宋体" w:eastAsia="宋体" w:cs="宋体"/>
          <w:b w:val="0"/>
          <w:bCs w:val="0"/>
          <w:kern w:val="2"/>
          <w:sz w:val="21"/>
          <w:szCs w:val="21"/>
          <w:lang w:val="en-US" w:eastAsia="zh-CN" w:bidi="ar-SA"/>
        </w:rPr>
        <w:fldChar w:fldCharType="begin"/>
      </w:r>
      <w:r>
        <w:rPr>
          <w:rFonts w:hint="default" w:ascii="宋体" w:hAnsi="宋体" w:eastAsia="宋体" w:cs="宋体"/>
          <w:b w:val="0"/>
          <w:bCs w:val="0"/>
          <w:kern w:val="2"/>
          <w:sz w:val="21"/>
          <w:szCs w:val="21"/>
          <w:lang w:val="en-US" w:eastAsia="zh-CN" w:bidi="ar-SA"/>
        </w:rPr>
        <w:instrText xml:space="preserve"> HYPERLINK "https://standards.cen.eu/dyn/www/f?p=CENWEB:110:0::::FSP_ORG_ID,FSP_PROJECT:6233,66159&amp;cs=1D093CE7490E8A55EB8FAB2610A6FB4BC" \t "https://www.sgsonline.com.cn/case/article/_blank" </w:instrText>
      </w:r>
      <w:r>
        <w:rPr>
          <w:rFonts w:hint="default" w:ascii="宋体" w:hAnsi="宋体" w:eastAsia="宋体" w:cs="宋体"/>
          <w:b w:val="0"/>
          <w:bCs w:val="0"/>
          <w:kern w:val="2"/>
          <w:sz w:val="21"/>
          <w:szCs w:val="21"/>
          <w:lang w:val="en-US" w:eastAsia="zh-CN" w:bidi="ar-SA"/>
        </w:rPr>
        <w:fldChar w:fldCharType="separate"/>
      </w:r>
      <w:r>
        <w:rPr>
          <w:rFonts w:hint="default" w:ascii="宋体" w:hAnsi="宋体" w:eastAsia="宋体" w:cs="宋体"/>
          <w:b w:val="0"/>
          <w:bCs w:val="0"/>
          <w:kern w:val="2"/>
          <w:sz w:val="21"/>
          <w:szCs w:val="21"/>
          <w:lang w:val="en-US" w:eastAsia="zh-CN" w:bidi="ar-SA"/>
        </w:rPr>
        <w:t>EN 14350:2020</w:t>
      </w:r>
      <w:r>
        <w:rPr>
          <w:rFonts w:hint="default" w:ascii="宋体" w:hAnsi="宋体" w:eastAsia="宋体" w:cs="宋体"/>
          <w:b w:val="0"/>
          <w:bCs w:val="0"/>
          <w:kern w:val="2"/>
          <w:sz w:val="21"/>
          <w:szCs w:val="21"/>
          <w:lang w:val="en-US" w:eastAsia="zh-CN" w:bidi="ar-SA"/>
        </w:rPr>
        <w:fldChar w:fldCharType="end"/>
      </w:r>
      <w:r>
        <w:rPr>
          <w:rFonts w:hint="default" w:ascii="宋体" w:hAnsi="宋体" w:eastAsia="宋体" w:cs="宋体"/>
          <w:b w:val="0"/>
          <w:bCs w:val="0"/>
          <w:kern w:val="2"/>
          <w:sz w:val="21"/>
          <w:szCs w:val="21"/>
          <w:lang w:val="en-US" w:eastAsia="zh-CN" w:bidi="ar-SA"/>
        </w:rPr>
        <w:t>“儿童护理用品-饮水设备-安全要求和测试方法”。本标准规定了供0至48个月儿童的饮水设备的材料，结构，性能，包装和产品信息的安全要求。涵盖的产品包括可重复使用或一次性使用的容器和饮用配件，以及一次性或即用型喂养奶嘴。</w:t>
      </w:r>
      <w:r>
        <w:rPr>
          <w:rFonts w:hint="default" w:ascii="宋体" w:hAnsi="宋体" w:eastAsia="宋体" w:cs="宋体"/>
          <w:b w:val="0"/>
          <w:bCs w:val="0"/>
          <w:kern w:val="2"/>
          <w:sz w:val="21"/>
          <w:szCs w:val="21"/>
          <w:lang w:val="en-US" w:eastAsia="zh-CN" w:bidi="ar-SA"/>
        </w:rPr>
        <w:fldChar w:fldCharType="begin"/>
      </w:r>
      <w:r>
        <w:rPr>
          <w:rFonts w:hint="default" w:ascii="宋体" w:hAnsi="宋体" w:eastAsia="宋体" w:cs="宋体"/>
          <w:b w:val="0"/>
          <w:bCs w:val="0"/>
          <w:kern w:val="2"/>
          <w:sz w:val="21"/>
          <w:szCs w:val="21"/>
          <w:lang w:val="en-US" w:eastAsia="zh-CN" w:bidi="ar-SA"/>
        </w:rPr>
        <w:instrText xml:space="preserve"> HYPERLINK "https://standards.cen.eu/dyn/www/f?p=CENWEB:110:0::::FSP_ORG_ID,FSP_PROJECT:6233,66159&amp;cs=1D093CE7490E8A55EB8FAB2610A6FB4BC" \t "https://www.sgsonline.com.cn/case/article/_blank" </w:instrText>
      </w:r>
      <w:r>
        <w:rPr>
          <w:rFonts w:hint="default" w:ascii="宋体" w:hAnsi="宋体" w:eastAsia="宋体" w:cs="宋体"/>
          <w:b w:val="0"/>
          <w:bCs w:val="0"/>
          <w:kern w:val="2"/>
          <w:sz w:val="21"/>
          <w:szCs w:val="21"/>
          <w:lang w:val="en-US" w:eastAsia="zh-CN" w:bidi="ar-SA"/>
        </w:rPr>
        <w:fldChar w:fldCharType="separate"/>
      </w:r>
      <w:r>
        <w:rPr>
          <w:rFonts w:hint="default" w:ascii="宋体" w:hAnsi="宋体" w:eastAsia="宋体" w:cs="宋体"/>
          <w:b w:val="0"/>
          <w:bCs w:val="0"/>
          <w:kern w:val="2"/>
          <w:sz w:val="21"/>
          <w:szCs w:val="21"/>
          <w:lang w:val="en-US" w:eastAsia="zh-CN" w:bidi="ar-SA"/>
        </w:rPr>
        <w:t>EN 14350:2020</w:t>
      </w:r>
      <w:r>
        <w:rPr>
          <w:rFonts w:hint="default" w:ascii="宋体" w:hAnsi="宋体" w:eastAsia="宋体" w:cs="宋体"/>
          <w:b w:val="0"/>
          <w:bCs w:val="0"/>
          <w:kern w:val="2"/>
          <w:sz w:val="21"/>
          <w:szCs w:val="21"/>
          <w:lang w:val="en-US" w:eastAsia="zh-CN" w:bidi="ar-SA"/>
        </w:rPr>
        <w:fldChar w:fldCharType="end"/>
      </w:r>
      <w:r>
        <w:rPr>
          <w:rFonts w:hint="eastAsia" w:ascii="宋体" w:hAnsi="宋体" w:cs="宋体"/>
          <w:b w:val="0"/>
          <w:bCs w:val="0"/>
          <w:kern w:val="2"/>
          <w:sz w:val="21"/>
          <w:szCs w:val="21"/>
          <w:lang w:val="en-US" w:eastAsia="zh-CN" w:bidi="ar-SA"/>
        </w:rPr>
        <w:t>对奶嘴的机械物理，化学等方面做出规定之外，还要求食品接触材料满足欧盟相关食品接触材料的规定。</w:t>
      </w:r>
      <w:r>
        <w:rPr>
          <w:rFonts w:hint="eastAsia" w:ascii="宋体" w:hAnsi="宋体" w:eastAsia="宋体" w:cs="宋体"/>
          <w:b w:val="0"/>
          <w:bCs w:val="0"/>
          <w:kern w:val="2"/>
          <w:sz w:val="21"/>
          <w:szCs w:val="21"/>
          <w:lang w:val="en-US" w:eastAsia="zh-CN" w:bidi="ar-SA"/>
        </w:rPr>
        <w:t>欧盟食品接触材料的框架要求1935/2004/EC《欧洲议会和理事会关于拟与食品接触的材料和制品和废除指令80/590/EEC和89/109/EEC的法规》。在欧盟内，FCM 由欧洲食品安全局（EFSA）进行评估，但没有涵盖所有 FCM 的单一法规。欧盟确实有统一的法律框架，即第 1935/2004 号法规（EC），其中规定了食品接触材料的良好生产规范（GMP）、安全性和惰性的一般原则，但这还不是全部。不同形式的 FCM 和特定物质还受到其自身统一法规的管辖，例如：指令 93/11/EEC – 弹性体或橡胶奶嘴和安抚奶嘴中释放 N-亚硝胺和 N-亚硝基物质</w:t>
      </w:r>
      <w:r>
        <w:rPr>
          <w:rFonts w:hint="eastAsia" w:ascii="宋体" w:hAnsi="宋体" w:cs="宋体"/>
          <w:b w:val="0"/>
          <w:bCs w:val="0"/>
          <w:kern w:val="2"/>
          <w:sz w:val="21"/>
          <w:szCs w:val="21"/>
          <w:lang w:val="en-US" w:eastAsia="zh-CN" w:bidi="ar-SA"/>
        </w:rPr>
        <w:t>。</w:t>
      </w:r>
    </w:p>
    <w:p w14:paraId="01D8D284">
      <w:pPr>
        <w:numPr>
          <w:ilvl w:val="0"/>
          <w:numId w:val="1"/>
        </w:numPr>
        <w:tabs>
          <w:tab w:val="left" w:pos="420"/>
        </w:tabs>
        <w:spacing w:line="360" w:lineRule="auto"/>
        <w:rPr>
          <w:rFonts w:hint="eastAsia" w:ascii="宋体" w:hAnsi="宋体" w:cs="宋体"/>
          <w:b/>
          <w:bCs/>
          <w:szCs w:val="21"/>
          <w:highlight w:val="none"/>
        </w:rPr>
      </w:pP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国内检测方法：</w:t>
      </w:r>
    </w:p>
    <w:p w14:paraId="65088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总迁移量：</w:t>
      </w:r>
      <w:r>
        <w:rPr>
          <w:rFonts w:hint="default" w:ascii="宋体" w:hAnsi="宋体" w:eastAsia="宋体" w:cs="宋体"/>
          <w:b w:val="0"/>
          <w:bCs w:val="0"/>
          <w:kern w:val="2"/>
          <w:sz w:val="21"/>
          <w:szCs w:val="21"/>
          <w:lang w:val="en-US" w:eastAsia="zh-CN" w:bidi="ar-SA"/>
        </w:rPr>
        <w:t>GB 31604.8-2021</w:t>
      </w:r>
      <w:r>
        <w:rPr>
          <w:rFonts w:hint="eastAsia" w:ascii="宋体" w:hAnsi="宋体" w:eastAsia="宋体" w:cs="宋体"/>
          <w:b w:val="0"/>
          <w:bCs w:val="0"/>
          <w:kern w:val="2"/>
          <w:sz w:val="21"/>
          <w:szCs w:val="21"/>
          <w:lang w:val="en-US" w:eastAsia="zh-CN" w:bidi="ar-SA"/>
        </w:rPr>
        <w:t xml:space="preserve"> 《食品安全国家标准 食品接触材料及制品 总迁移量的测定》</w:t>
      </w:r>
    </w:p>
    <w:p w14:paraId="7FA48C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挥发性物质</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GB 28482-2012</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婴幼儿安抚奶嘴安全要求</w:t>
      </w:r>
      <w:r>
        <w:rPr>
          <w:rFonts w:hint="eastAsia" w:ascii="宋体" w:hAnsi="宋体" w:eastAsia="宋体" w:cs="宋体"/>
          <w:b w:val="0"/>
          <w:bCs w:val="0"/>
          <w:kern w:val="2"/>
          <w:sz w:val="21"/>
          <w:szCs w:val="21"/>
          <w:lang w:val="en-US" w:eastAsia="zh-CN" w:bidi="ar-SA"/>
        </w:rPr>
        <w:t>》</w:t>
      </w:r>
    </w:p>
    <w:p w14:paraId="04A466B4">
      <w:pPr>
        <w:adjustRightInd w:val="0"/>
        <w:snapToGrid w:val="0"/>
        <w:ind w:firstLine="420" w:firstLineChars="200"/>
        <w:jc w:val="both"/>
        <w:rPr>
          <w:rFonts w:hint="eastAsia" w:ascii="宋体" w:hAnsi="宋体" w:cs="宋体"/>
          <w:szCs w:val="21"/>
        </w:rPr>
      </w:pPr>
    </w:p>
    <w:p w14:paraId="09B65CD8">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国外检测方法(欧盟)：</w:t>
      </w:r>
    </w:p>
    <w:p w14:paraId="35A54DDF">
      <w:pPr>
        <w:tabs>
          <w:tab w:val="left" w:pos="420"/>
        </w:tabs>
        <w:spacing w:line="360" w:lineRule="auto"/>
        <w:ind w:left="630" w:leftChars="200" w:hanging="210" w:hangingChars="100"/>
        <w:rPr>
          <w:rFonts w:hint="eastAsia" w:ascii="宋体" w:hAnsi="宋体" w:cs="宋体"/>
          <w:szCs w:val="21"/>
        </w:rPr>
      </w:pPr>
      <w:bookmarkStart w:id="0" w:name="_Toc9074"/>
      <w:r>
        <w:rPr>
          <w:rFonts w:hint="eastAsia" w:ascii="宋体" w:hAnsi="宋体" w:cs="宋体"/>
          <w:szCs w:val="21"/>
          <w:lang w:val="en-US" w:eastAsia="zh-CN"/>
        </w:rPr>
        <w:t>全面迁移：</w:t>
      </w:r>
      <w:r>
        <w:rPr>
          <w:rFonts w:hint="eastAsia" w:ascii="宋体" w:hAnsi="宋体" w:cs="宋体"/>
          <w:szCs w:val="21"/>
        </w:rPr>
        <w:t>EN 1186-3:2022</w:t>
      </w:r>
      <w:r>
        <w:rPr>
          <w:rFonts w:hint="eastAsia" w:ascii="宋体" w:hAnsi="宋体" w:cs="宋体"/>
          <w:szCs w:val="21"/>
          <w:lang w:val="en-US" w:eastAsia="zh-CN"/>
        </w:rPr>
        <w:t xml:space="preserve"> </w:t>
      </w:r>
      <w:r>
        <w:rPr>
          <w:rFonts w:hint="eastAsia" w:ascii="宋体" w:hAnsi="宋体" w:cs="宋体"/>
          <w:szCs w:val="21"/>
        </w:rPr>
        <w:t>Materials and articles in contact with foodstuffs Plastics - Part 3: Test methods for overall migration in evaporable simulants</w:t>
      </w:r>
    </w:p>
    <w:p w14:paraId="27782B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PAHS含量：AfPS GS 2019：01 PAK</w:t>
      </w:r>
    </w:p>
    <w:p w14:paraId="3C946E85">
      <w:pPr>
        <w:tabs>
          <w:tab w:val="left" w:pos="420"/>
        </w:tabs>
        <w:spacing w:line="360" w:lineRule="auto"/>
        <w:ind w:left="630" w:leftChars="200" w:hanging="210" w:hangingChars="100"/>
        <w:rPr>
          <w:rFonts w:hint="eastAsia" w:ascii="宋体" w:hAnsi="宋体" w:cs="宋体"/>
          <w:szCs w:val="21"/>
        </w:rPr>
      </w:pPr>
      <w:r>
        <w:rPr>
          <w:rFonts w:hint="eastAsia" w:ascii="宋体" w:hAnsi="宋体" w:cs="宋体"/>
          <w:szCs w:val="21"/>
        </w:rPr>
        <w:t>过氧化物残留</w:t>
      </w:r>
      <w:r>
        <w:rPr>
          <w:rFonts w:hint="eastAsia" w:ascii="宋体" w:hAnsi="宋体" w:cs="宋体"/>
          <w:szCs w:val="21"/>
          <w:lang w:val="en-US" w:eastAsia="zh-CN"/>
        </w:rPr>
        <w:t>量：</w:t>
      </w:r>
      <w:r>
        <w:rPr>
          <w:rFonts w:hint="eastAsia" w:ascii="宋体" w:hAnsi="宋体" w:cs="宋体"/>
          <w:color w:val="191919"/>
          <w:szCs w:val="21"/>
          <w:shd w:val="clear" w:color="auto" w:fill="FFFFFF"/>
        </w:rPr>
        <w:t>58th  Communication on testing of plastics in Bundesgesundheitsbl. 40 (1997) 412</w:t>
      </w:r>
    </w:p>
    <w:p w14:paraId="3DB9D088">
      <w:pPr>
        <w:spacing w:line="360" w:lineRule="auto"/>
        <w:rPr>
          <w:b/>
          <w:bCs/>
        </w:rPr>
      </w:pPr>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38BB5471">
      <w:pPr>
        <w:spacing w:line="360" w:lineRule="auto"/>
        <w:ind w:firstLine="420" w:firstLineChars="200"/>
        <w:rPr>
          <w:rFonts w:ascii="宋体" w:hAnsi="宋体" w:cs="宋体"/>
          <w:color w:val="000000"/>
          <w:szCs w:val="21"/>
        </w:rPr>
      </w:pPr>
      <w:r>
        <w:rPr>
          <w:rFonts w:hint="eastAsia" w:ascii="宋体" w:hAnsi="宋体" w:cs="宋体"/>
          <w:color w:val="000000"/>
          <w:szCs w:val="21"/>
        </w:rPr>
        <w:t>本次监测的产品为对</w:t>
      </w:r>
      <w:r>
        <w:rPr>
          <w:rFonts w:hint="eastAsia" w:ascii="宋体" w:hAnsi="宋体" w:cs="宋体"/>
          <w:color w:val="000000"/>
          <w:szCs w:val="21"/>
          <w:lang w:val="en-US" w:eastAsia="zh-CN"/>
        </w:rPr>
        <w:t>婴幼儿</w:t>
      </w:r>
      <w:r>
        <w:rPr>
          <w:rFonts w:hint="eastAsia" w:ascii="宋体" w:hAnsi="宋体" w:cs="宋体"/>
          <w:color w:val="000000"/>
          <w:szCs w:val="21"/>
          <w:lang w:eastAsia="zh-CN"/>
        </w:rPr>
        <w:t>奶嘴</w:t>
      </w:r>
      <w:r>
        <w:rPr>
          <w:rFonts w:hint="eastAsia" w:ascii="宋体" w:hAnsi="宋体" w:cs="宋体"/>
          <w:color w:val="000000"/>
          <w:szCs w:val="21"/>
        </w:rPr>
        <w:t>产品，典型的产品图片如下图。</w:t>
      </w:r>
    </w:p>
    <w:p w14:paraId="05A3404E">
      <w:pPr>
        <w:pStyle w:val="9"/>
        <w:rPr>
          <w:sz w:val="21"/>
          <w:szCs w:val="21"/>
          <w:lang w:val="en-US"/>
        </w:rPr>
      </w:pPr>
      <w:r>
        <w:rPr>
          <w:rFonts w:hint="eastAsia"/>
          <w:sz w:val="21"/>
          <w:szCs w:val="21"/>
        </w:rPr>
        <w:t xml:space="preserve"> </w:t>
      </w:r>
      <w:r>
        <w:drawing>
          <wp:inline distT="0" distB="0" distL="114300" distR="114300">
            <wp:extent cx="2495550" cy="23615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495550" cy="2361565"/>
                    </a:xfrm>
                    <a:prstGeom prst="rect">
                      <a:avLst/>
                    </a:prstGeom>
                    <a:noFill/>
                    <a:ln>
                      <a:noFill/>
                    </a:ln>
                  </pic:spPr>
                </pic:pic>
              </a:graphicData>
            </a:graphic>
          </wp:inline>
        </w:drawing>
      </w:r>
    </w:p>
    <w:p w14:paraId="62E6AE3A">
      <w:pPr>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color w:val="000000"/>
          <w:szCs w:val="21"/>
          <w:lang w:val="en-US" w:eastAsia="zh-CN"/>
        </w:rPr>
        <w:t>婴幼儿</w:t>
      </w:r>
      <w:r>
        <w:rPr>
          <w:rFonts w:hint="eastAsia" w:ascii="宋体" w:hAnsi="宋体" w:cs="宋体"/>
          <w:color w:val="000000"/>
          <w:szCs w:val="21"/>
          <w:lang w:eastAsia="zh-CN"/>
        </w:rPr>
        <w:t>奶嘴</w:t>
      </w:r>
      <w:r>
        <w:rPr>
          <w:rFonts w:hint="eastAsia" w:ascii="宋体" w:hAnsi="宋体" w:cs="宋体"/>
          <w:color w:val="000000"/>
          <w:szCs w:val="21"/>
        </w:rPr>
        <w:t>样品数量为</w:t>
      </w:r>
      <w:r>
        <w:rPr>
          <w:rFonts w:hint="eastAsia" w:ascii="宋体" w:hAnsi="宋体" w:cs="宋体"/>
          <w:color w:val="000000"/>
          <w:szCs w:val="21"/>
          <w:lang w:val="en-US" w:eastAsia="zh-CN"/>
        </w:rPr>
        <w:t>5</w:t>
      </w:r>
      <w:r>
        <w:rPr>
          <w:rFonts w:hint="eastAsia" w:ascii="宋体" w:hAnsi="宋体" w:cs="宋体"/>
          <w:color w:val="000000"/>
          <w:szCs w:val="21"/>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color w:val="000000"/>
          <w:szCs w:val="21"/>
          <w:lang w:val="en-US" w:eastAsia="zh-CN"/>
        </w:rPr>
        <w:t>婴幼儿</w:t>
      </w:r>
      <w:r>
        <w:rPr>
          <w:rFonts w:hint="eastAsia" w:ascii="宋体" w:hAnsi="宋体" w:cs="宋体"/>
          <w:color w:val="000000"/>
          <w:szCs w:val="21"/>
          <w:lang w:eastAsia="zh-CN"/>
        </w:rPr>
        <w:t>奶嘴</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2B1D576B">
      <w:pPr>
        <w:spacing w:line="360" w:lineRule="auto"/>
        <w:ind w:firstLine="420" w:firstLineChars="200"/>
        <w:rPr>
          <w:rFonts w:hint="eastAsia" w:ascii="宋体" w:hAnsi="宋体" w:cs="宋体"/>
          <w:szCs w:val="21"/>
        </w:rPr>
      </w:pPr>
      <w:r>
        <w:rPr>
          <w:rFonts w:hint="eastAsia" w:ascii="宋体" w:hAnsi="宋体" w:cs="宋体"/>
          <w:szCs w:val="21"/>
        </w:rPr>
        <w:t>（2）抽样型号或规格：抽样基数满足抽样数量即可，样品应为同一生产企业、同一标准生产、同一商标、同一规格型号的产品。每批次产品抽取</w:t>
      </w:r>
      <w:bookmarkStart w:id="7" w:name="_GoBack"/>
      <w:r>
        <w:rPr>
          <w:rFonts w:hint="eastAsia" w:ascii="宋体" w:hAnsi="宋体" w:cs="宋体"/>
          <w:szCs w:val="21"/>
          <w:highlight w:val="none"/>
        </w:rPr>
        <w:t>样品</w:t>
      </w:r>
      <w:r>
        <w:rPr>
          <w:rFonts w:hint="eastAsia" w:ascii="宋体" w:hAnsi="宋体" w:cs="宋体"/>
          <w:szCs w:val="21"/>
          <w:highlight w:val="none"/>
          <w:lang w:val="en-US" w:eastAsia="zh-CN"/>
        </w:rPr>
        <w:t>13</w:t>
      </w:r>
      <w:r>
        <w:rPr>
          <w:rFonts w:hint="eastAsia" w:ascii="宋体" w:hAnsi="宋体" w:cs="宋体"/>
          <w:szCs w:val="21"/>
          <w:highlight w:val="none"/>
        </w:rPr>
        <w:t>个</w:t>
      </w:r>
      <w:r>
        <w:rPr>
          <w:rFonts w:hint="eastAsia" w:ascii="宋体" w:hAnsi="宋体" w:cs="宋体"/>
          <w:szCs w:val="21"/>
          <w:highlight w:val="none"/>
          <w:lang w:eastAsia="zh-CN"/>
        </w:rPr>
        <w:t>（</w:t>
      </w:r>
      <w:r>
        <w:rPr>
          <w:rFonts w:hint="eastAsia" w:ascii="宋体" w:hAnsi="宋体" w:cs="宋体"/>
          <w:szCs w:val="21"/>
          <w:highlight w:val="none"/>
          <w:lang w:val="en-US" w:eastAsia="zh-CN"/>
        </w:rPr>
        <w:t>针对较小奶嘴</w:t>
      </w:r>
      <w:r>
        <w:rPr>
          <w:rFonts w:hint="eastAsia" w:ascii="宋体" w:hAnsi="宋体" w:cs="宋体"/>
          <w:szCs w:val="21"/>
          <w:highlight w:val="none"/>
          <w:lang w:eastAsia="zh-CN"/>
        </w:rPr>
        <w:t>）</w:t>
      </w:r>
      <w:r>
        <w:rPr>
          <w:rFonts w:hint="eastAsia" w:ascii="宋体" w:hAnsi="宋体" w:cs="宋体"/>
          <w:szCs w:val="21"/>
          <w:highlight w:val="none"/>
          <w:lang w:val="en-US" w:eastAsia="zh-CN"/>
        </w:rPr>
        <w:t>/22</w:t>
      </w:r>
      <w:bookmarkEnd w:id="7"/>
      <w:r>
        <w:rPr>
          <w:rFonts w:hint="eastAsia" w:ascii="宋体" w:hAnsi="宋体" w:cs="宋体"/>
          <w:szCs w:val="21"/>
          <w:lang w:val="en-US" w:eastAsia="zh-CN"/>
        </w:rPr>
        <w:t>个（针对较大奶嘴）</w:t>
      </w:r>
      <w:r>
        <w:rPr>
          <w:rFonts w:hint="eastAsia" w:ascii="宋体" w:hAnsi="宋体" w:cs="宋体"/>
          <w:szCs w:val="21"/>
        </w:rPr>
        <w:t>。</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hint="eastAsia" w:ascii="宋体" w:hAnsi="宋体" w:cs="宋体"/>
          <w:szCs w:val="21"/>
        </w:rPr>
      </w:pPr>
      <w:r>
        <w:rPr>
          <w:rFonts w:hint="eastAsia" w:ascii="宋体" w:hAnsi="宋体" w:cs="宋体"/>
          <w:szCs w:val="21"/>
        </w:rPr>
        <w:t>表1   检验项目</w:t>
      </w:r>
    </w:p>
    <w:tbl>
      <w:tblPr>
        <w:tblStyle w:val="1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559"/>
        <w:gridCol w:w="1560"/>
        <w:gridCol w:w="2693"/>
        <w:gridCol w:w="1843"/>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417"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3119" w:type="dxa"/>
            <w:gridSpan w:val="2"/>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2693"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1843"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621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8" w:type="dxa"/>
            <w:vAlign w:val="center"/>
          </w:tcPr>
          <w:p w14:paraId="24D2298D">
            <w:pPr>
              <w:jc w:val="center"/>
              <w:rPr>
                <w:rFonts w:hint="eastAsia" w:ascii="宋体" w:hAnsi="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p w14:paraId="5FA8C3A4">
            <w:pPr>
              <w:jc w:val="both"/>
              <w:rPr>
                <w:rFonts w:hint="eastAsia" w:ascii="宋体" w:hAnsi="宋体" w:eastAsia="宋体" w:cs="宋体"/>
                <w:color w:val="191919"/>
                <w:szCs w:val="21"/>
                <w:shd w:val="clear" w:color="auto" w:fill="FFFFFF"/>
                <w:lang w:val="en-US" w:eastAsia="zh-CN"/>
              </w:rPr>
            </w:pPr>
          </w:p>
        </w:tc>
        <w:tc>
          <w:tcPr>
            <w:tcW w:w="1417" w:type="dxa"/>
            <w:vMerge w:val="restart"/>
            <w:vAlign w:val="center"/>
          </w:tcPr>
          <w:p w14:paraId="2D90D3B3">
            <w:pPr>
              <w:jc w:val="left"/>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奶嘴</w:t>
            </w:r>
          </w:p>
        </w:tc>
        <w:tc>
          <w:tcPr>
            <w:tcW w:w="1559" w:type="dxa"/>
            <w:vMerge w:val="restart"/>
            <w:vAlign w:val="center"/>
          </w:tcPr>
          <w:p w14:paraId="28164CD3">
            <w:pPr>
              <w:jc w:val="center"/>
              <w:rPr>
                <w:rFonts w:ascii="宋体" w:hAnsi="宋体" w:cs="宋体"/>
                <w:color w:val="191919"/>
                <w:szCs w:val="21"/>
                <w:shd w:val="clear" w:color="auto" w:fill="FFFFFF"/>
              </w:rPr>
            </w:pPr>
            <w:r>
              <w:rPr>
                <w:szCs w:val="21"/>
              </w:rPr>
              <w:t>总迁移量</w:t>
            </w:r>
          </w:p>
        </w:tc>
        <w:tc>
          <w:tcPr>
            <w:tcW w:w="1560" w:type="dxa"/>
            <w:vAlign w:val="center"/>
          </w:tcPr>
          <w:p w14:paraId="3A0B98F7">
            <w:pPr>
              <w:jc w:val="center"/>
              <w:rPr>
                <w:szCs w:val="21"/>
              </w:rPr>
            </w:pPr>
            <w:r>
              <w:rPr>
                <w:szCs w:val="21"/>
              </w:rPr>
              <w:t>4%(体积分数)乙酸，40</w:t>
            </w:r>
            <w:r>
              <w:rPr>
                <w:rFonts w:hAnsi="宋体"/>
                <w:szCs w:val="21"/>
              </w:rPr>
              <w:t>℃</w:t>
            </w:r>
            <w:r>
              <w:rPr>
                <w:szCs w:val="21"/>
              </w:rPr>
              <w:t>，24h</w:t>
            </w:r>
          </w:p>
        </w:tc>
        <w:tc>
          <w:tcPr>
            <w:tcW w:w="2693" w:type="dxa"/>
            <w:vMerge w:val="restart"/>
            <w:vAlign w:val="center"/>
          </w:tcPr>
          <w:p w14:paraId="6E178FB9">
            <w:pPr>
              <w:jc w:val="center"/>
              <w:rPr>
                <w:rFonts w:ascii="宋体" w:hAnsi="宋体" w:cs="宋体"/>
                <w:color w:val="191919"/>
                <w:szCs w:val="21"/>
                <w:shd w:val="clear" w:color="auto" w:fill="FFFFFF"/>
              </w:rPr>
            </w:pPr>
            <w:r>
              <w:rPr>
                <w:szCs w:val="21"/>
              </w:rPr>
              <w:t>GB 4806.2-2015</w:t>
            </w:r>
          </w:p>
        </w:tc>
        <w:tc>
          <w:tcPr>
            <w:tcW w:w="1843" w:type="dxa"/>
            <w:vMerge w:val="restart"/>
            <w:vAlign w:val="center"/>
          </w:tcPr>
          <w:p w14:paraId="38627C36">
            <w:pPr>
              <w:jc w:val="center"/>
              <w:rPr>
                <w:rFonts w:ascii="宋体" w:hAnsi="宋体" w:cs="宋体"/>
                <w:color w:val="191919"/>
                <w:szCs w:val="21"/>
                <w:shd w:val="clear" w:color="auto" w:fill="FFFFFF"/>
              </w:rPr>
            </w:pPr>
            <w:r>
              <w:rPr>
                <w:szCs w:val="21"/>
              </w:rPr>
              <w:t>GB 31604.8-2021</w:t>
            </w:r>
          </w:p>
        </w:tc>
      </w:tr>
      <w:tr w14:paraId="46AD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59ACB0D4">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417" w:type="dxa"/>
            <w:vMerge w:val="continue"/>
            <w:vAlign w:val="center"/>
          </w:tcPr>
          <w:p w14:paraId="51088BC8">
            <w:pPr>
              <w:jc w:val="left"/>
              <w:rPr>
                <w:rFonts w:ascii="宋体" w:hAnsi="宋体" w:cs="宋体"/>
                <w:color w:val="191919"/>
                <w:szCs w:val="21"/>
                <w:shd w:val="clear" w:color="auto" w:fill="FFFFFF"/>
              </w:rPr>
            </w:pPr>
          </w:p>
        </w:tc>
        <w:tc>
          <w:tcPr>
            <w:tcW w:w="1559" w:type="dxa"/>
            <w:vMerge w:val="continue"/>
            <w:vAlign w:val="center"/>
          </w:tcPr>
          <w:p w14:paraId="7A22704D">
            <w:pPr>
              <w:jc w:val="center"/>
              <w:rPr>
                <w:rFonts w:ascii="宋体" w:hAnsi="宋体" w:cs="宋体"/>
                <w:color w:val="191919"/>
                <w:szCs w:val="21"/>
                <w:shd w:val="clear" w:color="auto" w:fill="FFFFFF"/>
              </w:rPr>
            </w:pPr>
          </w:p>
        </w:tc>
        <w:tc>
          <w:tcPr>
            <w:tcW w:w="1560" w:type="dxa"/>
            <w:vAlign w:val="center"/>
          </w:tcPr>
          <w:p w14:paraId="15089FE7">
            <w:pPr>
              <w:jc w:val="center"/>
              <w:rPr>
                <w:szCs w:val="21"/>
              </w:rPr>
            </w:pPr>
            <w:r>
              <w:rPr>
                <w:szCs w:val="21"/>
              </w:rPr>
              <w:t>50%(体积分数)乙醇，40</w:t>
            </w:r>
            <w:r>
              <w:rPr>
                <w:rFonts w:hAnsi="宋体"/>
                <w:szCs w:val="21"/>
              </w:rPr>
              <w:t>℃</w:t>
            </w:r>
            <w:r>
              <w:rPr>
                <w:szCs w:val="21"/>
              </w:rPr>
              <w:t>，24h</w:t>
            </w:r>
          </w:p>
        </w:tc>
        <w:tc>
          <w:tcPr>
            <w:tcW w:w="2693" w:type="dxa"/>
            <w:vMerge w:val="continue"/>
          </w:tcPr>
          <w:p w14:paraId="163B4591">
            <w:pPr>
              <w:jc w:val="left"/>
              <w:rPr>
                <w:rFonts w:ascii="宋体" w:hAnsi="宋体" w:cs="宋体"/>
                <w:color w:val="191919"/>
                <w:szCs w:val="21"/>
                <w:shd w:val="clear" w:color="auto" w:fill="FFFFFF"/>
              </w:rPr>
            </w:pPr>
          </w:p>
        </w:tc>
        <w:tc>
          <w:tcPr>
            <w:tcW w:w="1843" w:type="dxa"/>
            <w:vMerge w:val="continue"/>
          </w:tcPr>
          <w:p w14:paraId="7AE88E6F">
            <w:pPr>
              <w:jc w:val="left"/>
              <w:rPr>
                <w:rFonts w:ascii="宋体" w:hAnsi="宋体" w:cs="宋体"/>
                <w:color w:val="191919"/>
                <w:szCs w:val="21"/>
                <w:shd w:val="clear" w:color="auto" w:fill="FFFFFF"/>
              </w:rPr>
            </w:pP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417" w:type="dxa"/>
            <w:vMerge w:val="continue"/>
            <w:vAlign w:val="center"/>
          </w:tcPr>
          <w:p w14:paraId="322A61B6">
            <w:pPr>
              <w:jc w:val="left"/>
              <w:rPr>
                <w:rFonts w:ascii="宋体" w:hAnsi="宋体" w:cs="宋体"/>
                <w:color w:val="191919"/>
                <w:szCs w:val="21"/>
                <w:shd w:val="clear" w:color="auto" w:fill="FFFFFF"/>
              </w:rPr>
            </w:pPr>
          </w:p>
        </w:tc>
        <w:tc>
          <w:tcPr>
            <w:tcW w:w="3119" w:type="dxa"/>
            <w:gridSpan w:val="2"/>
            <w:shd w:val="clear" w:color="auto" w:fill="auto"/>
            <w:vAlign w:val="center"/>
          </w:tcPr>
          <w:p w14:paraId="66CA3135">
            <w:pPr>
              <w:jc w:val="left"/>
              <w:rPr>
                <w:rFonts w:ascii="宋体" w:hAnsi="宋体" w:eastAsia="宋体" w:cs="宋体"/>
                <w:color w:val="191919"/>
                <w:kern w:val="2"/>
                <w:sz w:val="21"/>
                <w:szCs w:val="21"/>
                <w:shd w:val="clear" w:color="auto" w:fill="FFFFFF"/>
                <w:lang w:val="en-US" w:eastAsia="zh-CN" w:bidi="ar-SA"/>
              </w:rPr>
            </w:pPr>
            <w:r>
              <w:rPr>
                <w:szCs w:val="21"/>
              </w:rPr>
              <w:t>挥发性物质</w:t>
            </w:r>
            <w:r>
              <w:rPr>
                <w:rFonts w:hint="eastAsia"/>
                <w:szCs w:val="21"/>
                <w:vertAlign w:val="superscript"/>
                <w:lang w:val="en-US" w:eastAsia="zh-CN"/>
              </w:rPr>
              <w:t>*</w:t>
            </w:r>
            <w:r>
              <w:rPr>
                <w:szCs w:val="21"/>
              </w:rPr>
              <w:t>/%(质量分数)</w:t>
            </w:r>
          </w:p>
        </w:tc>
        <w:tc>
          <w:tcPr>
            <w:tcW w:w="2693" w:type="dxa"/>
            <w:shd w:val="clear" w:color="auto" w:fill="auto"/>
            <w:vAlign w:val="top"/>
          </w:tcPr>
          <w:p w14:paraId="750085B0">
            <w:pPr>
              <w:jc w:val="center"/>
              <w:rPr>
                <w:rFonts w:ascii="宋体" w:hAnsi="宋体" w:eastAsia="宋体" w:cs="宋体"/>
                <w:color w:val="191919"/>
                <w:kern w:val="2"/>
                <w:sz w:val="21"/>
                <w:szCs w:val="21"/>
                <w:shd w:val="clear" w:color="auto" w:fill="FFFFFF"/>
                <w:lang w:val="en-US" w:eastAsia="zh-CN" w:bidi="ar-SA"/>
              </w:rPr>
            </w:pPr>
            <w:r>
              <w:rPr>
                <w:szCs w:val="21"/>
              </w:rPr>
              <w:t>GB 4806.2-2015</w:t>
            </w:r>
          </w:p>
        </w:tc>
        <w:tc>
          <w:tcPr>
            <w:tcW w:w="1843" w:type="dxa"/>
            <w:shd w:val="clear" w:color="auto" w:fill="auto"/>
            <w:vAlign w:val="top"/>
          </w:tcPr>
          <w:p w14:paraId="3015A5AD">
            <w:pPr>
              <w:jc w:val="left"/>
              <w:rPr>
                <w:rFonts w:ascii="宋体" w:hAnsi="宋体" w:eastAsia="宋体" w:cs="宋体"/>
                <w:color w:val="191919"/>
                <w:kern w:val="2"/>
                <w:sz w:val="21"/>
                <w:szCs w:val="21"/>
                <w:shd w:val="clear" w:color="auto" w:fill="FFFFFF"/>
                <w:lang w:val="en-US" w:eastAsia="zh-CN" w:bidi="ar-SA"/>
              </w:rPr>
            </w:pPr>
            <w:r>
              <w:rPr>
                <w:szCs w:val="21"/>
              </w:rPr>
              <w:t>GB 28482-2012</w:t>
            </w:r>
          </w:p>
        </w:tc>
      </w:tr>
      <w:tr w14:paraId="6B0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6D2CF86E">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417" w:type="dxa"/>
            <w:vMerge w:val="continue"/>
            <w:vAlign w:val="center"/>
          </w:tcPr>
          <w:p w14:paraId="71438ED7">
            <w:pPr>
              <w:jc w:val="left"/>
              <w:rPr>
                <w:rFonts w:ascii="宋体" w:hAnsi="宋体" w:cs="宋体"/>
                <w:color w:val="191919"/>
                <w:szCs w:val="21"/>
                <w:shd w:val="clear" w:color="auto" w:fill="FFFFFF"/>
              </w:rPr>
            </w:pPr>
          </w:p>
        </w:tc>
        <w:tc>
          <w:tcPr>
            <w:tcW w:w="3119" w:type="dxa"/>
            <w:gridSpan w:val="2"/>
            <w:vAlign w:val="center"/>
          </w:tcPr>
          <w:p w14:paraId="502C38D0">
            <w:pPr>
              <w:jc w:val="center"/>
              <w:rPr>
                <w:rFonts w:ascii="宋体" w:hAnsi="宋体" w:cs="宋体"/>
                <w:color w:val="191919"/>
                <w:szCs w:val="21"/>
                <w:shd w:val="clear" w:color="auto" w:fill="FFFFFF"/>
              </w:rPr>
            </w:pPr>
            <w:r>
              <w:rPr>
                <w:rFonts w:hint="eastAsia"/>
                <w:szCs w:val="21"/>
                <w:lang w:val="en-US" w:eastAsia="zh-CN"/>
              </w:rPr>
              <w:t>PAHS含量</w:t>
            </w:r>
          </w:p>
        </w:tc>
        <w:tc>
          <w:tcPr>
            <w:tcW w:w="2693" w:type="dxa"/>
            <w:vAlign w:val="top"/>
          </w:tcPr>
          <w:p w14:paraId="701585B0">
            <w:pPr>
              <w:jc w:val="center"/>
              <w:rPr>
                <w:rFonts w:ascii="宋体" w:hAnsi="宋体" w:cs="宋体"/>
                <w:color w:val="191919"/>
                <w:szCs w:val="21"/>
                <w:shd w:val="clear" w:color="auto" w:fill="FFFFFF"/>
              </w:rPr>
            </w:pPr>
            <w:r>
              <w:rPr>
                <w:rFonts w:hint="eastAsia"/>
                <w:szCs w:val="21"/>
                <w:lang w:val="en-US" w:eastAsia="zh-CN"/>
              </w:rPr>
              <w:t>德国GS</w:t>
            </w:r>
          </w:p>
        </w:tc>
        <w:tc>
          <w:tcPr>
            <w:tcW w:w="1843" w:type="dxa"/>
            <w:vAlign w:val="top"/>
          </w:tcPr>
          <w:p w14:paraId="04B691E6">
            <w:pPr>
              <w:jc w:val="left"/>
              <w:rPr>
                <w:rFonts w:ascii="宋体" w:hAnsi="宋体" w:cs="宋体"/>
                <w:color w:val="191919"/>
                <w:szCs w:val="21"/>
                <w:shd w:val="clear" w:color="auto" w:fill="FFFFFF"/>
              </w:rPr>
            </w:pPr>
            <w:r>
              <w:rPr>
                <w:rFonts w:hint="eastAsia" w:ascii="宋体" w:hAnsi="宋体" w:cs="宋体"/>
                <w:b w:val="0"/>
                <w:bCs w:val="0"/>
                <w:kern w:val="2"/>
                <w:sz w:val="21"/>
                <w:szCs w:val="21"/>
                <w:lang w:val="en-US" w:eastAsia="zh-CN" w:bidi="ar-SA"/>
              </w:rPr>
              <w:t>AfPS GS 2019：01 PAK</w:t>
            </w:r>
          </w:p>
        </w:tc>
      </w:tr>
      <w:tr w14:paraId="3DA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8FFDD8">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5</w:t>
            </w:r>
          </w:p>
        </w:tc>
        <w:tc>
          <w:tcPr>
            <w:tcW w:w="1417" w:type="dxa"/>
            <w:vMerge w:val="continue"/>
            <w:vAlign w:val="center"/>
          </w:tcPr>
          <w:p w14:paraId="120A2489">
            <w:pPr>
              <w:jc w:val="left"/>
              <w:rPr>
                <w:rFonts w:ascii="宋体" w:hAnsi="宋体" w:cs="宋体"/>
                <w:color w:val="191919"/>
                <w:szCs w:val="21"/>
                <w:shd w:val="clear" w:color="auto" w:fill="FFFFFF"/>
              </w:rPr>
            </w:pPr>
          </w:p>
        </w:tc>
        <w:tc>
          <w:tcPr>
            <w:tcW w:w="3119" w:type="dxa"/>
            <w:gridSpan w:val="2"/>
            <w:vAlign w:val="center"/>
          </w:tcPr>
          <w:p w14:paraId="05B9370D">
            <w:pPr>
              <w:adjustRightInd w:val="0"/>
              <w:snapToGrid w:val="0"/>
              <w:jc w:val="center"/>
              <w:rPr>
                <w:rFonts w:hint="eastAsia" w:ascii="宋体" w:hAnsi="宋体" w:eastAsia="宋体" w:cs="宋体"/>
                <w:color w:val="191919"/>
                <w:szCs w:val="21"/>
                <w:shd w:val="clear" w:color="auto" w:fill="FFFFFF"/>
                <w:lang w:val="en-US" w:eastAsia="zh-CN"/>
              </w:rPr>
            </w:pPr>
            <w:r>
              <w:rPr>
                <w:rFonts w:hint="eastAsia" w:ascii="宋体" w:hAnsi="宋体" w:cs="宋体"/>
                <w:szCs w:val="21"/>
              </w:rPr>
              <w:t>过氧化物残留</w:t>
            </w:r>
            <w:r>
              <w:rPr>
                <w:rFonts w:hint="eastAsia" w:ascii="宋体" w:hAnsi="宋体" w:cs="宋体"/>
                <w:szCs w:val="21"/>
                <w:lang w:val="en-US" w:eastAsia="zh-CN"/>
              </w:rPr>
              <w:t>量</w:t>
            </w:r>
            <w:r>
              <w:rPr>
                <w:rFonts w:hint="eastAsia"/>
                <w:szCs w:val="21"/>
                <w:vertAlign w:val="superscript"/>
                <w:lang w:val="en-US" w:eastAsia="zh-CN"/>
              </w:rPr>
              <w:t>*</w:t>
            </w:r>
          </w:p>
        </w:tc>
        <w:tc>
          <w:tcPr>
            <w:tcW w:w="2693" w:type="dxa"/>
            <w:vAlign w:val="center"/>
          </w:tcPr>
          <w:p w14:paraId="674CB75E">
            <w:pPr>
              <w:adjustRightInd w:val="0"/>
              <w:snapToGrid w:val="0"/>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LFGB</w:t>
            </w:r>
          </w:p>
        </w:tc>
        <w:tc>
          <w:tcPr>
            <w:tcW w:w="1843" w:type="dxa"/>
            <w:vAlign w:val="center"/>
          </w:tcPr>
          <w:p w14:paraId="109A8EBB">
            <w:pPr>
              <w:adjustRightInd w:val="0"/>
              <w:snapToGrid w:val="0"/>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58th  Communication on testing of plastics in Bundesgesundheitsbl. 40 (1997) 412</w:t>
            </w:r>
          </w:p>
        </w:tc>
      </w:tr>
      <w:tr w14:paraId="261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40" w:type="dxa"/>
            <w:gridSpan w:val="6"/>
            <w:vAlign w:val="center"/>
          </w:tcPr>
          <w:p w14:paraId="7F2B042B">
            <w:pPr>
              <w:jc w:val="left"/>
              <w:rPr>
                <w:rFonts w:hint="default" w:eastAsia="宋体"/>
                <w:szCs w:val="21"/>
                <w:lang w:val="en-US" w:eastAsia="zh-CN"/>
              </w:rPr>
            </w:pPr>
            <w:bookmarkStart w:id="3" w:name="_Toc12509"/>
            <w:r>
              <w:rPr>
                <w:rFonts w:hint="eastAsia"/>
                <w:szCs w:val="21"/>
                <w:lang w:val="en-US" w:eastAsia="zh-CN"/>
              </w:rPr>
              <w:t>*注：</w:t>
            </w:r>
            <w:r>
              <w:rPr>
                <w:szCs w:val="21"/>
              </w:rPr>
              <w:t>挥发性物质</w:t>
            </w:r>
            <w:r>
              <w:rPr>
                <w:rFonts w:hint="eastAsia"/>
                <w:szCs w:val="21"/>
                <w:vertAlign w:val="superscript"/>
                <w:lang w:val="en-US" w:eastAsia="zh-CN"/>
              </w:rPr>
              <w:t>*</w:t>
            </w:r>
            <w:r>
              <w:rPr>
                <w:szCs w:val="21"/>
              </w:rPr>
              <w:t>/%(质量分数)</w:t>
            </w:r>
            <w:r>
              <w:rPr>
                <w:rFonts w:hint="eastAsia"/>
                <w:szCs w:val="21"/>
                <w:lang w:val="en-US" w:eastAsia="zh-CN"/>
              </w:rPr>
              <w:t>及</w:t>
            </w:r>
            <w:r>
              <w:rPr>
                <w:rFonts w:hint="eastAsia" w:ascii="宋体" w:hAnsi="宋体" w:cs="宋体"/>
                <w:szCs w:val="21"/>
              </w:rPr>
              <w:t>过氧化物残留</w:t>
            </w:r>
            <w:r>
              <w:rPr>
                <w:rFonts w:hint="eastAsia" w:ascii="宋体" w:hAnsi="宋体" w:cs="宋体"/>
                <w:szCs w:val="21"/>
                <w:lang w:val="en-US" w:eastAsia="zh-CN"/>
              </w:rPr>
              <w:t>量</w:t>
            </w:r>
            <w:r>
              <w:rPr>
                <w:rFonts w:hint="eastAsia"/>
                <w:szCs w:val="21"/>
                <w:vertAlign w:val="superscript"/>
                <w:lang w:val="en-US" w:eastAsia="zh-CN"/>
              </w:rPr>
              <w:t>*</w:t>
            </w:r>
            <w:r>
              <w:rPr>
                <w:rFonts w:hint="eastAsia"/>
                <w:szCs w:val="21"/>
                <w:lang w:val="en-US" w:eastAsia="zh-CN"/>
              </w:rPr>
              <w:t>两个项目仅适用于硅橡胶奶嘴</w:t>
            </w:r>
          </w:p>
        </w:tc>
      </w:tr>
      <w:bookmarkEnd w:id="2"/>
    </w:tbl>
    <w:p w14:paraId="1B307997">
      <w:pPr>
        <w:spacing w:line="360" w:lineRule="auto"/>
        <w:ind w:firstLine="210" w:firstLineChars="100"/>
      </w:pPr>
      <w:r>
        <w:rPr>
          <w:rFonts w:hint="eastAsia"/>
        </w:rPr>
        <w:t>6.3、数据及分析方法</w:t>
      </w:r>
      <w:bookmarkEnd w:id="3"/>
    </w:p>
    <w:p w14:paraId="2DB555FF">
      <w:pPr>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rPr>
        <w:t>产品总迁移量、挥发性物质（仅适用于硅橡胶奶嘴），PAHS含量，过氧化物残留</w:t>
      </w:r>
      <w:r>
        <w:rPr>
          <w:rFonts w:hint="eastAsia" w:ascii="宋体" w:hAnsi="宋体" w:cs="宋体"/>
          <w:color w:val="191919"/>
          <w:szCs w:val="21"/>
          <w:shd w:val="clear" w:color="auto" w:fill="FFFFFF"/>
        </w:rPr>
        <w:t>项目</w:t>
      </w:r>
      <w:r>
        <w:rPr>
          <w:rFonts w:hint="eastAsia" w:ascii="宋体" w:hAnsi="宋体" w:cs="宋体"/>
          <w:szCs w:val="21"/>
        </w:rPr>
        <w:t>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4" w:name="_Toc17642"/>
      <w:r>
        <w:rPr>
          <w:rFonts w:hint="eastAsia"/>
        </w:rPr>
        <w:t>6.4、风险评估</w:t>
      </w:r>
      <w:bookmarkEnd w:id="4"/>
      <w:r>
        <w:rPr>
          <w:rFonts w:hint="eastAsia"/>
          <w:lang w:val="en-US" w:eastAsia="zh-CN"/>
        </w:rPr>
        <w:t>婴幼儿</w:t>
      </w:r>
      <w:r>
        <w:rPr>
          <w:rFonts w:hint="eastAsia"/>
          <w:lang w:eastAsia="zh-CN"/>
        </w:rPr>
        <w:t>奶嘴</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szCs w:val="21"/>
          <w:lang w:val="en-US" w:eastAsia="zh-CN"/>
        </w:rPr>
        <w:t>婴幼儿奶嘴</w:t>
      </w:r>
      <w:r>
        <w:rPr>
          <w:rFonts w:hint="eastAsia" w:ascii="宋体" w:hAnsi="宋体" w:cs="宋体"/>
          <w:szCs w:val="21"/>
        </w:rPr>
        <w:t>的特点，模拟现实使用场景及可预见的其他情况，对检测项目进行分析。具体分析方法考虑使用矩阵法及其他相对比较适用的方法，参考GB/T22760-20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9"/>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9"/>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9"/>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9"/>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9"/>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9"/>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9"/>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9"/>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9"/>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9"/>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9"/>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9"/>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9"/>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9"/>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9"/>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42428B51">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9"/>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9"/>
              <w:autoSpaceDE/>
              <w:autoSpaceDN/>
              <w:spacing w:after="0"/>
              <w:ind w:left="0" w:leftChars="0" w:firstLine="0" w:firstLineChars="0"/>
              <w:jc w:val="center"/>
              <w:rPr>
                <w:sz w:val="21"/>
                <w:szCs w:val="21"/>
                <w:highlight w:val="none"/>
              </w:rPr>
            </w:pPr>
            <w:r>
              <w:rPr>
                <w:rFonts w:hint="eastAsia"/>
                <w:sz w:val="21"/>
                <w:szCs w:val="21"/>
                <w:highlight w:val="none"/>
                <w:lang w:val="en-US"/>
              </w:rPr>
              <w:t>M</w:t>
            </w:r>
          </w:p>
        </w:tc>
        <w:tc>
          <w:tcPr>
            <w:tcW w:w="1620" w:type="dxa"/>
            <w:shd w:val="clear" w:color="auto" w:fill="auto"/>
            <w:vAlign w:val="center"/>
          </w:tcPr>
          <w:p w14:paraId="4F4E817A">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9"/>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FFFFFF" w:themeFill="background1"/>
            <w:vAlign w:val="center"/>
          </w:tcPr>
          <w:p w14:paraId="5B6CE1D7">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9"/>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9"/>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9"/>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9"/>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欧盟非食品消费品快速预警系统(RAPEX)</w:t>
      </w:r>
      <w:r>
        <w:rPr>
          <w:rFonts w:hint="eastAsia" w:ascii="宋体" w:hAnsi="宋体" w:cs="宋体"/>
          <w:szCs w:val="21"/>
        </w:rPr>
        <w:t>估计，预期结论为</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rPr>
        <w:t>产品</w:t>
      </w:r>
      <w:r>
        <w:rPr>
          <w:rFonts w:hint="eastAsia" w:ascii="宋体" w:hAnsi="宋体" w:cs="宋体"/>
          <w:szCs w:val="21"/>
          <w:lang w:eastAsia="zh-CN"/>
        </w:rPr>
        <w:t>奶嘴</w:t>
      </w:r>
      <w:r>
        <w:rPr>
          <w:rFonts w:hint="eastAsia" w:ascii="宋体" w:hAnsi="宋体" w:cs="宋体"/>
          <w:szCs w:val="21"/>
        </w:rPr>
        <w:t>产品总迁移量、挥发性物质（仅适用于硅橡胶奶嘴），PAHS含量，过氧化物残留</w:t>
      </w:r>
      <w:r>
        <w:rPr>
          <w:rFonts w:hint="eastAsia" w:ascii="宋体" w:hAnsi="宋体" w:cs="宋体"/>
          <w:color w:val="191919"/>
          <w:szCs w:val="21"/>
          <w:shd w:val="clear" w:color="auto" w:fill="FFFFFF"/>
        </w:rPr>
        <w:t>项目</w:t>
      </w:r>
      <w:r>
        <w:rPr>
          <w:rFonts w:hint="eastAsia" w:ascii="宋体" w:hAnsi="宋体" w:cs="宋体"/>
          <w:szCs w:val="21"/>
        </w:rPr>
        <w:t>的风险为中等。</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lang w:val="en-US" w:eastAsia="zh-CN"/>
        </w:rPr>
        <w:t>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rPr>
        <w:t xml:space="preserve">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szCs w:val="21"/>
          <w:lang w:val="en-US" w:eastAsia="zh-CN"/>
        </w:rPr>
        <w:t>婴幼儿</w:t>
      </w:r>
      <w:r>
        <w:rPr>
          <w:rFonts w:hint="eastAsia" w:ascii="宋体" w:hAnsi="宋体" w:cs="宋体"/>
          <w:szCs w:val="21"/>
          <w:lang w:eastAsia="zh-CN"/>
        </w:rPr>
        <w:t>奶嘴</w:t>
      </w:r>
      <w:r>
        <w:rPr>
          <w:rFonts w:hint="eastAsia" w:ascii="宋体" w:hAnsi="宋体" w:cs="宋体"/>
          <w:szCs w:val="21"/>
        </w:rPr>
        <w:t>对儿童健康的安全隐患，监管部门应加强对企业生产过程的监督检查力度，检查企业生产过程中是否使用过量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0"/>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76593C3C"/>
    <w:p w14:paraId="7B4843A5"/>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104E1B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1" w:fontKey="{D30FDB0E-9B2A-4AFB-8784-EA6B95CA47C1}"/>
  </w:font>
  <w:font w:name="仿宋">
    <w:panose1 w:val="02010609060101010101"/>
    <w:charset w:val="86"/>
    <w:family w:val="modern"/>
    <w:pitch w:val="default"/>
    <w:sig w:usb0="800002BF" w:usb1="38CF7CFA" w:usb2="00000016" w:usb3="00000000" w:csb0="00040001" w:csb1="00000000"/>
    <w:embedRegular r:id="rId2" w:fontKey="{9C999D6B-3629-457D-BE37-762A50568895}"/>
  </w:font>
  <w:font w:name="宋体-方正超大字符集">
    <w:altName w:val="宋体"/>
    <w:panose1 w:val="00000000000000000000"/>
    <w:charset w:val="86"/>
    <w:family w:val="script"/>
    <w:pitch w:val="default"/>
    <w:sig w:usb0="00000000" w:usb1="00000000" w:usb2="00000010" w:usb3="00000000" w:csb0="00040000" w:csb1="00000000"/>
    <w:embedRegular r:id="rId3" w:fontKey="{44366D69-CD52-4671-A19C-3C9644FD80A8}"/>
  </w:font>
  <w:font w:name="方正小标宋_GBK">
    <w:altName w:val="微软雅黑"/>
    <w:panose1 w:val="00000000000000000000"/>
    <w:charset w:val="86"/>
    <w:family w:val="auto"/>
    <w:pitch w:val="default"/>
    <w:sig w:usb0="00000000" w:usb1="00000000" w:usb2="00082016" w:usb3="00000000" w:csb0="00040001" w:csb1="00000000"/>
    <w:embedRegular r:id="rId4" w:fontKey="{D17178B1-CDB8-4B68-B0DC-A7D3EEFA6266}"/>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00BC4"/>
    <w:multiLevelType w:val="singleLevel"/>
    <w:tmpl w:val="71200BC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48D164A"/>
    <w:rsid w:val="067526A6"/>
    <w:rsid w:val="070D7412"/>
    <w:rsid w:val="072E208E"/>
    <w:rsid w:val="0732381D"/>
    <w:rsid w:val="08F204AC"/>
    <w:rsid w:val="09726106"/>
    <w:rsid w:val="0A0F696E"/>
    <w:rsid w:val="0B00275A"/>
    <w:rsid w:val="0B87417F"/>
    <w:rsid w:val="0C5F731F"/>
    <w:rsid w:val="0D141031"/>
    <w:rsid w:val="0D170316"/>
    <w:rsid w:val="0EB93339"/>
    <w:rsid w:val="0FD77F2D"/>
    <w:rsid w:val="117C77AF"/>
    <w:rsid w:val="12EF3A78"/>
    <w:rsid w:val="152E03E8"/>
    <w:rsid w:val="152F6116"/>
    <w:rsid w:val="16ED53B9"/>
    <w:rsid w:val="175E3CFD"/>
    <w:rsid w:val="180C6BE2"/>
    <w:rsid w:val="1902175D"/>
    <w:rsid w:val="1A676352"/>
    <w:rsid w:val="1A951111"/>
    <w:rsid w:val="1AB1581F"/>
    <w:rsid w:val="1B7A5039"/>
    <w:rsid w:val="1B836D49"/>
    <w:rsid w:val="1D282061"/>
    <w:rsid w:val="1DC51D0D"/>
    <w:rsid w:val="1F782A09"/>
    <w:rsid w:val="20414D4B"/>
    <w:rsid w:val="211A2527"/>
    <w:rsid w:val="213F05AF"/>
    <w:rsid w:val="221A4197"/>
    <w:rsid w:val="229121BE"/>
    <w:rsid w:val="23502079"/>
    <w:rsid w:val="250536CA"/>
    <w:rsid w:val="25485291"/>
    <w:rsid w:val="26613E87"/>
    <w:rsid w:val="27352268"/>
    <w:rsid w:val="2810627B"/>
    <w:rsid w:val="28892427"/>
    <w:rsid w:val="2B1851DD"/>
    <w:rsid w:val="2C163734"/>
    <w:rsid w:val="2D265975"/>
    <w:rsid w:val="2F782E84"/>
    <w:rsid w:val="30E84203"/>
    <w:rsid w:val="31514F84"/>
    <w:rsid w:val="33C0700F"/>
    <w:rsid w:val="34EF67E7"/>
    <w:rsid w:val="36EB04FF"/>
    <w:rsid w:val="370276D6"/>
    <w:rsid w:val="37B7401D"/>
    <w:rsid w:val="386B3079"/>
    <w:rsid w:val="38A85A4E"/>
    <w:rsid w:val="395C3C16"/>
    <w:rsid w:val="42D5315D"/>
    <w:rsid w:val="4320017F"/>
    <w:rsid w:val="46C75F3C"/>
    <w:rsid w:val="4D292E6F"/>
    <w:rsid w:val="4EB5358E"/>
    <w:rsid w:val="4FC35891"/>
    <w:rsid w:val="50302767"/>
    <w:rsid w:val="524953E7"/>
    <w:rsid w:val="52537039"/>
    <w:rsid w:val="539D6D46"/>
    <w:rsid w:val="565105AC"/>
    <w:rsid w:val="56D46BF8"/>
    <w:rsid w:val="575933F7"/>
    <w:rsid w:val="57E53B79"/>
    <w:rsid w:val="57F840A4"/>
    <w:rsid w:val="58A91308"/>
    <w:rsid w:val="5B7853B2"/>
    <w:rsid w:val="5BA67D81"/>
    <w:rsid w:val="5BD112A2"/>
    <w:rsid w:val="5CD526CC"/>
    <w:rsid w:val="5E993BCD"/>
    <w:rsid w:val="5E9F0DA8"/>
    <w:rsid w:val="5EC073AC"/>
    <w:rsid w:val="5F615B5E"/>
    <w:rsid w:val="60FB46CB"/>
    <w:rsid w:val="61A30FEA"/>
    <w:rsid w:val="623A1223"/>
    <w:rsid w:val="625378CF"/>
    <w:rsid w:val="62C728EC"/>
    <w:rsid w:val="63D26282"/>
    <w:rsid w:val="65643B4C"/>
    <w:rsid w:val="66B45A48"/>
    <w:rsid w:val="678114C7"/>
    <w:rsid w:val="68582403"/>
    <w:rsid w:val="6A42336B"/>
    <w:rsid w:val="6AA81C9B"/>
    <w:rsid w:val="6B563571"/>
    <w:rsid w:val="6BF6440D"/>
    <w:rsid w:val="6C67530A"/>
    <w:rsid w:val="6C6D0151"/>
    <w:rsid w:val="6D7955B3"/>
    <w:rsid w:val="6E7D140D"/>
    <w:rsid w:val="6F343F18"/>
    <w:rsid w:val="6FAA79E8"/>
    <w:rsid w:val="6FCF38F2"/>
    <w:rsid w:val="705A62D8"/>
    <w:rsid w:val="71431EA2"/>
    <w:rsid w:val="71444CF6"/>
    <w:rsid w:val="725E5BA2"/>
    <w:rsid w:val="72C810AD"/>
    <w:rsid w:val="72D45068"/>
    <w:rsid w:val="780F6F82"/>
    <w:rsid w:val="784C1F84"/>
    <w:rsid w:val="78583315"/>
    <w:rsid w:val="7A361E33"/>
    <w:rsid w:val="7A867D67"/>
    <w:rsid w:val="7AAD0B5B"/>
    <w:rsid w:val="7AAE1142"/>
    <w:rsid w:val="7B656EB9"/>
    <w:rsid w:val="7CFC042D"/>
    <w:rsid w:val="7D450D50"/>
    <w:rsid w:val="7DAA67D9"/>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3"/>
    <w:qFormat/>
    <w:uiPriority w:val="0"/>
    <w:pPr>
      <w:keepNext/>
      <w:keepLines/>
      <w:spacing w:line="360" w:lineRule="auto"/>
      <w:outlineLvl w:val="3"/>
    </w:pPr>
    <w:rPr>
      <w:rFonts w:ascii="Arial" w:hAnsi="Arial"/>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link w:val="19"/>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2">
    <w:name w:val="Strong"/>
    <w:basedOn w:val="11"/>
    <w:qFormat/>
    <w:uiPriority w:val="22"/>
    <w:rPr>
      <w:b/>
      <w:bCs/>
    </w:rPr>
  </w:style>
  <w:style w:type="character" w:customStyle="1" w:styleId="13">
    <w:name w:val="标题 4 字符"/>
    <w:basedOn w:val="11"/>
    <w:link w:val="4"/>
    <w:qFormat/>
    <w:uiPriority w:val="0"/>
    <w:rPr>
      <w:rFonts w:ascii="Arial" w:hAnsi="Arial" w:eastAsia="宋体" w:cs="Times New Roman"/>
      <w:b/>
      <w:sz w:val="28"/>
      <w:szCs w:val="24"/>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7">
    <w:name w:val="标题 3 字符"/>
    <w:basedOn w:val="11"/>
    <w:link w:val="3"/>
    <w:semiHidden/>
    <w:qFormat/>
    <w:uiPriority w:val="9"/>
    <w:rPr>
      <w:rFonts w:ascii="Times New Roman" w:hAnsi="Times New Roman" w:eastAsia="宋体" w:cs="Times New Roman"/>
      <w:b/>
      <w:bCs/>
      <w:sz w:val="32"/>
      <w:szCs w:val="32"/>
    </w:rPr>
  </w:style>
  <w:style w:type="character" w:customStyle="1" w:styleId="18">
    <w:name w:val="正文文本缩进 字符"/>
    <w:basedOn w:val="11"/>
    <w:link w:val="5"/>
    <w:semiHidden/>
    <w:qFormat/>
    <w:uiPriority w:val="99"/>
    <w:rPr>
      <w:rFonts w:ascii="Times New Roman" w:hAnsi="Times New Roman" w:eastAsia="宋体" w:cs="Times New Roman"/>
      <w:szCs w:val="24"/>
    </w:rPr>
  </w:style>
  <w:style w:type="character" w:customStyle="1" w:styleId="19">
    <w:name w:val="正文文本首行缩进 2 字符"/>
    <w:basedOn w:val="18"/>
    <w:link w:val="9"/>
    <w:qFormat/>
    <w:uiPriority w:val="99"/>
    <w:rPr>
      <w:rFonts w:ascii="宋体" w:hAnsi="宋体" w:eastAsia="宋体" w:cs="宋体"/>
      <w:kern w:val="0"/>
      <w:sz w:val="24"/>
      <w:szCs w:val="24"/>
      <w:lang w:val="zh-CN" w:bidi="zh-CN"/>
    </w:rPr>
  </w:style>
  <w:style w:type="paragraph" w:customStyle="1" w:styleId="20">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1">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3217</Words>
  <Characters>3769</Characters>
  <Lines>61</Lines>
  <Paragraphs>17</Paragraphs>
  <TotalTime>0</TotalTime>
  <ScaleCrop>false</ScaleCrop>
  <LinksUpToDate>false</LinksUpToDate>
  <CharactersWithSpaces>3886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胡小东</cp:lastModifiedBy>
  <dcterms:modified xsi:type="dcterms:W3CDTF">2025-06-10T01:15:30Z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F862CD259BA0448EAAF8B0DC429BA042_13</vt:lpwstr>
  </property>
  <property fmtid="{D5CDD505-2E9C-101B-9397-08002B2CF9AE}" pid="4" name="KSOTemplateDocerSaveRecord">
    <vt:lpwstr>eyJoZGlkIjoiY2M4ZDc0ZTgwYzc2MWZiYWQ3NjlmNTQ5NGE2OTBjNzMiLCJ1c2VySWQiOiIxNDQ1NDQyMzY0In0=</vt:lpwstr>
  </property>
</Properties>
</file>