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ascii="仿宋_GB2312" w:hAnsi="仿宋" w:eastAsia="仿宋_GB2312" w:cs="宋体-方正超大字符集"/>
          <w:b/>
          <w:bCs/>
          <w:spacing w:val="-6"/>
          <w:sz w:val="28"/>
          <w:szCs w:val="28"/>
        </w:rPr>
      </w:pPr>
      <w:r>
        <w:rPr>
          <w:rFonts w:hint="eastAsia" w:ascii="宋体" w:hAnsi="宋体" w:cs="方正小标宋_GBK"/>
          <w:b/>
          <w:spacing w:val="-6"/>
          <w:sz w:val="36"/>
          <w:szCs w:val="36"/>
        </w:rPr>
        <w:t>202</w:t>
      </w:r>
      <w:r>
        <w:rPr>
          <w:rFonts w:hint="eastAsia" w:ascii="宋体" w:hAnsi="宋体" w:cs="方正小标宋_GBK"/>
          <w:b/>
          <w:spacing w:val="-6"/>
          <w:sz w:val="36"/>
          <w:szCs w:val="36"/>
          <w:lang w:val="en-US" w:eastAsia="zh-CN"/>
        </w:rPr>
        <w:t>5</w:t>
      </w:r>
      <w:r>
        <w:rPr>
          <w:rFonts w:hint="eastAsia" w:ascii="宋体" w:hAnsi="宋体" w:cs="方正小标宋_GBK"/>
          <w:b/>
          <w:spacing w:val="-6"/>
          <w:sz w:val="36"/>
          <w:szCs w:val="36"/>
        </w:rPr>
        <w:t>年</w:t>
      </w:r>
      <w:r>
        <w:rPr>
          <w:rFonts w:hint="eastAsia" w:ascii="宋体" w:hAnsi="宋体" w:cs="方正小标宋_GBK"/>
          <w:b/>
          <w:spacing w:val="-6"/>
          <w:sz w:val="36"/>
          <w:szCs w:val="36"/>
          <w:lang w:val="en-US" w:eastAsia="zh-CN"/>
        </w:rPr>
        <w:t>大同市</w:t>
      </w:r>
      <w:r>
        <w:rPr>
          <w:rFonts w:hint="eastAsia" w:ascii="宋体" w:hAnsi="宋体" w:cs="方正小标宋_GBK"/>
          <w:b/>
          <w:spacing w:val="-6"/>
          <w:sz w:val="36"/>
          <w:szCs w:val="36"/>
        </w:rPr>
        <w:t>儿童爬爬垫产品风险监测项目实施方案</w:t>
      </w:r>
      <w:bookmarkStart w:id="7" w:name="_GoBack"/>
      <w:bookmarkEnd w:id="7"/>
    </w:p>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tabs>
          <w:tab w:val="left" w:pos="420"/>
        </w:tabs>
        <w:spacing w:line="360" w:lineRule="auto"/>
        <w:ind w:firstLine="420" w:firstLineChars="200"/>
        <w:rPr>
          <w:rFonts w:ascii="宋体" w:hAnsi="宋体" w:cs="宋体"/>
          <w:szCs w:val="21"/>
        </w:rPr>
      </w:pPr>
      <w:r>
        <w:rPr>
          <w:rFonts w:hint="default" w:ascii="宋体" w:hAnsi="宋体" w:cs="宋体"/>
        </w:rPr>
        <w:t>关于</w:t>
      </w:r>
      <w:r>
        <w:rPr>
          <w:rFonts w:hint="eastAsia" w:ascii="宋体" w:hAnsi="宋体" w:cs="宋体"/>
          <w:lang w:val="en-US" w:eastAsia="zh-CN"/>
        </w:rPr>
        <w:t>儿童爬爬垫</w:t>
      </w:r>
      <w:r>
        <w:rPr>
          <w:rFonts w:hint="default" w:ascii="宋体" w:hAnsi="宋体" w:cs="宋体"/>
        </w:rPr>
        <w:t>的舆情主要集中在产品质量安全问题上</w:t>
      </w:r>
      <w:r>
        <w:rPr>
          <w:rFonts w:hint="eastAsia" w:ascii="宋体" w:hAnsi="宋体" w:cs="宋体"/>
        </w:rPr>
        <w:t>。近</w:t>
      </w:r>
      <w:r>
        <w:rPr>
          <w:rFonts w:hint="eastAsia" w:ascii="宋体" w:hAnsi="宋体" w:cs="宋体"/>
          <w:szCs w:val="21"/>
        </w:rPr>
        <w:t>三年网络舆情呈现：</w:t>
      </w:r>
    </w:p>
    <w:p w14:paraId="06452DE9">
      <w:pPr>
        <w:spacing w:line="360" w:lineRule="auto"/>
        <w:ind w:firstLine="420" w:firstLineChars="200"/>
        <w:rPr>
          <w:rFonts w:hint="default" w:ascii="宋体" w:hAnsi="宋体" w:cs="宋体"/>
        </w:rPr>
      </w:pPr>
      <w:r>
        <w:rPr>
          <w:rFonts w:hint="eastAsia" w:ascii="宋体" w:hAnsi="宋体" w:cs="宋体"/>
        </w:rPr>
        <w:t>舆情1: 2023年5月，《消费者报道》整理了国家和省市级市场监督管理局等自2016年至2022年关于儿童爬行垫的质量抽检情况。结果显示，监管部门抽检发现不合格儿童爬行垫141批次，儿童爬行垫合格率仅70.7%</w:t>
      </w:r>
      <w:r>
        <w:rPr>
          <w:rFonts w:hint="eastAsia" w:ascii="宋体" w:hAnsi="宋体" w:cs="宋体"/>
          <w:lang w:eastAsia="zh-CN"/>
        </w:rPr>
        <w:t>。</w:t>
      </w:r>
      <w:r>
        <w:rPr>
          <w:rFonts w:hint="eastAsia" w:ascii="宋体" w:hAnsi="宋体" w:cs="宋体"/>
        </w:rPr>
        <w:t>主要涉及机械与物理性能、标识和使用说明、甲酰胺含量等项目。抽检结果显示，141批次不合格的儿童爬行垫中，机械和物理性能不合格占49.8%，标识和使用说明不合格占25.4%，甲酰胺含量超标占19.6%，还有部分产品因特定挥发性有机化合物释放总量超标、超出限定增塑剂限量要求及燃烧特性不合格。品牌方面</w:t>
      </w:r>
      <w:r>
        <w:rPr>
          <w:rFonts w:hint="eastAsia" w:ascii="宋体" w:hAnsi="宋体" w:cs="宋体"/>
          <w:lang w:val="en-US" w:eastAsia="zh-CN"/>
        </w:rPr>
        <w:t>涉及</w:t>
      </w:r>
      <w:r>
        <w:rPr>
          <w:rFonts w:hint="eastAsia" w:ascii="宋体" w:hAnsi="宋体" w:cs="宋体"/>
        </w:rPr>
        <w:t>迪士尼、BabyGo、贝博氏等曾上质检黑榜。</w:t>
      </w:r>
    </w:p>
    <w:p w14:paraId="69C6214D">
      <w:pPr>
        <w:spacing w:line="360" w:lineRule="auto"/>
        <w:ind w:firstLine="420" w:firstLineChars="200"/>
        <w:rPr>
          <w:rFonts w:hint="default" w:ascii="宋体" w:hAnsi="宋体" w:cs="宋体"/>
          <w:lang w:val="en-US"/>
        </w:rPr>
      </w:pPr>
      <w:r>
        <w:rPr>
          <w:rFonts w:hint="eastAsia" w:ascii="宋体" w:hAnsi="宋体" w:cs="宋体"/>
        </w:rPr>
        <w:t xml:space="preserve">舆情2： </w:t>
      </w:r>
      <w:r>
        <w:rPr>
          <w:rFonts w:hint="eastAsia" w:ascii="宋体" w:hAnsi="宋体" w:cs="宋体"/>
          <w:lang w:val="en-US" w:eastAsia="zh-CN"/>
        </w:rPr>
        <w:t>2025年5月，南方都市报发布“</w:t>
      </w:r>
      <w:r>
        <w:rPr>
          <w:rFonts w:hint="default" w:ascii="宋体" w:hAnsi="宋体" w:cs="宋体"/>
        </w:rPr>
        <w:t>或致婴幼儿过敏！8批次爬行垫甲酰胺含量超标，涉澳乐等品牌</w:t>
      </w:r>
      <w:r>
        <w:rPr>
          <w:rFonts w:hint="eastAsia" w:ascii="宋体" w:hAnsi="宋体" w:cs="宋体"/>
          <w:lang w:eastAsia="zh-CN"/>
        </w:rPr>
        <w:t>”</w:t>
      </w:r>
      <w:r>
        <w:rPr>
          <w:rFonts w:hint="eastAsia" w:ascii="宋体" w:hAnsi="宋体" w:cs="宋体"/>
          <w:lang w:val="en-US" w:eastAsia="zh-CN"/>
        </w:rPr>
        <w:t>文章，文章指出温州市消费者权益保护委员会对30批次婴幼儿爬行垫样品开展比较试验。结果显示，有8批次标称商标为“天利”“曼龙”“澳乐”的样品甲酰胺含量超出标准限值；6批次标称商标为“墨斗鱼”等品牌样品存在部件脱落隐患。据了解，现今市场上售卖的婴幼儿爬行垫大部分为发泡型地垫，疑似发泡剂为偶氮二甲酰胺，在加工过程中高温分解产物甲酰胺，容易残留在爬行垫中，对婴幼儿的皮肤黏膜和眼睛具有刺激作用，引起过敏，严重者会损害神经系统和血液循环系统。</w:t>
      </w: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2C7A6B7F">
      <w:pPr>
        <w:tabs>
          <w:tab w:val="left" w:pos="420"/>
        </w:tabs>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2023年6月7日，国家市场监督管理总局缺陷产品召回技术中心发布召回新闻：</w:t>
      </w:r>
      <w:r>
        <w:rPr>
          <w:rFonts w:hint="eastAsia" w:ascii="宋体" w:hAnsi="宋体" w:cs="宋体"/>
          <w:szCs w:val="21"/>
        </w:rPr>
        <w:t>临沂市鑫祺晟塑胶有限公司召回拼图地垫</w:t>
      </w:r>
      <w:r>
        <w:rPr>
          <w:rFonts w:hint="eastAsia" w:ascii="宋体" w:hAnsi="宋体" w:cs="宋体"/>
          <w:szCs w:val="21"/>
          <w:lang w:eastAsia="zh-CN"/>
        </w:rPr>
        <w:t>，临沂市鑫祺晟塑胶有限公司按照《消费品召回管理暂行规定》的要求，主动向山东省市场监督管理局报告了召回计划，召回2022年04月15日至2022年04月30日制造的xs77102客户货号（9108）型号的拼图地垫，涉及数量210包。本次召回范围内的拼图地垫，由于在使用中可能因为撕扯脱落产生小零件，存在儿童误食的安全风险。临沂市鑫祺晟塑胶有限公司将为消费者免费更换符合要求的产品，以消除安全隐患。</w:t>
      </w:r>
    </w:p>
    <w:p w14:paraId="5AA762CE">
      <w:pPr>
        <w:tabs>
          <w:tab w:val="left" w:pos="420"/>
        </w:tabs>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2023年12月26日，沈阳市市场监督管理局关于2023年儿童爬行垫（儿童地垫）产品质量安全风险监测情况的通报，共采集儿童爬行垫（儿童地垫）样品20批次，样品采自实体店及线上主流电子商务平台。主要依据GB 6675.4-2014《玩具安全 第4部分：特定元素的迁移》标准，对儿童爬行垫（儿童地垫）样品的可迁移元素项目进行了监测。监测结果表明，20批次儿童爬行垫（儿童地垫）样品中有1批次样品检测出含有可迁移元素（镉），检出率为5%。参照GB 6675.4-2014《玩具安全　第4部分：特定元素的迁移》，可迁移元素（镉）的最大限量值为75 mg/kg，上述样品可迁移元素（镉）检出的实测值为4.5 mg/kg，小于所参照标准的可迁移元素（镉）限量。根据GB/T 22760-2020《消费品安全 风险评估导则》，儿童爬行垫（儿童地垫）产品安全危害的风险等级为可容许风险。</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儿童爬爬垫</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129023C1">
      <w:pPr>
        <w:tabs>
          <w:tab w:val="left" w:pos="420"/>
        </w:tabs>
        <w:spacing w:line="360" w:lineRule="auto"/>
        <w:ind w:firstLine="420" w:firstLineChars="200"/>
        <w:rPr>
          <w:rFonts w:hint="default" w:ascii="宋体" w:hAnsi="宋体" w:cs="宋体"/>
          <w:szCs w:val="21"/>
          <w:lang w:val="en-US" w:eastAsia="zh-CN"/>
        </w:rPr>
      </w:pPr>
      <w:r>
        <w:rPr>
          <w:rFonts w:hint="eastAsia" w:ascii="宋体" w:hAnsi="宋体" w:cs="宋体"/>
          <w:szCs w:val="21"/>
        </w:rPr>
        <w:t>国内：</w:t>
      </w:r>
      <w:r>
        <w:rPr>
          <w:rFonts w:hint="eastAsia" w:ascii="宋体" w:hAnsi="宋体" w:cs="宋体"/>
          <w:szCs w:val="21"/>
          <w:lang w:val="en-US" w:eastAsia="zh-CN"/>
        </w:rPr>
        <w:t>儿童爬爬垫属于玩具，须符合强制性玩具安全标准GB 6675.1,GB 6675.2,GB 6675.3,GB 6675.4及3C认证，对机械物理性能，易燃性能，特定元素迁移和邻苯增塑剂要求。对于爬爬垫产品，有团体标准T/CTJPA 005-2018《儿童地垫安全要求》，额外的管控物质有多环芳烃，甲酰胺等。</w:t>
      </w:r>
    </w:p>
    <w:p w14:paraId="0EBB100B">
      <w:pPr>
        <w:tabs>
          <w:tab w:val="left" w:pos="420"/>
        </w:tabs>
        <w:spacing w:line="360" w:lineRule="auto"/>
        <w:ind w:firstLine="420" w:firstLineChars="200"/>
        <w:rPr>
          <w:rFonts w:hint="default"/>
          <w:color w:val="000000" w:themeColor="text1"/>
          <w:lang w:val="en-US"/>
          <w14:textFill>
            <w14:solidFill>
              <w14:schemeClr w14:val="tx1"/>
            </w14:solidFill>
          </w14:textFill>
        </w:rPr>
      </w:pPr>
      <w:r>
        <w:rPr>
          <w:rFonts w:hint="eastAsia" w:ascii="宋体" w:hAnsi="宋体" w:eastAsia="宋体" w:cs="宋体"/>
          <w:b w:val="0"/>
          <w:bCs w:val="0"/>
          <w:kern w:val="2"/>
          <w:sz w:val="21"/>
          <w:szCs w:val="21"/>
          <w:lang w:val="en-US" w:eastAsia="zh-CN" w:bidi="ar-SA"/>
        </w:rPr>
        <w:t>国外：</w:t>
      </w:r>
      <w:r>
        <w:rPr>
          <w:rFonts w:hint="eastAsia" w:ascii="宋体" w:hAnsi="宋体" w:cs="宋体"/>
          <w:b w:val="0"/>
          <w:bCs w:val="0"/>
          <w:kern w:val="2"/>
          <w:sz w:val="21"/>
          <w:szCs w:val="21"/>
          <w:lang w:val="en-US" w:eastAsia="zh-CN" w:bidi="ar-SA"/>
        </w:rPr>
        <w:t>美国需符合CPSIA和ASTM F963-23玩具标准，并出具强制性儿童产品CPC证书，对铅含量，机械物理性能，易燃性能，特定元素迁移及邻苯增塑剂要求。欧盟需符合CE认证，需满足的标准有欧盟玩具安全标准EN 71系列标准，如EN 71-1：机械物理性能，EN 71-2：易燃性能，EN 71-3：19种元素迁移。同时还需符合玩具安全指令 2009/48/EC 附录C要求，管控物质如甲酰胺。欧盟还受REACH法规 EC 1907/2006和POP法规 EU 2019/1021管控，管控物质如多环芳烃，邻苯增塑剂等。</w:t>
      </w: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国内检测方法：</w:t>
      </w:r>
    </w:p>
    <w:p w14:paraId="7A9945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小零件：</w:t>
      </w:r>
      <w:r>
        <w:rPr>
          <w:rFonts w:hint="default" w:ascii="宋体" w:hAnsi="宋体" w:eastAsia="宋体" w:cs="宋体"/>
          <w:b w:val="0"/>
          <w:bCs w:val="0"/>
          <w:kern w:val="2"/>
          <w:sz w:val="21"/>
          <w:szCs w:val="21"/>
          <w:lang w:val="en-US" w:eastAsia="zh-CN" w:bidi="ar-SA"/>
        </w:rPr>
        <w:t xml:space="preserve">GB </w:t>
      </w:r>
      <w:r>
        <w:rPr>
          <w:rFonts w:hint="eastAsia" w:ascii="宋体" w:hAnsi="宋体" w:cs="宋体"/>
          <w:b w:val="0"/>
          <w:bCs w:val="0"/>
          <w:kern w:val="2"/>
          <w:sz w:val="21"/>
          <w:szCs w:val="21"/>
          <w:lang w:val="en-US" w:eastAsia="zh-CN" w:bidi="ar-SA"/>
        </w:rPr>
        <w:t>6675</w:t>
      </w:r>
      <w:r>
        <w:rPr>
          <w:rFonts w:hint="default" w:ascii="宋体" w:hAnsi="宋体" w:eastAsia="宋体" w:cs="宋体"/>
          <w:b w:val="0"/>
          <w:bCs w:val="0"/>
          <w:kern w:val="2"/>
          <w:sz w:val="21"/>
          <w:szCs w:val="21"/>
          <w:lang w:val="en-US" w:eastAsia="zh-CN" w:bidi="ar-SA"/>
        </w:rPr>
        <w:t>.2-2015</w:t>
      </w:r>
      <w:r>
        <w:rPr>
          <w:rFonts w:hint="eastAsia" w:ascii="宋体" w:hAnsi="宋体" w:eastAsia="宋体" w:cs="宋体"/>
          <w:b w:val="0"/>
          <w:bCs w:val="0"/>
          <w:kern w:val="2"/>
          <w:sz w:val="21"/>
          <w:szCs w:val="21"/>
          <w:lang w:val="en-US" w:eastAsia="zh-CN" w:bidi="ar-SA"/>
        </w:rPr>
        <w:t>《玩具安全 第2部分：机械与物理性能》</w:t>
      </w:r>
    </w:p>
    <w:p w14:paraId="65088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甲酰胺：</w:t>
      </w:r>
      <w:r>
        <w:rPr>
          <w:rFonts w:hint="default" w:ascii="宋体" w:hAnsi="宋体" w:eastAsia="宋体" w:cs="宋体"/>
          <w:b w:val="0"/>
          <w:bCs w:val="0"/>
          <w:kern w:val="2"/>
          <w:sz w:val="21"/>
          <w:szCs w:val="21"/>
          <w:lang w:val="en-US" w:eastAsia="zh-CN" w:bidi="ar-SA"/>
        </w:rPr>
        <w:t>GB</w:t>
      </w:r>
      <w:r>
        <w:rPr>
          <w:rFonts w:hint="eastAsia" w:ascii="宋体" w:hAnsi="宋体" w:cs="宋体"/>
          <w:b w:val="0"/>
          <w:bCs w:val="0"/>
          <w:kern w:val="2"/>
          <w:sz w:val="21"/>
          <w:szCs w:val="21"/>
          <w:lang w:val="en-US" w:eastAsia="zh-CN" w:bidi="ar-SA"/>
        </w:rPr>
        <w:t>/T 34436-2017</w:t>
      </w:r>
      <w:r>
        <w:rPr>
          <w:rFonts w:hint="eastAsia" w:ascii="宋体" w:hAnsi="宋体" w:eastAsia="宋体" w:cs="宋体"/>
          <w:b w:val="0"/>
          <w:bCs w:val="0"/>
          <w:kern w:val="2"/>
          <w:sz w:val="21"/>
          <w:szCs w:val="21"/>
          <w:lang w:val="en-US" w:eastAsia="zh-CN" w:bidi="ar-SA"/>
        </w:rPr>
        <w:t xml:space="preserve"> 《玩具材料中甲酰胺测定 气相色谱-质谱联用法》</w:t>
      </w:r>
    </w:p>
    <w:p w14:paraId="13D912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邻苯二甲酸酯</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GB</w:t>
      </w:r>
      <w:r>
        <w:rPr>
          <w:rFonts w:hint="eastAsia" w:ascii="宋体" w:hAnsi="宋体" w:cs="宋体"/>
          <w:b w:val="0"/>
          <w:bCs w:val="0"/>
          <w:kern w:val="2"/>
          <w:sz w:val="21"/>
          <w:szCs w:val="21"/>
          <w:lang w:val="en-US" w:eastAsia="zh-CN" w:bidi="ar-SA"/>
        </w:rPr>
        <w:t>/T</w:t>
      </w:r>
      <w:r>
        <w:rPr>
          <w:rFonts w:hint="default" w:ascii="宋体" w:hAnsi="宋体" w:eastAsia="宋体" w:cs="宋体"/>
          <w:b w:val="0"/>
          <w:bCs w:val="0"/>
          <w:kern w:val="2"/>
          <w:sz w:val="21"/>
          <w:szCs w:val="21"/>
          <w:lang w:val="en-US" w:eastAsia="zh-CN" w:bidi="ar-SA"/>
        </w:rPr>
        <w:t xml:space="preserve"> </w:t>
      </w:r>
      <w:r>
        <w:rPr>
          <w:rFonts w:hint="eastAsia" w:ascii="宋体" w:hAnsi="宋体" w:cs="宋体"/>
          <w:b w:val="0"/>
          <w:bCs w:val="0"/>
          <w:kern w:val="2"/>
          <w:sz w:val="21"/>
          <w:szCs w:val="21"/>
          <w:lang w:val="en-US" w:eastAsia="zh-CN" w:bidi="ar-SA"/>
        </w:rPr>
        <w:t>22048-2022</w:t>
      </w:r>
      <w:r>
        <w:rPr>
          <w:rFonts w:hint="eastAsia" w:ascii="宋体" w:hAnsi="宋体" w:eastAsia="宋体" w:cs="宋体"/>
          <w:b w:val="0"/>
          <w:bCs w:val="0"/>
          <w:kern w:val="2"/>
          <w:sz w:val="21"/>
          <w:szCs w:val="21"/>
          <w:lang w:val="en-US" w:eastAsia="zh-CN" w:bidi="ar-SA"/>
        </w:rPr>
        <w:t xml:space="preserve"> 《玩具及儿童用品中特定邻苯二甲酸酯增塑剂的测定》</w:t>
      </w:r>
    </w:p>
    <w:p w14:paraId="1099A8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多环芳烃</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GB/T 29784.2-2013</w:t>
      </w:r>
      <w:r>
        <w:rPr>
          <w:rFonts w:hint="eastAsia" w:ascii="宋体" w:hAnsi="宋体" w:eastAsia="宋体" w:cs="宋体"/>
          <w:b w:val="0"/>
          <w:bCs w:val="0"/>
          <w:kern w:val="2"/>
          <w:sz w:val="21"/>
          <w:szCs w:val="21"/>
          <w:lang w:val="en-US" w:eastAsia="zh-CN" w:bidi="ar-SA"/>
        </w:rPr>
        <w:t>《电子电气产品中多环芳烃的测定 第2部分: 气相色谱-质谱法》</w:t>
      </w:r>
    </w:p>
    <w:p w14:paraId="04A466B4">
      <w:pPr>
        <w:adjustRightInd w:val="0"/>
        <w:snapToGrid w:val="0"/>
        <w:ind w:firstLine="420" w:firstLineChars="200"/>
        <w:jc w:val="both"/>
        <w:rPr>
          <w:rFonts w:hint="eastAsia" w:ascii="宋体" w:hAnsi="宋体" w:cs="宋体"/>
          <w:szCs w:val="21"/>
        </w:rPr>
      </w:pPr>
    </w:p>
    <w:p w14:paraId="09B65CD8">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国外检测方法(欧盟)：</w:t>
      </w:r>
    </w:p>
    <w:p w14:paraId="25A0DB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bookmarkStart w:id="0" w:name="_Toc9074"/>
      <w:r>
        <w:rPr>
          <w:rFonts w:hint="eastAsia" w:ascii="宋体" w:hAnsi="宋体" w:eastAsia="宋体" w:cs="宋体"/>
          <w:b w:val="0"/>
          <w:bCs w:val="0"/>
          <w:kern w:val="2"/>
          <w:sz w:val="21"/>
          <w:szCs w:val="21"/>
          <w:lang w:val="en-US" w:eastAsia="zh-CN" w:bidi="ar-SA"/>
        </w:rPr>
        <w:t>小零件：</w:t>
      </w:r>
      <w:r>
        <w:rPr>
          <w:rFonts w:hint="eastAsia" w:ascii="宋体" w:hAnsi="宋体" w:cs="宋体"/>
          <w:b w:val="0"/>
          <w:bCs w:val="0"/>
          <w:kern w:val="2"/>
          <w:sz w:val="21"/>
          <w:szCs w:val="21"/>
          <w:lang w:val="en-US" w:eastAsia="zh-CN" w:bidi="ar-SA"/>
        </w:rPr>
        <w:t>EN 71-1:2014+A1:2018</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 xml:space="preserve">玩具安全 第一部分：机械与物理性能 </w:t>
      </w:r>
      <w:r>
        <w:rPr>
          <w:rFonts w:hint="eastAsia" w:ascii="宋体" w:hAnsi="宋体" w:eastAsia="宋体" w:cs="宋体"/>
          <w:b w:val="0"/>
          <w:bCs w:val="0"/>
          <w:kern w:val="2"/>
          <w:sz w:val="21"/>
          <w:szCs w:val="21"/>
          <w:lang w:val="en-US" w:eastAsia="zh-CN" w:bidi="ar-SA"/>
        </w:rPr>
        <w:t>》</w:t>
      </w:r>
    </w:p>
    <w:p w14:paraId="3AB5D3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甲酰胺：</w:t>
      </w:r>
      <w:r>
        <w:rPr>
          <w:rFonts w:hint="eastAsia" w:ascii="宋体" w:hAnsi="宋体" w:cs="宋体"/>
          <w:b w:val="0"/>
          <w:bCs w:val="0"/>
          <w:kern w:val="2"/>
          <w:sz w:val="21"/>
          <w:szCs w:val="21"/>
          <w:lang w:val="en-US" w:eastAsia="zh-CN" w:bidi="ar-SA"/>
        </w:rPr>
        <w:t>参考US EPA 3550C:2007&amp;US EPA8270E:2018</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超声萃取 半挥发性有机物的测定：气相色谱-质谱法</w:t>
      </w:r>
      <w:r>
        <w:rPr>
          <w:rFonts w:hint="eastAsia" w:ascii="宋体" w:hAnsi="宋体" w:eastAsia="宋体" w:cs="宋体"/>
          <w:b w:val="0"/>
          <w:bCs w:val="0"/>
          <w:kern w:val="2"/>
          <w:sz w:val="21"/>
          <w:szCs w:val="21"/>
          <w:lang w:val="en-US" w:eastAsia="zh-CN" w:bidi="ar-SA"/>
        </w:rPr>
        <w:t>》</w:t>
      </w:r>
    </w:p>
    <w:p w14:paraId="6C157B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邻苯二甲酸酯</w:t>
      </w:r>
      <w:r>
        <w:rPr>
          <w:rFonts w:hint="eastAsia" w:ascii="宋体" w:hAnsi="宋体" w:eastAsia="宋体" w:cs="宋体"/>
          <w:b w:val="0"/>
          <w:bCs w:val="0"/>
          <w:kern w:val="2"/>
          <w:sz w:val="21"/>
          <w:szCs w:val="21"/>
          <w:lang w:val="en-US" w:eastAsia="zh-CN" w:bidi="ar-SA"/>
        </w:rPr>
        <w:t xml:space="preserve">: </w:t>
      </w:r>
      <w:r>
        <w:rPr>
          <w:rFonts w:hint="eastAsia" w:ascii="宋体" w:hAnsi="宋体" w:cs="宋体"/>
          <w:b w:val="0"/>
          <w:bCs w:val="0"/>
          <w:kern w:val="2"/>
          <w:sz w:val="21"/>
          <w:szCs w:val="21"/>
          <w:lang w:val="en-US" w:eastAsia="zh-CN" w:bidi="ar-SA"/>
        </w:rPr>
        <w:t>EN 14372:2004</w:t>
      </w:r>
      <w:r>
        <w:rPr>
          <w:rFonts w:hint="eastAsia" w:ascii="宋体" w:hAnsi="宋体" w:eastAsia="宋体" w:cs="宋体"/>
          <w:b w:val="0"/>
          <w:bCs w:val="0"/>
          <w:kern w:val="2"/>
          <w:sz w:val="21"/>
          <w:szCs w:val="21"/>
          <w:lang w:val="en-US" w:eastAsia="zh-CN" w:bidi="ar-SA"/>
        </w:rPr>
        <w:t xml:space="preserve"> 《儿童使用和护理用品-餐具和喂食器具-安全要求与试验》</w:t>
      </w:r>
    </w:p>
    <w:p w14:paraId="2FAD8E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多环芳烃</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 xml:space="preserve">afPS GS 2019:01 PAK </w:t>
      </w:r>
      <w:r>
        <w:rPr>
          <w:rFonts w:hint="eastAsia" w:ascii="宋体" w:hAnsi="宋体" w:eastAsia="宋体" w:cs="宋体"/>
          <w:b w:val="0"/>
          <w:bCs w:val="0"/>
          <w:kern w:val="2"/>
          <w:sz w:val="21"/>
          <w:szCs w:val="21"/>
          <w:lang w:val="en-US" w:eastAsia="zh-CN" w:bidi="ar-SA"/>
        </w:rPr>
        <w:t>《德国安全认证技术委员会多环芳烃测试与评估标准》</w:t>
      </w:r>
    </w:p>
    <w:p w14:paraId="48CF21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溶剂迁移：EN 71-10《有机化合物的样品制备和提取》EN 71-11《有机化合物的分析方法》</w:t>
      </w:r>
    </w:p>
    <w:p w14:paraId="3DB9D088">
      <w:pPr>
        <w:spacing w:line="360" w:lineRule="auto"/>
        <w:rPr>
          <w:b/>
          <w:bCs/>
        </w:rPr>
      </w:pPr>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38BB5471">
      <w:pPr>
        <w:spacing w:line="360" w:lineRule="auto"/>
        <w:ind w:firstLine="420" w:firstLineChars="200"/>
        <w:rPr>
          <w:rFonts w:ascii="宋体" w:hAnsi="宋体" w:cs="宋体"/>
          <w:color w:val="000000"/>
          <w:szCs w:val="21"/>
        </w:rPr>
      </w:pPr>
      <w:r>
        <w:rPr>
          <w:rFonts w:hint="eastAsia" w:ascii="宋体" w:hAnsi="宋体" w:cs="宋体"/>
          <w:color w:val="000000"/>
          <w:szCs w:val="21"/>
        </w:rPr>
        <w:t>本次监测的产品为对</w:t>
      </w:r>
      <w:r>
        <w:rPr>
          <w:rFonts w:hint="eastAsia" w:ascii="宋体" w:hAnsi="宋体" w:cs="宋体"/>
          <w:color w:val="000000"/>
          <w:szCs w:val="21"/>
          <w:lang w:val="en-US" w:eastAsia="zh-CN"/>
        </w:rPr>
        <w:t>儿童爬爬垫</w:t>
      </w:r>
      <w:r>
        <w:rPr>
          <w:rFonts w:hint="eastAsia" w:ascii="宋体" w:hAnsi="宋体" w:cs="宋体"/>
          <w:color w:val="000000"/>
          <w:szCs w:val="21"/>
        </w:rPr>
        <w:t>产品，</w:t>
      </w:r>
      <w:r>
        <w:rPr>
          <w:rFonts w:hint="eastAsia" w:ascii="宋体" w:hAnsi="宋体" w:cs="宋体"/>
          <w:color w:val="000000"/>
          <w:szCs w:val="21"/>
          <w:lang w:val="en-US" w:eastAsia="zh-CN"/>
        </w:rPr>
        <w:t>主要包含泡沫材质，不得抽取纯布料爬爬垫。可抽取的</w:t>
      </w:r>
      <w:r>
        <w:rPr>
          <w:rFonts w:hint="eastAsia" w:ascii="宋体" w:hAnsi="宋体" w:cs="宋体"/>
          <w:color w:val="000000"/>
          <w:szCs w:val="21"/>
        </w:rPr>
        <w:t>典型的产品图片如下图。</w:t>
      </w:r>
    </w:p>
    <w:p w14:paraId="32CDC84E">
      <w:pPr>
        <w:pStyle w:val="9"/>
        <w:tabs>
          <w:tab w:val="left" w:pos="5839"/>
        </w:tabs>
        <w:ind w:left="0" w:leftChars="0" w:firstLine="0" w:firstLineChars="0"/>
        <w:jc w:val="both"/>
        <w:rPr>
          <w:lang w:val="en-US"/>
        </w:rPr>
      </w:pPr>
      <w:r>
        <w:rPr>
          <w:rFonts w:hint="eastAsia"/>
          <w:lang w:val="en-US" w:eastAsia="zh-CN"/>
        </w:rPr>
        <w:t xml:space="preserve">   </w:t>
      </w:r>
      <w:r>
        <w:drawing>
          <wp:inline distT="0" distB="0" distL="114300" distR="114300">
            <wp:extent cx="2830830" cy="1679575"/>
            <wp:effectExtent l="0" t="0" r="38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30830" cy="1679575"/>
                    </a:xfrm>
                    <a:prstGeom prst="rect">
                      <a:avLst/>
                    </a:prstGeom>
                    <a:noFill/>
                    <a:ln>
                      <a:noFill/>
                    </a:ln>
                  </pic:spPr>
                </pic:pic>
              </a:graphicData>
            </a:graphic>
          </wp:inline>
        </w:drawing>
      </w:r>
      <w:r>
        <w:drawing>
          <wp:inline distT="0" distB="0" distL="114300" distR="114300">
            <wp:extent cx="1689100" cy="168719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89100" cy="1687195"/>
                    </a:xfrm>
                    <a:prstGeom prst="rect">
                      <a:avLst/>
                    </a:prstGeom>
                    <a:noFill/>
                    <a:ln>
                      <a:noFill/>
                    </a:ln>
                  </pic:spPr>
                </pic:pic>
              </a:graphicData>
            </a:graphic>
          </wp:inline>
        </w:drawing>
      </w:r>
    </w:p>
    <w:p w14:paraId="62E6AE3A">
      <w:pPr>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color w:val="000000"/>
          <w:szCs w:val="21"/>
          <w:lang w:val="en-US" w:eastAsia="zh-CN"/>
        </w:rPr>
        <w:t>儿童爬爬垫</w:t>
      </w:r>
      <w:r>
        <w:rPr>
          <w:rFonts w:hint="eastAsia" w:ascii="宋体" w:hAnsi="宋体" w:cs="宋体"/>
          <w:color w:val="000000"/>
          <w:szCs w:val="21"/>
        </w:rPr>
        <w:t>样品数量为</w:t>
      </w:r>
      <w:r>
        <w:rPr>
          <w:rFonts w:hint="eastAsia" w:ascii="宋体" w:hAnsi="宋体" w:cs="宋体"/>
          <w:color w:val="000000"/>
          <w:szCs w:val="21"/>
          <w:highlight w:val="none"/>
          <w:lang w:val="en-US" w:eastAsia="zh-CN"/>
        </w:rPr>
        <w:t>5</w:t>
      </w:r>
      <w:r>
        <w:rPr>
          <w:rFonts w:hint="eastAsia" w:ascii="宋体" w:hAnsi="宋体" w:cs="宋体"/>
          <w:color w:val="000000"/>
          <w:szCs w:val="21"/>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color w:val="000000"/>
          <w:szCs w:val="21"/>
          <w:lang w:val="en-US" w:eastAsia="zh-CN"/>
        </w:rPr>
        <w:t>儿童爬爬垫</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03887ADA">
      <w:pPr>
        <w:spacing w:line="360" w:lineRule="auto"/>
        <w:ind w:firstLine="420" w:firstLineChars="200"/>
        <w:rPr>
          <w:rFonts w:ascii="宋体" w:hAnsi="宋体" w:cs="宋体"/>
          <w:szCs w:val="21"/>
        </w:rPr>
      </w:pPr>
      <w:r>
        <w:rPr>
          <w:rFonts w:hint="eastAsia" w:ascii="宋体" w:hAnsi="宋体" w:cs="宋体"/>
          <w:szCs w:val="21"/>
        </w:rPr>
        <w:t>（2）抽样型号或规格：抽样基数满足抽样数量即可，样品应为同一生产企业、同一标准生产、同一商标、同一规格型号的产品。每批次产品抽取样品</w:t>
      </w:r>
      <w:r>
        <w:rPr>
          <w:rFonts w:hint="eastAsia" w:ascii="宋体" w:hAnsi="宋体" w:cs="宋体"/>
          <w:szCs w:val="21"/>
          <w:highlight w:val="none"/>
          <w:lang w:val="en-US" w:eastAsia="zh-CN"/>
        </w:rPr>
        <w:t>2</w:t>
      </w:r>
      <w:r>
        <w:rPr>
          <w:rFonts w:hint="eastAsia" w:ascii="宋体" w:hAnsi="宋体" w:cs="宋体"/>
          <w:szCs w:val="21"/>
        </w:rPr>
        <w:t>个。</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ascii="宋体" w:hAnsi="宋体" w:cs="宋体"/>
          <w:szCs w:val="21"/>
        </w:rPr>
      </w:pPr>
      <w:r>
        <w:rPr>
          <w:rFonts w:hint="eastAsia" w:ascii="宋体" w:hAnsi="宋体" w:cs="宋体"/>
          <w:szCs w:val="21"/>
        </w:rPr>
        <w:t>表1   检验项目</w:t>
      </w:r>
    </w:p>
    <w:tbl>
      <w:tblPr>
        <w:tblStyle w:val="1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3119"/>
        <w:gridCol w:w="2560"/>
        <w:gridCol w:w="1976"/>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417"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3119" w:type="dxa"/>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256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1976"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7544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07517460">
            <w:pPr>
              <w:jc w:val="center"/>
              <w:rPr>
                <w:rFonts w:hint="eastAsia" w:ascii="宋体" w:hAnsi="宋体" w:eastAsia="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tc>
        <w:tc>
          <w:tcPr>
            <w:tcW w:w="1417" w:type="dxa"/>
            <w:vMerge w:val="restart"/>
            <w:vAlign w:val="center"/>
          </w:tcPr>
          <w:p w14:paraId="5AEA2EA9">
            <w:pPr>
              <w:jc w:val="left"/>
              <w:rPr>
                <w:rFonts w:ascii="宋体" w:hAnsi="宋体" w:cs="宋体"/>
                <w:color w:val="191919"/>
                <w:szCs w:val="21"/>
                <w:shd w:val="clear" w:color="auto" w:fill="FFFFFF"/>
              </w:rPr>
            </w:pPr>
            <w:r>
              <w:rPr>
                <w:rFonts w:hint="eastAsia" w:ascii="宋体" w:hAnsi="宋体" w:cs="宋体"/>
                <w:color w:val="000000"/>
                <w:szCs w:val="21"/>
                <w:lang w:val="en-US" w:eastAsia="zh-CN"/>
              </w:rPr>
              <w:t>儿童爬爬垫</w:t>
            </w:r>
          </w:p>
        </w:tc>
        <w:tc>
          <w:tcPr>
            <w:tcW w:w="3119" w:type="dxa"/>
            <w:vAlign w:val="center"/>
          </w:tcPr>
          <w:p w14:paraId="650CF48A">
            <w:pPr>
              <w:jc w:val="center"/>
              <w:rPr>
                <w:rFonts w:ascii="宋体" w:hAnsi="宋体" w:cs="宋体"/>
                <w:color w:val="191919"/>
                <w:szCs w:val="21"/>
                <w:shd w:val="clear" w:color="auto" w:fill="FFFFFF"/>
              </w:rPr>
            </w:pPr>
            <w:r>
              <w:rPr>
                <w:rFonts w:hint="eastAsia" w:ascii="宋体" w:hAnsi="宋体" w:eastAsia="宋体" w:cs="宋体"/>
                <w:b w:val="0"/>
                <w:bCs w:val="0"/>
                <w:kern w:val="2"/>
                <w:sz w:val="21"/>
                <w:szCs w:val="21"/>
                <w:lang w:val="en-US" w:eastAsia="zh-CN" w:bidi="ar-SA"/>
              </w:rPr>
              <w:t>小零件</w:t>
            </w:r>
          </w:p>
        </w:tc>
        <w:tc>
          <w:tcPr>
            <w:tcW w:w="2560" w:type="dxa"/>
            <w:vAlign w:val="center"/>
          </w:tcPr>
          <w:p w14:paraId="3D0E4898">
            <w:pPr>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GB 6675.2-2014</w:t>
            </w:r>
          </w:p>
        </w:tc>
        <w:tc>
          <w:tcPr>
            <w:tcW w:w="1976" w:type="dxa"/>
            <w:vAlign w:val="center"/>
          </w:tcPr>
          <w:p w14:paraId="6803CFB9">
            <w:pPr>
              <w:jc w:val="center"/>
              <w:rPr>
                <w:rFonts w:ascii="宋体" w:hAnsi="宋体" w:cs="宋体"/>
                <w:color w:val="191919"/>
                <w:szCs w:val="21"/>
                <w:shd w:val="clear" w:color="auto" w:fill="FFFFFF"/>
              </w:rPr>
            </w:pPr>
            <w:r>
              <w:rPr>
                <w:rFonts w:hint="eastAsia"/>
                <w:szCs w:val="21"/>
                <w:lang w:val="en-US" w:eastAsia="zh-CN"/>
              </w:rPr>
              <w:t>GB 6675.2-2014</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417" w:type="dxa"/>
            <w:vMerge w:val="continue"/>
            <w:vAlign w:val="center"/>
          </w:tcPr>
          <w:p w14:paraId="322A61B6">
            <w:pPr>
              <w:jc w:val="left"/>
              <w:rPr>
                <w:rFonts w:ascii="宋体" w:hAnsi="宋体" w:cs="宋体"/>
                <w:color w:val="191919"/>
                <w:szCs w:val="21"/>
                <w:shd w:val="clear" w:color="auto" w:fill="FFFFFF"/>
              </w:rPr>
            </w:pPr>
          </w:p>
        </w:tc>
        <w:tc>
          <w:tcPr>
            <w:tcW w:w="3119" w:type="dxa"/>
            <w:vAlign w:val="center"/>
          </w:tcPr>
          <w:p w14:paraId="66CA3135">
            <w:pPr>
              <w:jc w:val="center"/>
              <w:rPr>
                <w:rFonts w:hint="eastAsia" w:ascii="宋体" w:hAnsi="宋体" w:eastAsia="宋体" w:cs="宋体"/>
                <w:color w:val="191919"/>
                <w:szCs w:val="21"/>
                <w:shd w:val="clear" w:color="auto" w:fill="FFFFFF"/>
                <w:lang w:eastAsia="zh-CN"/>
              </w:rPr>
            </w:pPr>
            <w:r>
              <w:rPr>
                <w:rFonts w:hint="eastAsia"/>
                <w:szCs w:val="21"/>
                <w:lang w:val="en-US" w:eastAsia="zh-CN"/>
              </w:rPr>
              <w:t>甲酰胺</w:t>
            </w:r>
          </w:p>
        </w:tc>
        <w:tc>
          <w:tcPr>
            <w:tcW w:w="2560" w:type="dxa"/>
            <w:vAlign w:val="center"/>
          </w:tcPr>
          <w:p w14:paraId="750085B0">
            <w:pPr>
              <w:jc w:val="center"/>
              <w:rPr>
                <w:rFonts w:hint="default"/>
                <w:szCs w:val="21"/>
                <w:lang w:val="en-US" w:eastAsia="zh-CN"/>
              </w:rPr>
            </w:pPr>
            <w:r>
              <w:rPr>
                <w:rFonts w:hint="eastAsia"/>
                <w:szCs w:val="21"/>
                <w:lang w:val="en-US" w:eastAsia="zh-CN"/>
              </w:rPr>
              <w:t>T/CTJPA 005-2018</w:t>
            </w:r>
          </w:p>
        </w:tc>
        <w:tc>
          <w:tcPr>
            <w:tcW w:w="1976" w:type="dxa"/>
            <w:vAlign w:val="center"/>
          </w:tcPr>
          <w:p w14:paraId="106A657F">
            <w:pPr>
              <w:jc w:val="center"/>
              <w:rPr>
                <w:rFonts w:hint="eastAsia"/>
                <w:szCs w:val="21"/>
                <w:lang w:val="en-US" w:eastAsia="zh-CN"/>
              </w:rPr>
            </w:pPr>
            <w:r>
              <w:rPr>
                <w:rFonts w:hint="eastAsia"/>
                <w:szCs w:val="21"/>
                <w:lang w:val="en-US" w:eastAsia="zh-CN"/>
              </w:rPr>
              <w:t>GB/T 34436-2017</w:t>
            </w:r>
          </w:p>
        </w:tc>
      </w:tr>
      <w:tr w14:paraId="6B0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6D2CF86E">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417" w:type="dxa"/>
            <w:vMerge w:val="continue"/>
            <w:vAlign w:val="center"/>
          </w:tcPr>
          <w:p w14:paraId="71438ED7">
            <w:pPr>
              <w:jc w:val="left"/>
              <w:rPr>
                <w:rFonts w:ascii="宋体" w:hAnsi="宋体" w:cs="宋体"/>
                <w:color w:val="191919"/>
                <w:szCs w:val="21"/>
                <w:shd w:val="clear" w:color="auto" w:fill="FFFFFF"/>
              </w:rPr>
            </w:pPr>
          </w:p>
        </w:tc>
        <w:tc>
          <w:tcPr>
            <w:tcW w:w="3119" w:type="dxa"/>
            <w:vAlign w:val="center"/>
          </w:tcPr>
          <w:p w14:paraId="502C38D0">
            <w:pPr>
              <w:jc w:val="center"/>
              <w:rPr>
                <w:rFonts w:hint="default" w:ascii="宋体" w:hAnsi="宋体" w:cs="宋体"/>
                <w:color w:val="191919"/>
                <w:szCs w:val="21"/>
                <w:shd w:val="clear" w:color="auto" w:fill="FFFFFF"/>
                <w:lang w:val="en-US"/>
              </w:rPr>
            </w:pPr>
            <w:r>
              <w:rPr>
                <w:rFonts w:hint="eastAsia"/>
                <w:szCs w:val="21"/>
                <w:lang w:val="en-US" w:eastAsia="zh-CN"/>
              </w:rPr>
              <w:t>邻苯二甲酸酯</w:t>
            </w:r>
          </w:p>
        </w:tc>
        <w:tc>
          <w:tcPr>
            <w:tcW w:w="2560" w:type="dxa"/>
            <w:vAlign w:val="center"/>
          </w:tcPr>
          <w:p w14:paraId="272A6CBF">
            <w:pPr>
              <w:adjustRightInd w:val="0"/>
              <w:snapToGrid w:val="0"/>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GB 6675.1-2014</w:t>
            </w:r>
          </w:p>
        </w:tc>
        <w:tc>
          <w:tcPr>
            <w:tcW w:w="1976" w:type="dxa"/>
            <w:vAlign w:val="center"/>
          </w:tcPr>
          <w:p w14:paraId="165DDBB7">
            <w:pPr>
              <w:adjustRightInd w:val="0"/>
              <w:snapToGrid w:val="0"/>
              <w:jc w:val="center"/>
              <w:rPr>
                <w:rFonts w:hint="eastAsia"/>
                <w:szCs w:val="21"/>
                <w:lang w:val="en-US" w:eastAsia="zh-CN"/>
              </w:rPr>
            </w:pPr>
            <w:r>
              <w:rPr>
                <w:rFonts w:hint="eastAsia"/>
                <w:szCs w:val="21"/>
                <w:lang w:val="en-US" w:eastAsia="zh-CN"/>
              </w:rPr>
              <w:t>GB/T 22048-2022</w:t>
            </w:r>
          </w:p>
        </w:tc>
      </w:tr>
      <w:tr w14:paraId="3DA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8FFDD8">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417" w:type="dxa"/>
            <w:vMerge w:val="continue"/>
            <w:vAlign w:val="center"/>
          </w:tcPr>
          <w:p w14:paraId="120A2489">
            <w:pPr>
              <w:jc w:val="left"/>
              <w:rPr>
                <w:rFonts w:ascii="宋体" w:hAnsi="宋体" w:cs="宋体"/>
                <w:color w:val="191919"/>
                <w:szCs w:val="21"/>
                <w:shd w:val="clear" w:color="auto" w:fill="FFFFFF"/>
              </w:rPr>
            </w:pPr>
          </w:p>
        </w:tc>
        <w:tc>
          <w:tcPr>
            <w:tcW w:w="3119" w:type="dxa"/>
            <w:vAlign w:val="center"/>
          </w:tcPr>
          <w:p w14:paraId="05B9370D">
            <w:pPr>
              <w:adjustRightInd w:val="0"/>
              <w:snapToGrid w:val="0"/>
              <w:jc w:val="center"/>
              <w:rPr>
                <w:rFonts w:hint="eastAsia" w:ascii="宋体" w:hAnsi="宋体" w:eastAsia="宋体" w:cs="宋体"/>
                <w:color w:val="191919"/>
                <w:szCs w:val="21"/>
                <w:shd w:val="clear" w:color="auto" w:fill="FFFFFF"/>
                <w:lang w:eastAsia="zh-CN"/>
              </w:rPr>
            </w:pPr>
            <w:r>
              <w:rPr>
                <w:rFonts w:hint="eastAsia"/>
                <w:szCs w:val="21"/>
                <w:lang w:val="en-US" w:eastAsia="zh-CN"/>
              </w:rPr>
              <w:t>多环芳烃</w:t>
            </w:r>
          </w:p>
        </w:tc>
        <w:tc>
          <w:tcPr>
            <w:tcW w:w="2560" w:type="dxa"/>
            <w:vAlign w:val="center"/>
          </w:tcPr>
          <w:p w14:paraId="2C7CB0E8">
            <w:pPr>
              <w:adjustRightInd w:val="0"/>
              <w:snapToGrid w:val="0"/>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T/CTJPA 005-2018</w:t>
            </w:r>
          </w:p>
        </w:tc>
        <w:tc>
          <w:tcPr>
            <w:tcW w:w="1976" w:type="dxa"/>
            <w:vAlign w:val="center"/>
          </w:tcPr>
          <w:p w14:paraId="109A8EBB">
            <w:pPr>
              <w:adjustRightInd w:val="0"/>
              <w:snapToGrid w:val="0"/>
              <w:jc w:val="center"/>
              <w:rPr>
                <w:rFonts w:ascii="宋体" w:hAnsi="宋体" w:cs="宋体"/>
                <w:color w:val="191919"/>
                <w:szCs w:val="21"/>
                <w:shd w:val="clear" w:color="auto" w:fill="FFFFFF"/>
              </w:rPr>
            </w:pPr>
            <w:r>
              <w:rPr>
                <w:rFonts w:hint="eastAsia"/>
                <w:szCs w:val="21"/>
                <w:lang w:val="en-US" w:eastAsia="zh-CN"/>
              </w:rPr>
              <w:t>GB/T 29784.2-2013</w:t>
            </w:r>
            <w:r>
              <w:rPr>
                <w:rFonts w:hint="eastAsia"/>
                <w:szCs w:val="21"/>
              </w:rPr>
              <w:t xml:space="preserve"> </w:t>
            </w:r>
          </w:p>
        </w:tc>
      </w:tr>
      <w:tr w14:paraId="689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1ACA3FC9">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5</w:t>
            </w:r>
          </w:p>
        </w:tc>
        <w:tc>
          <w:tcPr>
            <w:tcW w:w="1417" w:type="dxa"/>
            <w:vMerge w:val="continue"/>
            <w:vAlign w:val="center"/>
          </w:tcPr>
          <w:p w14:paraId="5BFDBA97">
            <w:pPr>
              <w:jc w:val="left"/>
              <w:rPr>
                <w:rFonts w:ascii="宋体" w:hAnsi="宋体" w:cs="宋体"/>
                <w:color w:val="191919"/>
                <w:szCs w:val="21"/>
                <w:shd w:val="clear" w:color="auto" w:fill="FFFFFF"/>
              </w:rPr>
            </w:pPr>
          </w:p>
        </w:tc>
        <w:tc>
          <w:tcPr>
            <w:tcW w:w="3119" w:type="dxa"/>
            <w:vAlign w:val="center"/>
          </w:tcPr>
          <w:p w14:paraId="2FEC1204">
            <w:pPr>
              <w:jc w:val="center"/>
              <w:rPr>
                <w:rFonts w:hint="eastAsia" w:ascii="宋体" w:hAnsi="宋体" w:eastAsia="宋体" w:cs="宋体"/>
                <w:color w:val="191919"/>
                <w:szCs w:val="21"/>
                <w:shd w:val="clear" w:color="auto" w:fill="FFFFFF"/>
                <w:lang w:eastAsia="zh-CN"/>
              </w:rPr>
            </w:pPr>
            <w:r>
              <w:rPr>
                <w:rFonts w:hint="eastAsia"/>
                <w:szCs w:val="21"/>
                <w:lang w:val="en-US" w:eastAsia="zh-CN"/>
              </w:rPr>
              <w:t>溶剂迁移</w:t>
            </w:r>
          </w:p>
        </w:tc>
        <w:tc>
          <w:tcPr>
            <w:tcW w:w="2560" w:type="dxa"/>
          </w:tcPr>
          <w:p w14:paraId="0E7BF128">
            <w:pPr>
              <w:jc w:val="center"/>
              <w:rPr>
                <w:rFonts w:hint="default" w:ascii="宋体" w:hAnsi="宋体" w:eastAsia="宋体" w:cs="宋体"/>
                <w:color w:val="191919"/>
                <w:szCs w:val="21"/>
                <w:shd w:val="clear" w:color="auto" w:fill="FFFFFF"/>
                <w:lang w:val="en-US" w:eastAsia="zh-CN"/>
              </w:rPr>
            </w:pPr>
            <w:r>
              <w:rPr>
                <w:rFonts w:hint="eastAsia"/>
                <w:szCs w:val="21"/>
                <w:lang w:val="en-US" w:eastAsia="zh-CN"/>
              </w:rPr>
              <w:t>EN 71-9:2005+A1:2007</w:t>
            </w:r>
          </w:p>
        </w:tc>
        <w:tc>
          <w:tcPr>
            <w:tcW w:w="1976" w:type="dxa"/>
          </w:tcPr>
          <w:p w14:paraId="43DF4CDE">
            <w:pPr>
              <w:jc w:val="center"/>
              <w:rPr>
                <w:rFonts w:hint="eastAsia"/>
                <w:szCs w:val="21"/>
                <w:lang w:val="en-US" w:eastAsia="zh-CN"/>
              </w:rPr>
            </w:pPr>
            <w:r>
              <w:rPr>
                <w:rFonts w:hint="eastAsia"/>
                <w:szCs w:val="21"/>
                <w:lang w:val="en-US" w:eastAsia="zh-CN"/>
              </w:rPr>
              <w:t>EN 71-10</w:t>
            </w:r>
          </w:p>
          <w:p w14:paraId="2249FF9A">
            <w:pPr>
              <w:jc w:val="center"/>
              <w:rPr>
                <w:rFonts w:hint="default"/>
                <w:szCs w:val="21"/>
                <w:lang w:val="en-US" w:eastAsia="zh-CN"/>
              </w:rPr>
            </w:pPr>
            <w:r>
              <w:rPr>
                <w:rFonts w:hint="eastAsia"/>
                <w:szCs w:val="21"/>
                <w:lang w:val="en-US" w:eastAsia="zh-CN"/>
              </w:rPr>
              <w:t>EN 71-11</w:t>
            </w:r>
          </w:p>
        </w:tc>
      </w:tr>
      <w:tr w14:paraId="261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40" w:type="dxa"/>
            <w:gridSpan w:val="5"/>
            <w:vAlign w:val="center"/>
          </w:tcPr>
          <w:p w14:paraId="7F2B042B">
            <w:pPr>
              <w:jc w:val="left"/>
              <w:rPr>
                <w:rFonts w:hint="default" w:eastAsia="宋体"/>
                <w:szCs w:val="21"/>
                <w:lang w:val="en-US" w:eastAsia="zh-CN"/>
              </w:rPr>
            </w:pPr>
            <w:bookmarkStart w:id="3" w:name="_Toc12509"/>
          </w:p>
        </w:tc>
      </w:tr>
      <w:bookmarkEnd w:id="2"/>
    </w:tbl>
    <w:p w14:paraId="1B307997">
      <w:pPr>
        <w:spacing w:line="360" w:lineRule="auto"/>
        <w:ind w:firstLine="210" w:firstLineChars="100"/>
      </w:pPr>
      <w:r>
        <w:rPr>
          <w:rFonts w:hint="eastAsia"/>
        </w:rPr>
        <w:t>6.3、数据及分析方法</w:t>
      </w:r>
      <w:bookmarkEnd w:id="3"/>
    </w:p>
    <w:p w14:paraId="2DB555FF">
      <w:pPr>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szCs w:val="21"/>
          <w:lang w:val="en-US" w:eastAsia="zh-CN"/>
        </w:rPr>
        <w:t>儿童爬爬垫</w:t>
      </w:r>
      <w:r>
        <w:rPr>
          <w:rFonts w:hint="eastAsia" w:ascii="宋体" w:hAnsi="宋体" w:cs="宋体"/>
          <w:szCs w:val="21"/>
        </w:rPr>
        <w:t>产品</w:t>
      </w:r>
      <w:r>
        <w:rPr>
          <w:rFonts w:hint="eastAsia" w:ascii="宋体" w:hAnsi="宋体" w:cs="宋体"/>
          <w:color w:val="191919"/>
          <w:szCs w:val="21"/>
          <w:shd w:val="clear" w:color="auto" w:fill="FFFFFF"/>
          <w:lang w:val="en-US" w:eastAsia="zh-CN"/>
        </w:rPr>
        <w:t>小零件、甲酰胺、邻苯二甲酸酯、多环芳烃和溶剂迁移等</w:t>
      </w:r>
      <w:r>
        <w:rPr>
          <w:rFonts w:hint="eastAsia" w:ascii="宋体" w:hAnsi="宋体" w:cs="宋体"/>
          <w:color w:val="191919"/>
          <w:szCs w:val="21"/>
          <w:shd w:val="clear" w:color="auto" w:fill="FFFFFF"/>
        </w:rPr>
        <w:t>项目</w:t>
      </w:r>
      <w:r>
        <w:rPr>
          <w:rFonts w:hint="eastAsia" w:ascii="宋体" w:hAnsi="宋体" w:cs="宋体"/>
          <w:szCs w:val="21"/>
        </w:rPr>
        <w:t>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default" w:eastAsia="宋体"/>
          <w:lang w:val="en-US" w:eastAsia="zh-CN"/>
        </w:rPr>
      </w:pPr>
      <w:bookmarkStart w:id="4" w:name="_Toc17642"/>
      <w:r>
        <w:rPr>
          <w:rFonts w:hint="eastAsia"/>
        </w:rPr>
        <w:t>6.4、风险评估</w:t>
      </w:r>
      <w:bookmarkEnd w:id="4"/>
      <w:r>
        <w:rPr>
          <w:rFonts w:hint="eastAsia"/>
          <w:lang w:val="en-US" w:eastAsia="zh-CN"/>
        </w:rPr>
        <w:t>儿童爬爬垫</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szCs w:val="21"/>
          <w:lang w:val="en-US" w:eastAsia="zh-CN"/>
        </w:rPr>
        <w:t>儿童爬爬垫</w:t>
      </w:r>
      <w:r>
        <w:rPr>
          <w:rFonts w:hint="eastAsia" w:ascii="宋体" w:hAnsi="宋体" w:cs="宋体"/>
          <w:szCs w:val="21"/>
        </w:rPr>
        <w:t>的特点，模拟现实使用场景及可预见的其他情况，对检测项目进行分析。具体分析方法考虑使用矩阵法及其他相对比较适用的方法，参考GB/T</w:t>
      </w:r>
      <w:r>
        <w:rPr>
          <w:rFonts w:hint="eastAsia" w:ascii="宋体" w:hAnsi="宋体" w:cs="宋体"/>
          <w:szCs w:val="21"/>
          <w:lang w:val="en-US" w:eastAsia="zh-CN"/>
        </w:rPr>
        <w:t xml:space="preserve"> </w:t>
      </w:r>
      <w:r>
        <w:rPr>
          <w:rFonts w:hint="eastAsia" w:ascii="宋体" w:hAnsi="宋体" w:cs="宋体"/>
          <w:szCs w:val="21"/>
        </w:rPr>
        <w: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9"/>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9"/>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9"/>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9"/>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9"/>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9"/>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9"/>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9"/>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9"/>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9"/>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9"/>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9"/>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9"/>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9"/>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9"/>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42428B51">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9"/>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2FB8602E">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4F4E817A">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9"/>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5B6CE1D7">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9"/>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9"/>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9"/>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9"/>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欧盟非食品消费品快速预警系统(RAPEX)</w:t>
      </w:r>
      <w:r>
        <w:rPr>
          <w:rFonts w:hint="eastAsia" w:ascii="宋体" w:hAnsi="宋体" w:cs="宋体"/>
          <w:szCs w:val="21"/>
        </w:rPr>
        <w:t>估计，预期结论为</w:t>
      </w:r>
      <w:r>
        <w:rPr>
          <w:rFonts w:hint="eastAsia" w:ascii="宋体" w:hAnsi="宋体" w:cs="宋体"/>
          <w:szCs w:val="21"/>
          <w:lang w:val="en-US" w:eastAsia="zh-CN"/>
        </w:rPr>
        <w:t>儿童爬爬垫产品小零件、甲酰胺、邻苯二甲酸酯、多环芳烃和溶剂迁移</w:t>
      </w:r>
      <w:r>
        <w:rPr>
          <w:rFonts w:hint="eastAsia" w:ascii="宋体" w:hAnsi="宋体" w:cs="宋体"/>
          <w:szCs w:val="21"/>
        </w:rPr>
        <w:t>的风险为</w:t>
      </w:r>
      <w:r>
        <w:rPr>
          <w:rFonts w:hint="eastAsia" w:ascii="宋体" w:hAnsi="宋体" w:cs="宋体"/>
          <w:szCs w:val="21"/>
          <w:lang w:val="en-US" w:eastAsia="zh-CN"/>
        </w:rPr>
        <w:t>低风险</w:t>
      </w:r>
      <w:r>
        <w:rPr>
          <w:rFonts w:hint="eastAsia" w:ascii="宋体" w:hAnsi="宋体" w:cs="宋体"/>
          <w:szCs w:val="21"/>
        </w:rPr>
        <w:t>。</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szCs w:val="21"/>
          <w:lang w:val="en-US" w:eastAsia="zh-CN"/>
        </w:rPr>
        <w:t>儿童爬爬垫</w:t>
      </w:r>
      <w:r>
        <w:rPr>
          <w:rFonts w:hint="eastAsia" w:ascii="宋体" w:hAnsi="宋体" w:cs="宋体"/>
          <w:szCs w:val="21"/>
        </w:rPr>
        <w:t xml:space="preserve">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szCs w:val="21"/>
          <w:lang w:val="en-US" w:eastAsia="zh-CN"/>
        </w:rPr>
        <w:t>儿童爬爬垫</w:t>
      </w:r>
      <w:r>
        <w:rPr>
          <w:rFonts w:hint="eastAsia" w:ascii="宋体" w:hAnsi="宋体" w:cs="宋体"/>
          <w:szCs w:val="21"/>
        </w:rPr>
        <w:t>对儿童健康的安全隐患，监管部门应加强对企业生产过程的监督检查力度，检查企业生产过程中是否使用过量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0"/>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4E0C8C8E"/>
    <w:p w14:paraId="7AEF1EFE"/>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335EA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9B08DFFE-572C-4DF1-A5D7-1499A7795AA2}"/>
  </w:font>
  <w:font w:name="仿宋">
    <w:panose1 w:val="02010609060101010101"/>
    <w:charset w:val="86"/>
    <w:family w:val="modern"/>
    <w:pitch w:val="default"/>
    <w:sig w:usb0="800002BF" w:usb1="38CF7CFA" w:usb2="00000016" w:usb3="00000000" w:csb0="00040001" w:csb1="00000000"/>
    <w:embedRegular r:id="rId2" w:fontKey="{B5987E7A-F824-4AE4-85A6-6DF9FAF0A719}"/>
  </w:font>
  <w:font w:name="宋体-方正超大字符集">
    <w:altName w:val="宋体"/>
    <w:panose1 w:val="00000000000000000000"/>
    <w:charset w:val="86"/>
    <w:family w:val="script"/>
    <w:pitch w:val="default"/>
    <w:sig w:usb0="00000000" w:usb1="00000000" w:usb2="00000010" w:usb3="00000000" w:csb0="00040000" w:csb1="00000000"/>
    <w:embedRegular r:id="rId3" w:fontKey="{E9BD063F-EB05-4AF5-B17F-C37CBAC5C757}"/>
  </w:font>
  <w:font w:name="方正小标宋_GBK">
    <w:altName w:val="微软雅黑"/>
    <w:panose1 w:val="00000000000000000000"/>
    <w:charset w:val="86"/>
    <w:family w:val="auto"/>
    <w:pitch w:val="default"/>
    <w:sig w:usb0="00000000" w:usb1="00000000" w:usb2="00082016" w:usb3="00000000" w:csb0="00040001" w:csb1="00000000"/>
    <w:embedRegular r:id="rId4" w:fontKey="{53F4FD03-07D6-4E35-B634-0FAAE56B50ED}"/>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48D164A"/>
    <w:rsid w:val="070D7412"/>
    <w:rsid w:val="072E208E"/>
    <w:rsid w:val="0732381D"/>
    <w:rsid w:val="08F204AC"/>
    <w:rsid w:val="0B00275A"/>
    <w:rsid w:val="0B87417F"/>
    <w:rsid w:val="0D141031"/>
    <w:rsid w:val="0D170316"/>
    <w:rsid w:val="0EB93339"/>
    <w:rsid w:val="0FD77F2D"/>
    <w:rsid w:val="117C77AF"/>
    <w:rsid w:val="12EF3A78"/>
    <w:rsid w:val="13435D4E"/>
    <w:rsid w:val="152E03E8"/>
    <w:rsid w:val="152F6116"/>
    <w:rsid w:val="16ED53B9"/>
    <w:rsid w:val="175E3CFD"/>
    <w:rsid w:val="180C6BE2"/>
    <w:rsid w:val="1A951111"/>
    <w:rsid w:val="1AB1581F"/>
    <w:rsid w:val="1B7A5039"/>
    <w:rsid w:val="1B836D49"/>
    <w:rsid w:val="1B9C39AF"/>
    <w:rsid w:val="1D282061"/>
    <w:rsid w:val="1DC51D0D"/>
    <w:rsid w:val="20414D4B"/>
    <w:rsid w:val="221A4197"/>
    <w:rsid w:val="23502079"/>
    <w:rsid w:val="2810627B"/>
    <w:rsid w:val="28892427"/>
    <w:rsid w:val="2B1851DD"/>
    <w:rsid w:val="2C163734"/>
    <w:rsid w:val="2D265975"/>
    <w:rsid w:val="2F782E84"/>
    <w:rsid w:val="30E84203"/>
    <w:rsid w:val="36EB04FF"/>
    <w:rsid w:val="370276D6"/>
    <w:rsid w:val="37B7401D"/>
    <w:rsid w:val="386B3079"/>
    <w:rsid w:val="395C3C16"/>
    <w:rsid w:val="3CAD5056"/>
    <w:rsid w:val="40675E81"/>
    <w:rsid w:val="42D5315D"/>
    <w:rsid w:val="4320017F"/>
    <w:rsid w:val="44F16D9A"/>
    <w:rsid w:val="46C75F3C"/>
    <w:rsid w:val="487D5D8A"/>
    <w:rsid w:val="4D292E6F"/>
    <w:rsid w:val="4EB5358E"/>
    <w:rsid w:val="524953E7"/>
    <w:rsid w:val="539D6D46"/>
    <w:rsid w:val="56D46BF8"/>
    <w:rsid w:val="57F840A4"/>
    <w:rsid w:val="58A91308"/>
    <w:rsid w:val="5BA67D81"/>
    <w:rsid w:val="5BD112A2"/>
    <w:rsid w:val="5CD526CC"/>
    <w:rsid w:val="5E9F0DA8"/>
    <w:rsid w:val="5EC073AC"/>
    <w:rsid w:val="5F615B5E"/>
    <w:rsid w:val="61A30FEA"/>
    <w:rsid w:val="623A1223"/>
    <w:rsid w:val="625378CF"/>
    <w:rsid w:val="62C728EC"/>
    <w:rsid w:val="63D26282"/>
    <w:rsid w:val="65643B4C"/>
    <w:rsid w:val="678114C7"/>
    <w:rsid w:val="68582403"/>
    <w:rsid w:val="6A42336B"/>
    <w:rsid w:val="6AA81C9B"/>
    <w:rsid w:val="6B563571"/>
    <w:rsid w:val="6C6D0151"/>
    <w:rsid w:val="6D7955B3"/>
    <w:rsid w:val="6E7D140D"/>
    <w:rsid w:val="6F343F18"/>
    <w:rsid w:val="6FCF38F2"/>
    <w:rsid w:val="705A62D8"/>
    <w:rsid w:val="71431EA2"/>
    <w:rsid w:val="725E5BA2"/>
    <w:rsid w:val="72C810AD"/>
    <w:rsid w:val="72D45068"/>
    <w:rsid w:val="784C1F84"/>
    <w:rsid w:val="79413C38"/>
    <w:rsid w:val="7A361E33"/>
    <w:rsid w:val="7A867D67"/>
    <w:rsid w:val="7AAD0B5B"/>
    <w:rsid w:val="7CFC042D"/>
    <w:rsid w:val="7D450D50"/>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3"/>
    <w:qFormat/>
    <w:uiPriority w:val="0"/>
    <w:pPr>
      <w:keepNext/>
      <w:keepLines/>
      <w:spacing w:line="360" w:lineRule="auto"/>
      <w:outlineLvl w:val="3"/>
    </w:pPr>
    <w:rPr>
      <w:rFonts w:ascii="Arial" w:hAnsi="Arial"/>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link w:val="19"/>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2">
    <w:name w:val="Strong"/>
    <w:basedOn w:val="11"/>
    <w:qFormat/>
    <w:uiPriority w:val="22"/>
    <w:rPr>
      <w:b/>
      <w:bCs/>
    </w:rPr>
  </w:style>
  <w:style w:type="character" w:customStyle="1" w:styleId="13">
    <w:name w:val="标题 4 字符"/>
    <w:basedOn w:val="11"/>
    <w:link w:val="4"/>
    <w:qFormat/>
    <w:uiPriority w:val="0"/>
    <w:rPr>
      <w:rFonts w:ascii="Arial" w:hAnsi="Arial" w:eastAsia="宋体" w:cs="Times New Roman"/>
      <w:b/>
      <w:sz w:val="28"/>
      <w:szCs w:val="24"/>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7">
    <w:name w:val="标题 3 字符"/>
    <w:basedOn w:val="11"/>
    <w:link w:val="3"/>
    <w:semiHidden/>
    <w:qFormat/>
    <w:uiPriority w:val="9"/>
    <w:rPr>
      <w:rFonts w:ascii="Times New Roman" w:hAnsi="Times New Roman" w:eastAsia="宋体" w:cs="Times New Roman"/>
      <w:b/>
      <w:bCs/>
      <w:sz w:val="32"/>
      <w:szCs w:val="32"/>
    </w:rPr>
  </w:style>
  <w:style w:type="character" w:customStyle="1" w:styleId="18">
    <w:name w:val="正文文本缩进 字符"/>
    <w:basedOn w:val="11"/>
    <w:link w:val="5"/>
    <w:semiHidden/>
    <w:qFormat/>
    <w:uiPriority w:val="99"/>
    <w:rPr>
      <w:rFonts w:ascii="Times New Roman" w:hAnsi="Times New Roman" w:eastAsia="宋体" w:cs="Times New Roman"/>
      <w:szCs w:val="24"/>
    </w:rPr>
  </w:style>
  <w:style w:type="character" w:customStyle="1" w:styleId="19">
    <w:name w:val="正文文本首行缩进 2 字符"/>
    <w:basedOn w:val="18"/>
    <w:link w:val="9"/>
    <w:qFormat/>
    <w:uiPriority w:val="99"/>
    <w:rPr>
      <w:rFonts w:ascii="宋体" w:hAnsi="宋体" w:eastAsia="宋体" w:cs="宋体"/>
      <w:kern w:val="0"/>
      <w:sz w:val="24"/>
      <w:szCs w:val="24"/>
      <w:lang w:val="zh-CN" w:bidi="zh-CN"/>
    </w:rPr>
  </w:style>
  <w:style w:type="paragraph" w:customStyle="1" w:styleId="20">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1">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3645</Words>
  <Characters>4181</Characters>
  <Lines>61</Lines>
  <Paragraphs>17</Paragraphs>
  <TotalTime>0</TotalTime>
  <ScaleCrop>false</ScaleCrop>
  <LinksUpToDate>false</LinksUpToDate>
  <CharactersWithSpaces>4257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小魔仙</cp:lastModifiedBy>
  <dcterms:modified xsi:type="dcterms:W3CDTF">2025-06-16T07:39:05Z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4391C38669504E6C8A5E7CF385236652_13</vt:lpwstr>
  </property>
  <property fmtid="{D5CDD505-2E9C-101B-9397-08002B2CF9AE}" pid="4" name="KSOTemplateDocerSaveRecord">
    <vt:lpwstr>eyJoZGlkIjoiMmVjMmM0MGQ5MTYwYTdmMzlhNTI4MTY2NWNhNzg3MTIiLCJ1c2VySWQiOiIyNTU3MjczMDYifQ==</vt:lpwstr>
  </property>
</Properties>
</file>