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440AB">
      <w:pPr>
        <w:widowControl w:val="0"/>
        <w:kinsoku/>
        <w:autoSpaceDE/>
        <w:autoSpaceDN/>
        <w:adjustRightInd/>
        <w:snapToGrid w:val="0"/>
        <w:spacing w:line="360" w:lineRule="auto"/>
        <w:jc w:val="center"/>
        <w:textAlignment w:val="auto"/>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2025年大同市型钢产品</w:t>
      </w:r>
    </w:p>
    <w:p w14:paraId="4F3C3E39">
      <w:pPr>
        <w:widowControl w:val="0"/>
        <w:kinsoku/>
        <w:autoSpaceDE/>
        <w:autoSpaceDN/>
        <w:adjustRightInd/>
        <w:snapToGrid w:val="0"/>
        <w:spacing w:line="360" w:lineRule="auto"/>
        <w:jc w:val="center"/>
        <w:textAlignment w:val="auto"/>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质量监督抽查实施细则</w:t>
      </w:r>
    </w:p>
    <w:p w14:paraId="02006628">
      <w:pPr>
        <w:spacing w:line="463" w:lineRule="auto"/>
        <w:rPr>
          <w:rFonts w:ascii="Arial"/>
          <w:color w:val="auto"/>
          <w:sz w:val="21"/>
        </w:rPr>
      </w:pPr>
    </w:p>
    <w:p w14:paraId="681ACFA2">
      <w:pPr>
        <w:pStyle w:val="8"/>
        <w:tabs>
          <w:tab w:val="left" w:pos="438"/>
        </w:tabs>
        <w:autoSpaceDE w:val="0"/>
        <w:autoSpaceDN w:val="0"/>
        <w:spacing w:beforeLines="50" w:afterLines="50" w:line="440" w:lineRule="exact"/>
        <w:ind w:firstLine="0" w:firstLineChars="0"/>
        <w:jc w:val="left"/>
        <w:rPr>
          <w:rFonts w:ascii="Arial"/>
          <w:color w:val="auto"/>
          <w:sz w:val="21"/>
        </w:rPr>
      </w:pPr>
      <w:r>
        <w:rPr>
          <w:rFonts w:ascii="Times New Roman" w:hAnsi="Times New Roman" w:eastAsia="黑体"/>
          <w:color w:val="000000"/>
          <w:szCs w:val="21"/>
        </w:rPr>
        <w:t>1 抽样方法</w:t>
      </w:r>
    </w:p>
    <w:p w14:paraId="5FBB0530">
      <w:pPr>
        <w:widowControl w:val="0"/>
        <w:kinsoku/>
        <w:autoSpaceDE/>
        <w:autoSpaceDN/>
        <w:adjustRightInd/>
        <w:snapToGrid w:val="0"/>
        <w:spacing w:line="440" w:lineRule="exact"/>
        <w:ind w:firstLine="420" w:firstLineChars="200"/>
        <w:jc w:val="both"/>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以随机抽样的方式在被抽样生产者、销售者的待销产品中抽取。</w:t>
      </w:r>
    </w:p>
    <w:p w14:paraId="2BB2D56B">
      <w:pPr>
        <w:widowControl w:val="0"/>
        <w:kinsoku/>
        <w:autoSpaceDE/>
        <w:autoSpaceDN/>
        <w:adjustRightInd/>
        <w:snapToGrid w:val="0"/>
        <w:spacing w:line="440" w:lineRule="exact"/>
        <w:ind w:firstLine="420" w:firstLineChars="200"/>
        <w:jc w:val="both"/>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随机数一般可使用随机数表等方法产生。</w:t>
      </w:r>
    </w:p>
    <w:p w14:paraId="17F437C6">
      <w:pPr>
        <w:widowControl w:val="0"/>
        <w:kinsoku/>
        <w:autoSpaceDE/>
        <w:autoSpaceDN/>
        <w:adjustRightInd/>
        <w:snapToGrid w:val="0"/>
        <w:spacing w:line="440" w:lineRule="exact"/>
        <w:ind w:firstLine="420" w:firstLineChars="200"/>
        <w:jc w:val="both"/>
        <w:textAlignment w:val="auto"/>
        <w:rPr>
          <w:rFonts w:hint="eastAsia" w:ascii="宋体" w:hAnsi="宋体" w:eastAsia="宋体" w:cs="宋体"/>
          <w:spacing w:val="0"/>
          <w:sz w:val="24"/>
          <w:szCs w:val="24"/>
        </w:rPr>
      </w:pPr>
      <w:r>
        <w:rPr>
          <w:rFonts w:hint="eastAsia" w:ascii="Times New Roman" w:hAnsi="Times New Roman" w:eastAsia="宋体" w:cs="Times New Roman"/>
          <w:snapToGrid/>
          <w:color w:val="000000"/>
          <w:kern w:val="2"/>
          <w:szCs w:val="21"/>
          <w:lang w:val="en-US" w:eastAsia="zh-CN" w:bidi="ar-SA"/>
        </w:rPr>
        <w:t>每批次产品抽取样品1根1.6米，截成2根，其中0.8米1根作为检验样品，0.8米1根作为备用样品。</w:t>
      </w:r>
    </w:p>
    <w:p w14:paraId="5032B8FB">
      <w:pPr>
        <w:pStyle w:val="8"/>
        <w:widowControl w:val="0"/>
        <w:numPr>
          <w:ilvl w:val="0"/>
          <w:numId w:val="0"/>
        </w:numPr>
        <w:tabs>
          <w:tab w:val="left" w:pos="438"/>
        </w:tabs>
        <w:kinsoku/>
        <w:autoSpaceDE w:val="0"/>
        <w:autoSpaceDN w:val="0"/>
        <w:adjustRightInd/>
        <w:snapToGrid/>
        <w:spacing w:beforeLines="50" w:afterLines="50" w:line="440" w:lineRule="exact"/>
        <w:jc w:val="left"/>
        <w:textAlignment w:val="auto"/>
        <w:rPr>
          <w:rFonts w:hint="eastAsia" w:ascii="黑体" w:hAnsi="黑体" w:eastAsia="黑体" w:cs="黑体"/>
          <w:snapToGrid/>
          <w:kern w:val="2"/>
          <w:szCs w:val="24"/>
          <w:lang w:val="en-US" w:eastAsia="zh-CN" w:bidi="zh-CN"/>
        </w:rPr>
      </w:pPr>
      <w:r>
        <w:rPr>
          <w:rFonts w:hint="eastAsia" w:ascii="黑体" w:hAnsi="黑体" w:eastAsia="黑体" w:cs="黑体"/>
          <w:snapToGrid/>
          <w:kern w:val="2"/>
          <w:szCs w:val="24"/>
          <w:lang w:val="en-US" w:eastAsia="zh-CN" w:bidi="zh-CN"/>
        </w:rPr>
        <w:t>2 检验依据</w:t>
      </w:r>
    </w:p>
    <w:p w14:paraId="604A921F">
      <w:pPr>
        <w:spacing w:line="240" w:lineRule="exact"/>
      </w:pPr>
    </w:p>
    <w:tbl>
      <w:tblPr>
        <w:tblStyle w:val="7"/>
        <w:tblW w:w="9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4330"/>
        <w:gridCol w:w="3886"/>
      </w:tblGrid>
      <w:tr w14:paraId="7BB99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53" w:type="dxa"/>
            <w:tcBorders>
              <w:bottom w:val="single" w:color="auto" w:sz="4" w:space="0"/>
            </w:tcBorders>
            <w:vAlign w:val="top"/>
          </w:tcPr>
          <w:p w14:paraId="1A01168B">
            <w:pPr>
              <w:spacing w:before="186" w:line="231" w:lineRule="auto"/>
              <w:ind w:left="228"/>
              <w:jc w:val="both"/>
              <w:rPr>
                <w:rFonts w:hint="default" w:ascii="Times New Roman" w:hAnsi="Times New Roman" w:eastAsia="宋体" w:cs="Times New Roman"/>
                <w:spacing w:val="5"/>
                <w:sz w:val="21"/>
                <w:szCs w:val="21"/>
              </w:rPr>
            </w:pPr>
            <w:r>
              <w:rPr>
                <w:rFonts w:hint="default" w:ascii="Times New Roman" w:hAnsi="Times New Roman" w:eastAsia="宋体" w:cs="Times New Roman"/>
                <w:spacing w:val="5"/>
                <w:sz w:val="21"/>
                <w:szCs w:val="21"/>
              </w:rPr>
              <w:t>序号</w:t>
            </w:r>
          </w:p>
        </w:tc>
        <w:tc>
          <w:tcPr>
            <w:tcW w:w="4330" w:type="dxa"/>
            <w:tcBorders>
              <w:bottom w:val="single" w:color="auto" w:sz="4" w:space="0"/>
            </w:tcBorders>
            <w:vAlign w:val="top"/>
          </w:tcPr>
          <w:p w14:paraId="71523FEF">
            <w:pPr>
              <w:spacing w:before="186" w:line="231" w:lineRule="auto"/>
              <w:ind w:left="228"/>
              <w:jc w:val="center"/>
              <w:rPr>
                <w:rFonts w:hint="default" w:ascii="Times New Roman" w:hAnsi="Times New Roman" w:eastAsia="宋体" w:cs="Times New Roman"/>
                <w:spacing w:val="5"/>
                <w:sz w:val="21"/>
                <w:szCs w:val="21"/>
              </w:rPr>
            </w:pPr>
            <w:r>
              <w:rPr>
                <w:rFonts w:hint="default" w:ascii="Times New Roman" w:hAnsi="Times New Roman" w:eastAsia="宋体" w:cs="Times New Roman"/>
                <w:spacing w:val="5"/>
                <w:sz w:val="21"/>
                <w:szCs w:val="21"/>
              </w:rPr>
              <w:t>检验项目</w:t>
            </w:r>
          </w:p>
        </w:tc>
        <w:tc>
          <w:tcPr>
            <w:tcW w:w="3886" w:type="dxa"/>
            <w:tcBorders>
              <w:bottom w:val="single" w:color="auto" w:sz="4" w:space="0"/>
            </w:tcBorders>
            <w:vAlign w:val="top"/>
          </w:tcPr>
          <w:p w14:paraId="7328A489">
            <w:pPr>
              <w:spacing w:before="186" w:line="231" w:lineRule="auto"/>
              <w:ind w:left="228"/>
              <w:jc w:val="center"/>
              <w:rPr>
                <w:rFonts w:hint="default" w:ascii="Times New Roman" w:hAnsi="Times New Roman" w:eastAsia="宋体" w:cs="Times New Roman"/>
                <w:color w:val="auto"/>
                <w:spacing w:val="5"/>
                <w:sz w:val="21"/>
                <w:szCs w:val="21"/>
              </w:rPr>
            </w:pPr>
            <w:r>
              <w:rPr>
                <w:rFonts w:hint="default" w:ascii="Times New Roman" w:hAnsi="Times New Roman" w:eastAsia="宋体" w:cs="Times New Roman"/>
                <w:color w:val="auto"/>
                <w:spacing w:val="5"/>
                <w:sz w:val="21"/>
                <w:szCs w:val="21"/>
              </w:rPr>
              <w:t>检验方法</w:t>
            </w:r>
          </w:p>
        </w:tc>
      </w:tr>
      <w:tr w14:paraId="7D913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853" w:type="dxa"/>
            <w:tcBorders>
              <w:top w:val="single" w:color="auto" w:sz="4" w:space="0"/>
              <w:left w:val="single" w:color="auto" w:sz="4" w:space="0"/>
              <w:bottom w:val="single" w:color="auto" w:sz="4" w:space="0"/>
              <w:right w:val="single" w:color="auto" w:sz="4" w:space="0"/>
            </w:tcBorders>
            <w:vAlign w:val="center"/>
          </w:tcPr>
          <w:p w14:paraId="1A95C46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4330" w:type="dxa"/>
            <w:tcBorders>
              <w:top w:val="single" w:color="auto" w:sz="4" w:space="0"/>
              <w:left w:val="single" w:color="auto" w:sz="4" w:space="0"/>
              <w:bottom w:val="single" w:color="auto" w:sz="4" w:space="0"/>
              <w:right w:val="single" w:color="auto" w:sz="4" w:space="0"/>
            </w:tcBorders>
            <w:vAlign w:val="center"/>
          </w:tcPr>
          <w:p w14:paraId="4E69970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z w:val="21"/>
                <w:szCs w:val="21"/>
              </w:rPr>
            </w:pPr>
            <w:r>
              <w:rPr>
                <w:rFonts w:hint="eastAsia" w:ascii="Times New Roman" w:hAnsi="Times New Roman" w:eastAsia="宋体" w:cs="Times New Roman"/>
                <w:i w:val="0"/>
                <w:iCs w:val="0"/>
                <w:color w:val="auto"/>
                <w:kern w:val="0"/>
                <w:sz w:val="21"/>
                <w:szCs w:val="21"/>
                <w:u w:val="none"/>
                <w:lang w:val="en-US" w:eastAsia="zh-CN" w:bidi="ar"/>
              </w:rPr>
              <w:t>外形</w:t>
            </w:r>
            <w:r>
              <w:rPr>
                <w:rFonts w:hint="default" w:ascii="Times New Roman" w:hAnsi="Times New Roman" w:eastAsia="宋体" w:cs="Times New Roman"/>
                <w:i w:val="0"/>
                <w:iCs w:val="0"/>
                <w:color w:val="auto"/>
                <w:kern w:val="0"/>
                <w:sz w:val="21"/>
                <w:szCs w:val="21"/>
                <w:u w:val="none"/>
                <w:lang w:val="en-US" w:eastAsia="zh-CN" w:bidi="ar"/>
              </w:rPr>
              <w:t>尺寸</w:t>
            </w:r>
          </w:p>
        </w:tc>
        <w:tc>
          <w:tcPr>
            <w:tcW w:w="3886" w:type="dxa"/>
            <w:tcBorders>
              <w:top w:val="single" w:color="auto" w:sz="4" w:space="0"/>
              <w:left w:val="single" w:color="auto" w:sz="4" w:space="0"/>
              <w:bottom w:val="single" w:color="auto" w:sz="4" w:space="0"/>
              <w:right w:val="single" w:color="auto" w:sz="4" w:space="0"/>
            </w:tcBorders>
            <w:vAlign w:val="center"/>
          </w:tcPr>
          <w:p w14:paraId="7AB6F1D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GB</w:t>
            </w:r>
            <w:r>
              <w:rPr>
                <w:rFonts w:hint="default" w:ascii="Times New Roman" w:hAnsi="Times New Roman" w:eastAsia="宋体" w:cs="Times New Roman"/>
                <w:color w:val="auto"/>
                <w:spacing w:val="0"/>
                <w:sz w:val="21"/>
                <w:szCs w:val="21"/>
                <w:lang w:val="en-US" w:eastAsia="zh-CN"/>
              </w:rPr>
              <w:t>/</w:t>
            </w:r>
            <w:r>
              <w:rPr>
                <w:rFonts w:hint="default" w:ascii="Times New Roman" w:hAnsi="Times New Roman" w:eastAsia="宋体" w:cs="Times New Roman"/>
                <w:color w:val="auto"/>
                <w:spacing w:val="0"/>
                <w:sz w:val="21"/>
                <w:szCs w:val="21"/>
                <w:lang w:eastAsia="zh-CN"/>
              </w:rPr>
              <w:t>T</w:t>
            </w:r>
            <w:r>
              <w:rPr>
                <w:rFonts w:hint="default" w:ascii="Times New Roman" w:hAnsi="Times New Roman" w:eastAsia="宋体" w:cs="Times New Roman"/>
                <w:color w:val="auto"/>
                <w:spacing w:val="0"/>
                <w:sz w:val="21"/>
                <w:szCs w:val="21"/>
                <w:lang w:val="en-US" w:eastAsia="zh-CN"/>
              </w:rPr>
              <w:t xml:space="preserve"> </w:t>
            </w:r>
            <w:r>
              <w:rPr>
                <w:rFonts w:hint="default" w:ascii="Times New Roman" w:hAnsi="Times New Roman" w:eastAsia="宋体" w:cs="Times New Roman"/>
                <w:color w:val="auto"/>
                <w:spacing w:val="0"/>
                <w:sz w:val="21"/>
                <w:szCs w:val="21"/>
                <w:lang w:eastAsia="zh-CN"/>
              </w:rPr>
              <w:t>706-2016</w:t>
            </w:r>
          </w:p>
          <w:p w14:paraId="4170936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GB/T 11263-2017</w:t>
            </w:r>
          </w:p>
          <w:p w14:paraId="53B3E69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eastAsia="zh-CN"/>
              </w:rPr>
              <w:t>GB/T 11263-20</w:t>
            </w:r>
            <w:r>
              <w:rPr>
                <w:rFonts w:hint="default" w:ascii="Times New Roman" w:hAnsi="Times New Roman" w:eastAsia="宋体" w:cs="Times New Roman"/>
                <w:color w:val="auto"/>
                <w:spacing w:val="0"/>
                <w:sz w:val="21"/>
                <w:szCs w:val="21"/>
                <w:lang w:val="en-US" w:eastAsia="zh-CN"/>
              </w:rPr>
              <w:t>24</w:t>
            </w:r>
          </w:p>
        </w:tc>
      </w:tr>
      <w:tr w14:paraId="68C60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53" w:type="dxa"/>
            <w:tcBorders>
              <w:top w:val="single" w:color="auto" w:sz="4" w:space="0"/>
              <w:bottom w:val="nil"/>
            </w:tcBorders>
            <w:vAlign w:val="center"/>
          </w:tcPr>
          <w:p w14:paraId="12B6F8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w:t>
            </w:r>
          </w:p>
        </w:tc>
        <w:tc>
          <w:tcPr>
            <w:tcW w:w="4330" w:type="dxa"/>
            <w:tcBorders>
              <w:top w:val="single" w:color="auto" w:sz="4" w:space="0"/>
              <w:bottom w:val="nil"/>
            </w:tcBorders>
            <w:vAlign w:val="center"/>
          </w:tcPr>
          <w:p w14:paraId="1519435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抗拉强度</w:t>
            </w:r>
          </w:p>
        </w:tc>
        <w:tc>
          <w:tcPr>
            <w:tcW w:w="3886" w:type="dxa"/>
            <w:tcBorders>
              <w:top w:val="single" w:color="auto" w:sz="4" w:space="0"/>
              <w:bottom w:val="nil"/>
            </w:tcBorders>
            <w:vAlign w:val="center"/>
          </w:tcPr>
          <w:p w14:paraId="490C89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0"/>
                <w:sz w:val="21"/>
                <w:szCs w:val="21"/>
              </w:rPr>
              <w:t>GB</w:t>
            </w:r>
            <w:r>
              <w:rPr>
                <w:rFonts w:hint="default" w:ascii="Times New Roman" w:hAnsi="Times New Roman" w:eastAsia="宋体" w:cs="Times New Roman"/>
                <w:color w:val="auto"/>
                <w:spacing w:val="-16"/>
                <w:sz w:val="21"/>
                <w:szCs w:val="21"/>
              </w:rPr>
              <w:t>/</w:t>
            </w:r>
            <w:r>
              <w:rPr>
                <w:rFonts w:hint="default" w:ascii="Times New Roman" w:hAnsi="Times New Roman" w:eastAsia="宋体" w:cs="Times New Roman"/>
                <w:color w:val="auto"/>
                <w:spacing w:val="-10"/>
                <w:sz w:val="21"/>
                <w:szCs w:val="21"/>
              </w:rPr>
              <w:t xml:space="preserve">T </w:t>
            </w:r>
            <w:r>
              <w:rPr>
                <w:rFonts w:hint="default" w:ascii="Times New Roman" w:hAnsi="Times New Roman" w:eastAsia="宋体" w:cs="Times New Roman"/>
                <w:color w:val="auto"/>
                <w:spacing w:val="-10"/>
                <w:sz w:val="21"/>
                <w:szCs w:val="21"/>
                <w:lang w:val="en-US" w:eastAsia="zh-CN"/>
              </w:rPr>
              <w:t>228.1-2021</w:t>
            </w:r>
          </w:p>
        </w:tc>
      </w:tr>
      <w:tr w14:paraId="5C8E9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53" w:type="dxa"/>
            <w:tcBorders>
              <w:top w:val="single" w:color="auto" w:sz="4" w:space="0"/>
              <w:bottom w:val="nil"/>
            </w:tcBorders>
            <w:shd w:val="clear" w:color="auto" w:fill="auto"/>
            <w:vAlign w:val="center"/>
          </w:tcPr>
          <w:p w14:paraId="3D26C66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4</w:t>
            </w:r>
          </w:p>
        </w:tc>
        <w:tc>
          <w:tcPr>
            <w:tcW w:w="4330" w:type="dxa"/>
            <w:tcBorders>
              <w:top w:val="single" w:color="auto" w:sz="4" w:space="0"/>
              <w:bottom w:val="nil"/>
            </w:tcBorders>
            <w:vAlign w:val="center"/>
          </w:tcPr>
          <w:p w14:paraId="60FDAB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屈服强度</w:t>
            </w:r>
          </w:p>
        </w:tc>
        <w:tc>
          <w:tcPr>
            <w:tcW w:w="3886" w:type="dxa"/>
            <w:tcBorders>
              <w:top w:val="single" w:color="auto" w:sz="4" w:space="0"/>
              <w:bottom w:val="nil"/>
            </w:tcBorders>
            <w:vAlign w:val="center"/>
          </w:tcPr>
          <w:p w14:paraId="3C2A10B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GB</w:t>
            </w:r>
            <w:r>
              <w:rPr>
                <w:rFonts w:hint="default" w:ascii="Times New Roman" w:hAnsi="Times New Roman" w:eastAsia="宋体" w:cs="Times New Roman"/>
                <w:color w:val="auto"/>
                <w:spacing w:val="-16"/>
                <w:sz w:val="21"/>
                <w:szCs w:val="21"/>
              </w:rPr>
              <w:t>/</w:t>
            </w:r>
            <w:r>
              <w:rPr>
                <w:rFonts w:hint="default" w:ascii="Times New Roman" w:hAnsi="Times New Roman" w:eastAsia="宋体" w:cs="Times New Roman"/>
                <w:color w:val="auto"/>
                <w:spacing w:val="-10"/>
                <w:sz w:val="21"/>
                <w:szCs w:val="21"/>
              </w:rPr>
              <w:t xml:space="preserve">T </w:t>
            </w:r>
            <w:r>
              <w:rPr>
                <w:rFonts w:hint="default" w:ascii="Times New Roman" w:hAnsi="Times New Roman" w:eastAsia="宋体" w:cs="Times New Roman"/>
                <w:color w:val="auto"/>
                <w:spacing w:val="-10"/>
                <w:sz w:val="21"/>
                <w:szCs w:val="21"/>
                <w:lang w:val="en-US" w:eastAsia="zh-CN"/>
              </w:rPr>
              <w:t>228.1-2021</w:t>
            </w:r>
          </w:p>
        </w:tc>
      </w:tr>
      <w:tr w14:paraId="6C0F9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53" w:type="dxa"/>
            <w:tcBorders>
              <w:top w:val="single" w:color="auto" w:sz="4" w:space="0"/>
              <w:bottom w:val="nil"/>
            </w:tcBorders>
            <w:shd w:val="clear" w:color="auto" w:fill="auto"/>
            <w:vAlign w:val="center"/>
          </w:tcPr>
          <w:p w14:paraId="6AE3F29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5</w:t>
            </w:r>
          </w:p>
        </w:tc>
        <w:tc>
          <w:tcPr>
            <w:tcW w:w="4330" w:type="dxa"/>
            <w:tcBorders>
              <w:top w:val="single" w:color="auto" w:sz="4" w:space="0"/>
              <w:bottom w:val="nil"/>
            </w:tcBorders>
            <w:vAlign w:val="center"/>
          </w:tcPr>
          <w:p w14:paraId="7DC38ED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断后伸长率</w:t>
            </w:r>
          </w:p>
        </w:tc>
        <w:tc>
          <w:tcPr>
            <w:tcW w:w="3886" w:type="dxa"/>
            <w:tcBorders>
              <w:top w:val="single" w:color="auto" w:sz="4" w:space="0"/>
              <w:bottom w:val="nil"/>
            </w:tcBorders>
            <w:vAlign w:val="center"/>
          </w:tcPr>
          <w:p w14:paraId="013DA9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GB</w:t>
            </w:r>
            <w:r>
              <w:rPr>
                <w:rFonts w:hint="default" w:ascii="Times New Roman" w:hAnsi="Times New Roman" w:eastAsia="宋体" w:cs="Times New Roman"/>
                <w:color w:val="auto"/>
                <w:spacing w:val="-16"/>
                <w:sz w:val="21"/>
                <w:szCs w:val="21"/>
              </w:rPr>
              <w:t>/</w:t>
            </w:r>
            <w:r>
              <w:rPr>
                <w:rFonts w:hint="default" w:ascii="Times New Roman" w:hAnsi="Times New Roman" w:eastAsia="宋体" w:cs="Times New Roman"/>
                <w:color w:val="auto"/>
                <w:spacing w:val="-10"/>
                <w:sz w:val="21"/>
                <w:szCs w:val="21"/>
              </w:rPr>
              <w:t xml:space="preserve">T </w:t>
            </w:r>
            <w:r>
              <w:rPr>
                <w:rFonts w:hint="default" w:ascii="Times New Roman" w:hAnsi="Times New Roman" w:eastAsia="宋体" w:cs="Times New Roman"/>
                <w:color w:val="auto"/>
                <w:spacing w:val="-10"/>
                <w:sz w:val="21"/>
                <w:szCs w:val="21"/>
                <w:lang w:val="en-US" w:eastAsia="zh-CN"/>
              </w:rPr>
              <w:t>228.1-2021</w:t>
            </w:r>
          </w:p>
        </w:tc>
      </w:tr>
      <w:tr w14:paraId="46718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53" w:type="dxa"/>
            <w:tcBorders>
              <w:top w:val="single" w:color="auto" w:sz="4" w:space="0"/>
              <w:bottom w:val="single" w:color="auto" w:sz="4" w:space="0"/>
            </w:tcBorders>
            <w:shd w:val="clear" w:color="auto" w:fill="auto"/>
            <w:vAlign w:val="center"/>
          </w:tcPr>
          <w:p w14:paraId="5D276F3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6</w:t>
            </w:r>
          </w:p>
        </w:tc>
        <w:tc>
          <w:tcPr>
            <w:tcW w:w="4330" w:type="dxa"/>
            <w:tcBorders>
              <w:top w:val="single" w:color="auto" w:sz="4" w:space="0"/>
              <w:bottom w:val="single" w:color="auto" w:sz="4" w:space="0"/>
            </w:tcBorders>
            <w:vAlign w:val="center"/>
          </w:tcPr>
          <w:p w14:paraId="05E531E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弯曲试验</w:t>
            </w:r>
          </w:p>
        </w:tc>
        <w:tc>
          <w:tcPr>
            <w:tcW w:w="3886" w:type="dxa"/>
            <w:tcBorders>
              <w:top w:val="single" w:color="auto" w:sz="4" w:space="0"/>
              <w:bottom w:val="single" w:color="auto" w:sz="4" w:space="0"/>
            </w:tcBorders>
            <w:vAlign w:val="center"/>
          </w:tcPr>
          <w:p w14:paraId="2ECB47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sz w:val="21"/>
                <w:szCs w:val="21"/>
                <w:lang w:val="en-US"/>
              </w:rPr>
            </w:pPr>
            <w:r>
              <w:rPr>
                <w:rFonts w:hint="default" w:ascii="Times New Roman" w:hAnsi="Times New Roman" w:eastAsia="宋体" w:cs="Times New Roman"/>
                <w:color w:val="auto"/>
                <w:sz w:val="21"/>
                <w:szCs w:val="21"/>
              </w:rPr>
              <w:t xml:space="preserve">GB/T </w:t>
            </w:r>
            <w:r>
              <w:rPr>
                <w:rFonts w:hint="default" w:ascii="Times New Roman" w:hAnsi="Times New Roman" w:eastAsia="宋体" w:cs="Times New Roman"/>
                <w:color w:val="auto"/>
                <w:sz w:val="21"/>
                <w:szCs w:val="21"/>
                <w:lang w:val="en-US" w:eastAsia="zh-CN"/>
              </w:rPr>
              <w:t>232-2024</w:t>
            </w:r>
          </w:p>
        </w:tc>
      </w:tr>
      <w:tr w14:paraId="73C97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53" w:type="dxa"/>
            <w:tcBorders>
              <w:top w:val="single" w:color="auto" w:sz="4" w:space="0"/>
              <w:bottom w:val="single" w:color="auto" w:sz="4" w:space="0"/>
            </w:tcBorders>
            <w:vAlign w:val="center"/>
          </w:tcPr>
          <w:p w14:paraId="5B8948E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4330" w:type="dxa"/>
            <w:tcBorders>
              <w:top w:val="single" w:color="auto" w:sz="4" w:space="0"/>
              <w:bottom w:val="single" w:color="auto" w:sz="4" w:space="0"/>
            </w:tcBorders>
            <w:vAlign w:val="center"/>
          </w:tcPr>
          <w:p w14:paraId="2B9BB44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冲击试验</w:t>
            </w:r>
          </w:p>
        </w:tc>
        <w:tc>
          <w:tcPr>
            <w:tcW w:w="3886" w:type="dxa"/>
            <w:tcBorders>
              <w:top w:val="single" w:color="auto" w:sz="4" w:space="0"/>
              <w:bottom w:val="single" w:color="auto" w:sz="4" w:space="0"/>
            </w:tcBorders>
            <w:vAlign w:val="center"/>
          </w:tcPr>
          <w:p w14:paraId="15648BC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 xml:space="preserve">GB/T </w:t>
            </w:r>
            <w:r>
              <w:rPr>
                <w:rFonts w:hint="default" w:ascii="Times New Roman" w:hAnsi="Times New Roman" w:eastAsia="宋体" w:cs="Times New Roman"/>
                <w:color w:val="auto"/>
                <w:sz w:val="21"/>
                <w:szCs w:val="21"/>
                <w:lang w:val="en-US" w:eastAsia="zh-CN"/>
              </w:rPr>
              <w:t>229-2020</w:t>
            </w:r>
          </w:p>
        </w:tc>
      </w:tr>
    </w:tbl>
    <w:p w14:paraId="14727C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60" w:firstLineChars="200"/>
        <w:textAlignment w:val="baseline"/>
        <w:rPr>
          <w:rFonts w:hint="eastAsia" w:ascii="宋体" w:hAnsi="宋体" w:eastAsia="宋体" w:cs="宋体"/>
          <w:spacing w:val="0"/>
          <w:sz w:val="13"/>
          <w:szCs w:val="13"/>
        </w:rPr>
      </w:pPr>
    </w:p>
    <w:p w14:paraId="7F3147B0">
      <w:pPr>
        <w:widowControl w:val="0"/>
        <w:kinsoku/>
        <w:autoSpaceDE/>
        <w:autoSpaceDN/>
        <w:adjustRightInd/>
        <w:snapToGrid w:val="0"/>
        <w:spacing w:line="440" w:lineRule="exact"/>
        <w:ind w:firstLine="480" w:firstLineChars="200"/>
        <w:jc w:val="both"/>
        <w:textAlignment w:val="auto"/>
        <w:rPr>
          <w:rFonts w:hint="eastAsia" w:ascii="Times New Roman" w:hAnsi="Times New Roman" w:eastAsia="宋体" w:cs="Times New Roman"/>
          <w:snapToGrid/>
          <w:color w:val="000000"/>
          <w:kern w:val="2"/>
          <w:sz w:val="24"/>
          <w:szCs w:val="24"/>
          <w:lang w:val="en-US" w:eastAsia="zh-CN" w:bidi="ar-SA"/>
        </w:rPr>
      </w:pPr>
      <w:r>
        <w:rPr>
          <w:rFonts w:hint="eastAsia" w:ascii="Times New Roman" w:hAnsi="Times New Roman" w:eastAsia="宋体" w:cs="Times New Roman"/>
          <w:snapToGrid/>
          <w:color w:val="000000"/>
          <w:kern w:val="2"/>
          <w:sz w:val="24"/>
          <w:szCs w:val="24"/>
          <w:lang w:val="en-US" w:eastAsia="zh-CN" w:bidi="ar-SA"/>
        </w:rPr>
        <w:t>执行企业标准、团体标准、地方标准的产品，检验项目参照上述内容执行。</w:t>
      </w:r>
    </w:p>
    <w:p w14:paraId="78952731">
      <w:pPr>
        <w:widowControl w:val="0"/>
        <w:kinsoku/>
        <w:autoSpaceDE/>
        <w:autoSpaceDN/>
        <w:adjustRightInd/>
        <w:snapToGrid w:val="0"/>
        <w:spacing w:line="440" w:lineRule="exact"/>
        <w:ind w:firstLine="480" w:firstLineChars="200"/>
        <w:jc w:val="both"/>
        <w:textAlignment w:val="auto"/>
        <w:rPr>
          <w:rFonts w:hint="eastAsia" w:ascii="Times New Roman" w:hAnsi="Times New Roman" w:eastAsia="宋体" w:cs="Times New Roman"/>
          <w:snapToGrid/>
          <w:color w:val="000000"/>
          <w:kern w:val="2"/>
          <w:sz w:val="24"/>
          <w:szCs w:val="24"/>
          <w:lang w:val="en-US" w:eastAsia="zh-CN" w:bidi="ar-SA"/>
        </w:rPr>
      </w:pPr>
      <w:r>
        <w:rPr>
          <w:rFonts w:hint="eastAsia" w:ascii="Times New Roman" w:hAnsi="Times New Roman" w:eastAsia="宋体" w:cs="Times New Roman"/>
          <w:snapToGrid/>
          <w:color w:val="000000"/>
          <w:kern w:val="2"/>
          <w:sz w:val="24"/>
          <w:szCs w:val="24"/>
          <w:lang w:val="en-US" w:eastAsia="zh-CN" w:bidi="ar-SA"/>
        </w:rPr>
        <w:t>凡是注日期的文件，其随后所有的修改单(不包括勘误的内容)或修订版不适用于本细则。凡是不注日期的文件，其最新版本适用于本细则。</w:t>
      </w:r>
    </w:p>
    <w:p w14:paraId="571560BC">
      <w:pPr>
        <w:pStyle w:val="8"/>
        <w:widowControl w:val="0"/>
        <w:numPr>
          <w:ilvl w:val="0"/>
          <w:numId w:val="0"/>
        </w:numPr>
        <w:tabs>
          <w:tab w:val="left" w:pos="438"/>
        </w:tabs>
        <w:kinsoku/>
        <w:autoSpaceDE w:val="0"/>
        <w:autoSpaceDN w:val="0"/>
        <w:adjustRightInd/>
        <w:snapToGrid/>
        <w:spacing w:beforeLines="50" w:afterLines="50" w:line="440" w:lineRule="exact"/>
        <w:jc w:val="left"/>
        <w:textAlignment w:val="auto"/>
        <w:rPr>
          <w:rFonts w:hint="eastAsia" w:ascii="黑体" w:hAnsi="黑体" w:eastAsia="黑体" w:cs="黑体"/>
          <w:snapToGrid/>
          <w:kern w:val="2"/>
          <w:szCs w:val="24"/>
          <w:lang w:val="en-US" w:eastAsia="zh-CN" w:bidi="zh-CN"/>
        </w:rPr>
      </w:pPr>
      <w:r>
        <w:rPr>
          <w:rFonts w:hint="eastAsia" w:ascii="黑体" w:hAnsi="黑体" w:eastAsia="黑体" w:cs="黑体"/>
          <w:snapToGrid/>
          <w:kern w:val="2"/>
          <w:szCs w:val="24"/>
          <w:lang w:val="en-US" w:eastAsia="zh-CN" w:bidi="zh-CN"/>
        </w:rPr>
        <w:t>3 判定规则</w:t>
      </w:r>
    </w:p>
    <w:p w14:paraId="68A85E1C">
      <w:pPr>
        <w:pStyle w:val="9"/>
        <w:rPr>
          <w:rFonts w:hint="eastAsia" w:ascii="宋体" w:hAnsi="宋体" w:eastAsia="宋体" w:cs="宋体"/>
          <w:spacing w:val="0"/>
          <w:sz w:val="24"/>
          <w:szCs w:val="24"/>
        </w:rPr>
      </w:pPr>
      <w:r>
        <w:rPr>
          <w:rFonts w:hint="eastAsia"/>
          <w:sz w:val="21"/>
        </w:rPr>
        <w:t>3.1</w:t>
      </w:r>
      <w:r>
        <w:rPr>
          <w:rFonts w:hint="eastAsia"/>
          <w:sz w:val="21"/>
          <w:lang w:val="en-US" w:eastAsia="zh-CN"/>
        </w:rPr>
        <w:t xml:space="preserve"> </w:t>
      </w:r>
      <w:r>
        <w:rPr>
          <w:rFonts w:hint="eastAsia"/>
          <w:sz w:val="21"/>
        </w:rPr>
        <w:t>依据标准</w:t>
      </w:r>
    </w:p>
    <w:p w14:paraId="1C41DE6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GB</w:t>
      </w:r>
      <w:r>
        <w:rPr>
          <w:rFonts w:hint="eastAsia" w:ascii="宋体" w:hAnsi="宋体" w:eastAsia="宋体" w:cs="宋体"/>
          <w:color w:val="auto"/>
          <w:spacing w:val="0"/>
          <w:sz w:val="24"/>
          <w:szCs w:val="24"/>
          <w:lang w:val="en-US" w:eastAsia="zh-CN"/>
        </w:rPr>
        <w:t>/</w:t>
      </w:r>
      <w:r>
        <w:rPr>
          <w:rFonts w:hint="eastAsia" w:ascii="宋体" w:hAnsi="宋体" w:eastAsia="宋体" w:cs="宋体"/>
          <w:color w:val="auto"/>
          <w:spacing w:val="0"/>
          <w:sz w:val="24"/>
          <w:szCs w:val="24"/>
          <w:lang w:eastAsia="zh-CN"/>
        </w:rPr>
        <w:t>T</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706-2016《热轧型钢》</w:t>
      </w:r>
    </w:p>
    <w:p w14:paraId="435958D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GB/T 11263-2017《热轧H型钢和</w:t>
      </w:r>
      <w:r>
        <w:rPr>
          <w:rFonts w:hint="eastAsia" w:ascii="宋体" w:hAnsi="宋体" w:eastAsia="宋体" w:cs="宋体"/>
          <w:color w:val="auto"/>
          <w:spacing w:val="0"/>
          <w:sz w:val="24"/>
          <w:szCs w:val="24"/>
          <w:lang w:val="en-US" w:eastAsia="zh-CN"/>
        </w:rPr>
        <w:t>剖分</w:t>
      </w:r>
      <w:r>
        <w:rPr>
          <w:rFonts w:hint="eastAsia" w:ascii="宋体" w:hAnsi="宋体" w:eastAsia="宋体" w:cs="宋体"/>
          <w:color w:val="auto"/>
          <w:spacing w:val="0"/>
          <w:sz w:val="24"/>
          <w:szCs w:val="24"/>
          <w:lang w:eastAsia="zh-CN"/>
        </w:rPr>
        <w:t>T型钢》</w:t>
      </w:r>
    </w:p>
    <w:p w14:paraId="5DDCFC0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GB/T 11263-20</w:t>
      </w:r>
      <w:r>
        <w:rPr>
          <w:rFonts w:hint="eastAsia" w:ascii="宋体" w:hAnsi="宋体" w:eastAsia="宋体" w:cs="宋体"/>
          <w:color w:val="auto"/>
          <w:spacing w:val="0"/>
          <w:sz w:val="24"/>
          <w:szCs w:val="24"/>
          <w:lang w:val="en-US" w:eastAsia="zh-CN"/>
        </w:rPr>
        <w:t>24</w:t>
      </w:r>
      <w:r>
        <w:rPr>
          <w:rFonts w:hint="eastAsia" w:ascii="宋体" w:hAnsi="宋体" w:eastAsia="宋体" w:cs="宋体"/>
          <w:color w:val="auto"/>
          <w:spacing w:val="0"/>
          <w:sz w:val="24"/>
          <w:szCs w:val="24"/>
          <w:lang w:eastAsia="zh-CN"/>
        </w:rPr>
        <w:t>《热轧H型钢和</w:t>
      </w:r>
      <w:r>
        <w:rPr>
          <w:rFonts w:hint="eastAsia" w:ascii="宋体" w:hAnsi="宋体" w:eastAsia="宋体" w:cs="宋体"/>
          <w:color w:val="auto"/>
          <w:spacing w:val="0"/>
          <w:sz w:val="24"/>
          <w:szCs w:val="24"/>
          <w:lang w:val="en-US" w:eastAsia="zh-CN"/>
        </w:rPr>
        <w:t>剖分</w:t>
      </w:r>
      <w:r>
        <w:rPr>
          <w:rFonts w:hint="eastAsia" w:ascii="宋体" w:hAnsi="宋体" w:eastAsia="宋体" w:cs="宋体"/>
          <w:color w:val="auto"/>
          <w:spacing w:val="0"/>
          <w:sz w:val="24"/>
          <w:szCs w:val="24"/>
          <w:lang w:eastAsia="zh-CN"/>
        </w:rPr>
        <w:t>T型钢》</w:t>
      </w:r>
    </w:p>
    <w:p w14:paraId="781AAFA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GB/T 228.1-2021 《金属材料 拉伸试验 第1部分：室温试验方法》</w:t>
      </w:r>
    </w:p>
    <w:p w14:paraId="61BD4A9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 xml:space="preserve">GB/T 229-2020《金属材料 夏比摆锤冲击试验方法》 </w:t>
      </w:r>
    </w:p>
    <w:p w14:paraId="4E26859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GB/T 232-2010《金属材料 弯曲试验方法》</w:t>
      </w:r>
    </w:p>
    <w:p w14:paraId="08FB8FA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现行有效的企业标准、团体标准、地方标准及产品明示质量要求</w:t>
      </w:r>
    </w:p>
    <w:p w14:paraId="60577D38">
      <w:pPr>
        <w:pStyle w:val="9"/>
        <w:rPr>
          <w:rFonts w:hint="eastAsia"/>
          <w:sz w:val="21"/>
        </w:rPr>
      </w:pPr>
      <w:bookmarkStart w:id="0" w:name="_GoBack"/>
      <w:bookmarkEnd w:id="0"/>
    </w:p>
    <w:p w14:paraId="29B6E1A3">
      <w:pPr>
        <w:pStyle w:val="9"/>
        <w:rPr>
          <w:rFonts w:hint="eastAsia"/>
          <w:sz w:val="21"/>
        </w:rPr>
      </w:pPr>
      <w:r>
        <w:rPr>
          <w:rFonts w:hint="eastAsia"/>
          <w:sz w:val="21"/>
        </w:rPr>
        <w:t>3.2</w:t>
      </w:r>
      <w:r>
        <w:rPr>
          <w:rFonts w:hint="eastAsia"/>
          <w:sz w:val="21"/>
          <w:lang w:val="en-US" w:eastAsia="zh-CN"/>
        </w:rPr>
        <w:t xml:space="preserve"> </w:t>
      </w:r>
      <w:r>
        <w:rPr>
          <w:rFonts w:hint="eastAsia"/>
          <w:sz w:val="21"/>
        </w:rPr>
        <w:t>判定原则</w:t>
      </w:r>
    </w:p>
    <w:p w14:paraId="7921D7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经检验，检验项目全部合格，判定为被抽查产品所检项目未发现不合格；检验项目中任一项或一项以上不合格，判定为被抽查产品不合格。</w:t>
      </w:r>
    </w:p>
    <w:p w14:paraId="0E60E4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若被检产品明示的质量要求高于本细则中检验项目依据的标准要求时，应按被检产品明示的质量要求判定。</w:t>
      </w:r>
    </w:p>
    <w:p w14:paraId="28647B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若被检产品明示的质量要求低于本细则中检验项目依据的强制性标准要求时，应按照强制性标 准要求判定。</w:t>
      </w:r>
    </w:p>
    <w:p w14:paraId="0C8903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若被检产品明示的质量要求低于或包含细则中检验项目依据的推荐性标准要求时，应以被检产品明示的质量要求判定。</w:t>
      </w:r>
    </w:p>
    <w:p w14:paraId="55C935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若被检产品明示的质量要求缺少本细则中检验项目依据的强制性标准要求时，应按照强制性标准要求判定。</w:t>
      </w:r>
    </w:p>
    <w:p w14:paraId="02E8F5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若被检产品明示的质量要求缺少本细则中检验项目依据的推荐性标准要求时，该项目不参与判定。</w:t>
      </w:r>
    </w:p>
    <w:sectPr>
      <w:footerReference r:id="rId5" w:type="default"/>
      <w:pgSz w:w="11906" w:h="16839"/>
      <w:pgMar w:top="1431" w:right="1360" w:bottom="1379" w:left="1592" w:header="0" w:footer="12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979E9FD-8DCC-4916-8FCD-D69D13573874}"/>
  </w:font>
  <w:font w:name="黑体">
    <w:panose1 w:val="02010609060101010101"/>
    <w:charset w:val="86"/>
    <w:family w:val="auto"/>
    <w:pitch w:val="default"/>
    <w:sig w:usb0="800002BF" w:usb1="38CF7CFA" w:usb2="00000016" w:usb3="00000000" w:csb0="00040001" w:csb1="00000000"/>
    <w:embedRegular r:id="rId2" w:fontKey="{E91B01A6-C37D-4A5E-A173-21DCD865CD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EB803418-7A68-4914-9CF5-0FEF9773318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434E7">
    <w:pPr>
      <w:spacing w:line="210" w:lineRule="auto"/>
      <w:ind w:left="4430"/>
      <w:rPr>
        <w:rFonts w:ascii="Arial" w:hAnsi="Arial" w:eastAsia="Arial" w:cs="Arial"/>
        <w:sz w:val="17"/>
        <w:szCs w:val="17"/>
      </w:rPr>
    </w:pPr>
    <w:r>
      <w:rPr>
        <w:rFonts w:ascii="Arial" w:hAnsi="Arial" w:eastAsia="Arial" w:cs="Arial"/>
        <w:spacing w:val="6"/>
        <w:sz w:val="17"/>
        <w:szCs w:val="17"/>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531C0"/>
    <w:multiLevelType w:val="multilevel"/>
    <w:tmpl w:val="4B1531C0"/>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宋体" w:hAnsi="宋体" w:eastAsia="宋体" w:cs="Times New Roman"/>
        <w:b/>
        <w:bCs/>
        <w:i w:val="0"/>
        <w:iCs w:val="0"/>
      </w:rPr>
    </w:lvl>
    <w:lvl w:ilvl="2" w:tentative="0">
      <w:start w:val="1"/>
      <w:numFmt w:val="decimal"/>
      <w:pStyle w:val="3"/>
      <w:lvlText w:val="%1.%2.%3"/>
      <w:lvlJc w:val="left"/>
      <w:pPr>
        <w:ind w:left="720" w:hanging="720"/>
      </w:pPr>
      <w:rPr>
        <w:rFonts w:hint="default" w:ascii="宋体" w:hAnsi="宋体" w:eastAsia="宋体" w:cs="Times New Roman"/>
        <w:b/>
        <w:bCs/>
        <w:i w:val="0"/>
        <w:iCs w:val="0"/>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ZiYjZlMzgyMGFjM2E0ODk5MGEyYzY5MTVhZGNiNzcifQ=="/>
  </w:docVars>
  <w:rsids>
    <w:rsidRoot w:val="00000000"/>
    <w:rsid w:val="00D5688F"/>
    <w:rsid w:val="012670EA"/>
    <w:rsid w:val="01464CF5"/>
    <w:rsid w:val="032B2C3B"/>
    <w:rsid w:val="03B46C2F"/>
    <w:rsid w:val="05710988"/>
    <w:rsid w:val="05AF5900"/>
    <w:rsid w:val="074D53D1"/>
    <w:rsid w:val="07677C87"/>
    <w:rsid w:val="08460C1D"/>
    <w:rsid w:val="08716E9D"/>
    <w:rsid w:val="08803584"/>
    <w:rsid w:val="095E38C5"/>
    <w:rsid w:val="0BA467BC"/>
    <w:rsid w:val="0DBE0DD6"/>
    <w:rsid w:val="0F955E06"/>
    <w:rsid w:val="0F9741F0"/>
    <w:rsid w:val="14237BE5"/>
    <w:rsid w:val="164826DE"/>
    <w:rsid w:val="16A363A2"/>
    <w:rsid w:val="18212DBA"/>
    <w:rsid w:val="1A1F0124"/>
    <w:rsid w:val="1D1E3640"/>
    <w:rsid w:val="20181262"/>
    <w:rsid w:val="21D97B35"/>
    <w:rsid w:val="225443E0"/>
    <w:rsid w:val="2536704D"/>
    <w:rsid w:val="268C4CA1"/>
    <w:rsid w:val="288D3427"/>
    <w:rsid w:val="2AA36F32"/>
    <w:rsid w:val="2B1A4591"/>
    <w:rsid w:val="2D6548BB"/>
    <w:rsid w:val="300F6E18"/>
    <w:rsid w:val="30F32296"/>
    <w:rsid w:val="31253047"/>
    <w:rsid w:val="31C37EBA"/>
    <w:rsid w:val="32304DE9"/>
    <w:rsid w:val="32314D46"/>
    <w:rsid w:val="32431727"/>
    <w:rsid w:val="33525999"/>
    <w:rsid w:val="36A96926"/>
    <w:rsid w:val="37E25823"/>
    <w:rsid w:val="394A0EC1"/>
    <w:rsid w:val="39BC3B6C"/>
    <w:rsid w:val="3A5A0BA7"/>
    <w:rsid w:val="3A655FB2"/>
    <w:rsid w:val="3B4F3130"/>
    <w:rsid w:val="3F334F48"/>
    <w:rsid w:val="3F8C5D8F"/>
    <w:rsid w:val="42CF2B62"/>
    <w:rsid w:val="45B96D52"/>
    <w:rsid w:val="4628275B"/>
    <w:rsid w:val="47501D98"/>
    <w:rsid w:val="4DF07278"/>
    <w:rsid w:val="4FD61F35"/>
    <w:rsid w:val="53A744B9"/>
    <w:rsid w:val="55DD6EED"/>
    <w:rsid w:val="580A7D41"/>
    <w:rsid w:val="5818245E"/>
    <w:rsid w:val="599C0E6D"/>
    <w:rsid w:val="5C390BF5"/>
    <w:rsid w:val="5E145476"/>
    <w:rsid w:val="5E827D40"/>
    <w:rsid w:val="5FA26E9B"/>
    <w:rsid w:val="630930CF"/>
    <w:rsid w:val="64177A6E"/>
    <w:rsid w:val="66855163"/>
    <w:rsid w:val="66EA1469"/>
    <w:rsid w:val="696E0130"/>
    <w:rsid w:val="6C4E249B"/>
    <w:rsid w:val="6CCB7647"/>
    <w:rsid w:val="6FC81944"/>
    <w:rsid w:val="739A7D73"/>
    <w:rsid w:val="73F873B3"/>
    <w:rsid w:val="7782605E"/>
    <w:rsid w:val="77B70EF4"/>
    <w:rsid w:val="77F17AB5"/>
    <w:rsid w:val="79823784"/>
    <w:rsid w:val="7A2D7B93"/>
    <w:rsid w:val="7AAA4D40"/>
    <w:rsid w:val="7ABE42A7"/>
    <w:rsid w:val="7BF32717"/>
    <w:rsid w:val="7CE01684"/>
    <w:rsid w:val="7EE65574"/>
    <w:rsid w:val="7EF944E8"/>
    <w:rsid w:val="7FA33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3"/>
    <w:basedOn w:val="1"/>
    <w:next w:val="1"/>
    <w:unhideWhenUsed/>
    <w:qFormat/>
    <w:uiPriority w:val="99"/>
    <w:pPr>
      <w:keepNext/>
      <w:keepLines/>
      <w:numPr>
        <w:ilvl w:val="2"/>
        <w:numId w:val="1"/>
      </w:numPr>
      <w:spacing w:before="120" w:after="120" w:line="415" w:lineRule="auto"/>
      <w:outlineLvl w:val="2"/>
    </w:pPr>
    <w:rPr>
      <w:rFonts w:ascii="宋体" w:hAnsi="宋体" w:cs="宋体"/>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toa heading"/>
    <w:basedOn w:val="1"/>
    <w:next w:val="1"/>
    <w:unhideWhenUsed/>
    <w:qFormat/>
    <w:uiPriority w:val="99"/>
    <w:pPr>
      <w:spacing w:before="120"/>
      <w:ind w:firstLine="480"/>
    </w:pPr>
    <w:rPr>
      <w:rFonts w:ascii="Arial" w:hAnsi="Arial"/>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styleId="8">
    <w:name w:val="List Paragraph"/>
    <w:basedOn w:val="1"/>
    <w:autoRedefine/>
    <w:qFormat/>
    <w:uiPriority w:val="0"/>
    <w:pPr>
      <w:ind w:firstLine="420" w:firstLineChars="200"/>
    </w:pPr>
    <w:rPr>
      <w:sz w:val="21"/>
    </w:rPr>
  </w:style>
  <w:style w:type="paragraph" w:customStyle="1" w:styleId="9">
    <w:name w:val="三级标题"/>
    <w:basedOn w:val="1"/>
    <w:autoRedefine/>
    <w:qFormat/>
    <w:uiPriority w:val="0"/>
    <w:pPr>
      <w:snapToGrid w:val="0"/>
      <w:spacing w:line="440" w:lineRule="exact"/>
    </w:pPr>
    <w:rPr>
      <w:rFonts w:ascii="楷体_GB2312" w:hAnsi="楷体_GB2312" w:eastAsia="楷体_GB2312" w:cs="楷体_GB2312"/>
      <w:color w:val="00000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648</Words>
  <Characters>785</Characters>
  <TotalTime>0</TotalTime>
  <ScaleCrop>false</ScaleCrop>
  <LinksUpToDate>false</LinksUpToDate>
  <CharactersWithSpaces>802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2022-07-18T15:33:00Z</dcterms:created>
  <dc:creator>Legend User</dc:creator>
  <cp:lastModifiedBy>王璇</cp:lastModifiedBy>
  <cp:lastPrinted>2023-01-05T09:35:00Z</cp:lastPrinted>
  <dcterms:modified xsi:type="dcterms:W3CDTF">2025-06-18T10:03:53Z</dcterms:modified>
  <dc:title>××产品质量监督抽查实施细则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2023-01-05T16:27:57Z</vt:filetime>
  </property>
  <property fmtid="{D5CDD505-2E9C-101B-9397-08002B2CF9AE}" pid="4" name="KSOProductBuildVer">
    <vt:lpwstr>2052-12.1.0.21541</vt:lpwstr>
  </property>
  <property fmtid="{D5CDD505-2E9C-101B-9397-08002B2CF9AE}" pid="5" name="ICV">
    <vt:lpwstr>271E3C2ED3E544BDB8ACF0718D2F6EF5_13</vt:lpwstr>
  </property>
  <property fmtid="{D5CDD505-2E9C-101B-9397-08002B2CF9AE}" pid="6" name="KSOTemplateDocerSaveRecord">
    <vt:lpwstr>eyJoZGlkIjoiMGQxZDZhZjI1NmQ3Yjg3NDQ2MTQzOWI4ZTkyYmYzMGMiLCJ1c2VySWQiOiI1NzYzNzQ5NjIifQ==</vt:lpwstr>
  </property>
</Properties>
</file>