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6BCA">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工业用甲醇</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FD6F5C1">
      <w:pPr>
        <w:widowControl w:val="0"/>
        <w:kinsoku/>
        <w:autoSpaceDE/>
        <w:autoSpaceDN/>
        <w:adjustRightInd/>
        <w:snapToGrid w:val="0"/>
        <w:spacing w:line="360" w:lineRule="auto"/>
        <w:jc w:val="center"/>
        <w:textAlignment w:val="auto"/>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eastAsia="宋体" w:cs="宋体"/>
          <w:szCs w:val="21"/>
          <w:lang w:val="en-US" w:eastAsia="zh-CN"/>
        </w:rPr>
        <w:t>2L</w:t>
      </w:r>
      <w:r>
        <w:rPr>
          <w:rFonts w:hint="eastAsia" w:ascii="宋体" w:hAnsi="宋体" w:eastAsia="宋体" w:cs="宋体"/>
          <w:color w:val="auto"/>
          <w:sz w:val="21"/>
          <w:szCs w:val="21"/>
          <w:highlight w:val="none"/>
          <w:lang w:eastAsia="zh-CN"/>
        </w:rPr>
        <w:t>，其中</w:t>
      </w:r>
      <w:r>
        <w:rPr>
          <w:rFonts w:hint="eastAsia" w:ascii="宋体" w:hAnsi="宋体" w:cs="宋体"/>
          <w:color w:val="000000"/>
          <w:sz w:val="21"/>
          <w:szCs w:val="21"/>
          <w:lang w:val="en-US" w:eastAsia="zh-CN"/>
        </w:rPr>
        <w:t>1L</w:t>
      </w:r>
      <w:r>
        <w:rPr>
          <w:rFonts w:hint="eastAsia" w:ascii="宋体" w:hAnsi="宋体" w:eastAsia="宋体" w:cs="宋体"/>
          <w:color w:val="auto"/>
          <w:sz w:val="21"/>
          <w:szCs w:val="21"/>
          <w:highlight w:val="none"/>
          <w:lang w:eastAsia="zh-CN"/>
        </w:rPr>
        <w:t>作为检验样品，</w:t>
      </w:r>
      <w:r>
        <w:rPr>
          <w:rFonts w:hint="eastAsia" w:ascii="宋体" w:hAnsi="宋体" w:cs="宋体"/>
          <w:color w:val="000000"/>
          <w:sz w:val="21"/>
          <w:szCs w:val="21"/>
          <w:lang w:val="en-US" w:eastAsia="zh-CN"/>
        </w:rPr>
        <w:t>1L</w:t>
      </w:r>
      <w:r>
        <w:rPr>
          <w:rFonts w:hint="eastAsia" w:ascii="宋体" w:hAnsi="宋体" w:eastAsia="宋体" w:cs="宋体"/>
          <w:color w:val="auto"/>
          <w:sz w:val="21"/>
          <w:szCs w:val="21"/>
          <w:highlight w:val="none"/>
          <w:lang w:eastAsia="zh-CN"/>
        </w:rPr>
        <w:t>作为备用样品</w:t>
      </w:r>
      <w:r>
        <w:rPr>
          <w:rFonts w:hint="eastAsia" w:ascii="宋体" w:hAnsi="宋体"/>
          <w:szCs w:val="21"/>
        </w:rPr>
        <w:t>。</w:t>
      </w:r>
      <w:r>
        <w:rPr>
          <w:rFonts w:hint="eastAsia" w:ascii="宋体" w:hAnsi="宋体" w:eastAsia="宋体" w:cs="宋体"/>
          <w:szCs w:val="21"/>
          <w:lang w:eastAsia="zh-CN"/>
        </w:rPr>
        <w:t>样品用干燥清洁</w:t>
      </w:r>
      <w:r>
        <w:rPr>
          <w:rFonts w:hint="eastAsia" w:ascii="宋体" w:hAnsi="宋体" w:eastAsia="宋体" w:cs="宋体"/>
          <w:color w:val="auto"/>
          <w:szCs w:val="21"/>
          <w:lang w:eastAsia="zh-CN"/>
        </w:rPr>
        <w:t>带磨口塞的玻璃瓶盛装。</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eastAsia="宋体" w:cs="宋体"/>
          <w:color w:val="000000"/>
          <w:sz w:val="21"/>
          <w:szCs w:val="21"/>
          <w:lang w:val="en-US" w:eastAsia="zh-CN"/>
        </w:rPr>
        <w:t>工业用甲醇</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色度</w:t>
            </w:r>
          </w:p>
        </w:tc>
        <w:tc>
          <w:tcPr>
            <w:tcW w:w="2107"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3143-1982</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密度，ρ</w:t>
            </w:r>
            <w:r>
              <w:rPr>
                <w:rFonts w:hint="eastAsia" w:ascii="宋体" w:hAnsi="宋体" w:eastAsia="宋体" w:cs="宋体"/>
                <w:color w:val="auto"/>
                <w:sz w:val="21"/>
                <w:szCs w:val="21"/>
                <w:vertAlign w:val="subscript"/>
                <w:lang w:val="en-US" w:eastAsia="zh-CN"/>
              </w:rPr>
              <w:t>20</w:t>
            </w:r>
          </w:p>
        </w:tc>
        <w:tc>
          <w:tcPr>
            <w:tcW w:w="2107" w:type="pct"/>
            <w:vAlign w:val="center"/>
          </w:tcPr>
          <w:p w14:paraId="35C7BFE9">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p w14:paraId="555141B3">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4472-2011</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0" w:type="pct"/>
            <w:vAlign w:val="center"/>
          </w:tcPr>
          <w:p w14:paraId="5A5FDBCD">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沸程（0℃，101.3kPa）</w:t>
            </w:r>
          </w:p>
        </w:tc>
        <w:tc>
          <w:tcPr>
            <w:tcW w:w="2107" w:type="pct"/>
            <w:vAlign w:val="center"/>
          </w:tcPr>
          <w:p w14:paraId="4DD07FCA">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p w14:paraId="069C060C">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7534-2004</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0" w:type="pct"/>
            <w:vAlign w:val="center"/>
          </w:tcPr>
          <w:p w14:paraId="374E2855">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高锰酸钾试验</w:t>
            </w:r>
          </w:p>
        </w:tc>
        <w:tc>
          <w:tcPr>
            <w:tcW w:w="2107" w:type="pct"/>
            <w:vAlign w:val="center"/>
          </w:tcPr>
          <w:p w14:paraId="054BF6CF">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p w14:paraId="1FBE0514">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6324.3-2011</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1B3C34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90" w:type="pct"/>
            <w:vAlign w:val="center"/>
          </w:tcPr>
          <w:p w14:paraId="4EB01E29">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水混溶性试验</w:t>
            </w:r>
          </w:p>
        </w:tc>
        <w:tc>
          <w:tcPr>
            <w:tcW w:w="2107" w:type="pct"/>
            <w:vAlign w:val="center"/>
          </w:tcPr>
          <w:p w14:paraId="39A7AEC3">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p w14:paraId="07A1F1C5">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6324.1-2004</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496CD8">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90" w:type="pct"/>
            <w:vAlign w:val="center"/>
          </w:tcPr>
          <w:p w14:paraId="53D17B9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水</w:t>
            </w:r>
          </w:p>
        </w:tc>
        <w:tc>
          <w:tcPr>
            <w:tcW w:w="2107" w:type="pct"/>
            <w:vAlign w:val="center"/>
          </w:tcPr>
          <w:p w14:paraId="300C2099">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p w14:paraId="4B2DC9D7">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6283-2008</w:t>
            </w:r>
          </w:p>
        </w:tc>
      </w:tr>
      <w:tr w14:paraId="429A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0BED694B">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90" w:type="pct"/>
            <w:vAlign w:val="center"/>
          </w:tcPr>
          <w:p w14:paraId="199914CF">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酸（以HCOOH计）或碱（以NH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lang w:val="en-US" w:eastAsia="zh-CN"/>
              </w:rPr>
              <w:t>计）</w:t>
            </w:r>
          </w:p>
        </w:tc>
        <w:tc>
          <w:tcPr>
            <w:tcW w:w="2107" w:type="pct"/>
            <w:vAlign w:val="center"/>
          </w:tcPr>
          <w:p w14:paraId="0B3F9959">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338-2011</w:t>
            </w:r>
          </w:p>
        </w:tc>
      </w:tr>
      <w:tr w14:paraId="5DA8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930EA5D">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90" w:type="pct"/>
            <w:vAlign w:val="center"/>
          </w:tcPr>
          <w:p w14:paraId="60FF77E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蒸发残渣</w:t>
            </w:r>
          </w:p>
        </w:tc>
        <w:tc>
          <w:tcPr>
            <w:tcW w:w="2107" w:type="pct"/>
            <w:vAlign w:val="center"/>
          </w:tcPr>
          <w:p w14:paraId="0C000840">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338-2011</w:t>
            </w:r>
          </w:p>
          <w:p w14:paraId="63D20836">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6324.2-2004</w:t>
            </w:r>
          </w:p>
        </w:tc>
      </w:tr>
      <w:tr w14:paraId="342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393A2D5C">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390" w:type="pct"/>
            <w:vAlign w:val="center"/>
          </w:tcPr>
          <w:p w14:paraId="3048854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硫酸洗涤试验</w:t>
            </w:r>
          </w:p>
        </w:tc>
        <w:tc>
          <w:tcPr>
            <w:tcW w:w="2107" w:type="pct"/>
            <w:vAlign w:val="center"/>
          </w:tcPr>
          <w:p w14:paraId="7222E9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338-2011</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GB/T 338-2011《工业用甲醇》</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37FB3C86">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C6F32F-F0C2-48B5-8B86-03AB70BE9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03B10AA1-728C-497E-B9A9-8AEF203D2FCE}"/>
  </w:font>
  <w:font w:name="仿宋">
    <w:panose1 w:val="02010609060101010101"/>
    <w:charset w:val="86"/>
    <w:family w:val="modern"/>
    <w:pitch w:val="default"/>
    <w:sig w:usb0="800002BF" w:usb1="38CF7CFA" w:usb2="00000016" w:usb3="00000000" w:csb0="00040001" w:csb1="00000000"/>
    <w:embedRegular r:id="rId3" w:fontKey="{A211F1BB-97F2-4ED2-8379-953D2D6ACF75}"/>
  </w:font>
  <w:font w:name="方正仿宋简体">
    <w:panose1 w:val="02000000000000000000"/>
    <w:charset w:val="86"/>
    <w:family w:val="auto"/>
    <w:pitch w:val="default"/>
    <w:sig w:usb0="A00002BF" w:usb1="184F6CFA" w:usb2="00000012" w:usb3="00000000" w:csb0="00040001" w:csb1="00000000"/>
    <w:embedRegular r:id="rId4" w:fontKey="{46985572-267C-4FC8-9ACC-D212EFEC8D38}"/>
  </w:font>
  <w:font w:name="方正公文小标宋">
    <w:panose1 w:val="02000500000000000000"/>
    <w:charset w:val="86"/>
    <w:family w:val="auto"/>
    <w:pitch w:val="default"/>
    <w:sig w:usb0="A00002BF" w:usb1="38CF7CFA" w:usb2="00000016" w:usb3="00000000" w:csb0="00040001" w:csb1="00000000"/>
    <w:embedRegular r:id="rId5" w:fontKey="{3335BEDE-79FF-4C0C-A6F1-820E582112E5}"/>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2B30FC2"/>
    <w:rsid w:val="038247D1"/>
    <w:rsid w:val="03C926DB"/>
    <w:rsid w:val="04004189"/>
    <w:rsid w:val="050056E6"/>
    <w:rsid w:val="059C797B"/>
    <w:rsid w:val="061E4834"/>
    <w:rsid w:val="070677A2"/>
    <w:rsid w:val="0790350F"/>
    <w:rsid w:val="0C8F1FE8"/>
    <w:rsid w:val="0D080ACE"/>
    <w:rsid w:val="0E460DCC"/>
    <w:rsid w:val="0F331350"/>
    <w:rsid w:val="101F4A8C"/>
    <w:rsid w:val="10794722"/>
    <w:rsid w:val="118F66DA"/>
    <w:rsid w:val="11904838"/>
    <w:rsid w:val="140908D1"/>
    <w:rsid w:val="15D51B6F"/>
    <w:rsid w:val="168E3310"/>
    <w:rsid w:val="17EF7B96"/>
    <w:rsid w:val="1B9E3FF5"/>
    <w:rsid w:val="1C942B5C"/>
    <w:rsid w:val="1E4A2212"/>
    <w:rsid w:val="21722E7F"/>
    <w:rsid w:val="21A165ED"/>
    <w:rsid w:val="23615817"/>
    <w:rsid w:val="270C4509"/>
    <w:rsid w:val="2C5F3889"/>
    <w:rsid w:val="2C956D4E"/>
    <w:rsid w:val="2F1A178D"/>
    <w:rsid w:val="2FBD0A96"/>
    <w:rsid w:val="31B55C3F"/>
    <w:rsid w:val="33323549"/>
    <w:rsid w:val="33501C21"/>
    <w:rsid w:val="342015F4"/>
    <w:rsid w:val="369167D9"/>
    <w:rsid w:val="379445DF"/>
    <w:rsid w:val="37B7401D"/>
    <w:rsid w:val="3EC11C25"/>
    <w:rsid w:val="3F0D32E4"/>
    <w:rsid w:val="41167E3D"/>
    <w:rsid w:val="42DA32B5"/>
    <w:rsid w:val="43882D11"/>
    <w:rsid w:val="4642364B"/>
    <w:rsid w:val="476D59BD"/>
    <w:rsid w:val="49261002"/>
    <w:rsid w:val="4BA95A36"/>
    <w:rsid w:val="4EB10F1F"/>
    <w:rsid w:val="4FC76963"/>
    <w:rsid w:val="4FFD7F4B"/>
    <w:rsid w:val="51402E7D"/>
    <w:rsid w:val="51C4585C"/>
    <w:rsid w:val="543547EF"/>
    <w:rsid w:val="5495528E"/>
    <w:rsid w:val="54ED6EBD"/>
    <w:rsid w:val="56186177"/>
    <w:rsid w:val="56E12A0D"/>
    <w:rsid w:val="58B959EF"/>
    <w:rsid w:val="5A015FD2"/>
    <w:rsid w:val="5E0A2849"/>
    <w:rsid w:val="5E231B5D"/>
    <w:rsid w:val="5E7F0C72"/>
    <w:rsid w:val="5F117C07"/>
    <w:rsid w:val="5F9C3975"/>
    <w:rsid w:val="5FB707AE"/>
    <w:rsid w:val="60705218"/>
    <w:rsid w:val="62AC2121"/>
    <w:rsid w:val="63043D0B"/>
    <w:rsid w:val="655F16CC"/>
    <w:rsid w:val="65841133"/>
    <w:rsid w:val="683B2128"/>
    <w:rsid w:val="68447E42"/>
    <w:rsid w:val="6AD466B8"/>
    <w:rsid w:val="6AF9048F"/>
    <w:rsid w:val="6E8E4DD0"/>
    <w:rsid w:val="74890514"/>
    <w:rsid w:val="74B9247B"/>
    <w:rsid w:val="74DF1EE2"/>
    <w:rsid w:val="760D0CD1"/>
    <w:rsid w:val="768A2321"/>
    <w:rsid w:val="770E4D00"/>
    <w:rsid w:val="77707769"/>
    <w:rsid w:val="7993773F"/>
    <w:rsid w:val="7A1E34AC"/>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618</Words>
  <Characters>816</Characters>
  <Lines>59</Lines>
  <Paragraphs>66</Paragraphs>
  <TotalTime>9</TotalTime>
  <ScaleCrop>false</ScaleCrop>
  <LinksUpToDate>false</LinksUpToDate>
  <CharactersWithSpaces>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2025-06-18T09:53:03Z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