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5C0B8">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市电线电缆产品</w:t>
      </w:r>
    </w:p>
    <w:p w14:paraId="45F302CB">
      <w:pPr>
        <w:widowControl w:val="0"/>
        <w:kinsoku/>
        <w:autoSpaceDE/>
        <w:autoSpaceDN/>
        <w:adjustRightInd/>
        <w:snapToGrid w:val="0"/>
        <w:spacing w:line="360" w:lineRule="auto"/>
        <w:jc w:val="center"/>
        <w:textAlignment w:val="auto"/>
        <w:rPr>
          <w:rFonts w:hint="eastAsia" w:ascii="宋体" w:hAnsi="宋体" w:eastAsia="宋体" w:cs="宋体"/>
          <w:b/>
          <w:bCs/>
          <w:snapToGrid w:val="0"/>
          <w:color w:val="000000"/>
          <w:spacing w:val="8"/>
          <w:kern w:val="0"/>
          <w:sz w:val="31"/>
          <w:szCs w:val="31"/>
          <w:lang w:eastAsia="zh-CN"/>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质量监督抽查实施细则</w:t>
      </w:r>
    </w:p>
    <w:p w14:paraId="56ED852E">
      <w:pPr>
        <w:pStyle w:val="20"/>
        <w:tabs>
          <w:tab w:val="left" w:pos="438"/>
        </w:tabs>
        <w:autoSpaceDE w:val="0"/>
        <w:autoSpaceDN w:val="0"/>
        <w:spacing w:beforeLines="50" w:afterLines="50" w:line="440" w:lineRule="exact"/>
        <w:ind w:firstLine="0" w:firstLineChars="0"/>
        <w:jc w:val="left"/>
        <w:rPr>
          <w:rFonts w:ascii="Times New Roman" w:hAnsi="Times New Roman" w:eastAsia="黑体"/>
          <w:color w:val="000000"/>
          <w:szCs w:val="21"/>
        </w:rPr>
      </w:pPr>
      <w:r>
        <w:rPr>
          <w:rFonts w:ascii="Times New Roman" w:hAnsi="Times New Roman" w:eastAsia="黑体"/>
          <w:color w:val="000000"/>
          <w:szCs w:val="21"/>
        </w:rPr>
        <w:t>1 抽样方法</w:t>
      </w:r>
    </w:p>
    <w:p w14:paraId="47DA7E75">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以随机抽样的方式在被抽样生产者、销售者的待销产品中抽取。</w:t>
      </w:r>
    </w:p>
    <w:p w14:paraId="1C8A8405">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随机数一般可使用随机数表等方法产生。</w:t>
      </w:r>
    </w:p>
    <w:p w14:paraId="08E95E07">
      <w:pPr>
        <w:snapToGrid w:val="0"/>
        <w:spacing w:line="440" w:lineRule="exact"/>
        <w:ind w:firstLine="420" w:firstLineChars="200"/>
        <w:rPr>
          <w:rFonts w:ascii="Times New Roman" w:hAnsi="Times New Roman"/>
          <w:color w:val="000000"/>
          <w:szCs w:val="21"/>
        </w:rPr>
      </w:pPr>
      <w:r>
        <w:rPr>
          <w:rFonts w:hint="eastAsia" w:ascii="宋体" w:hAnsi="宋体"/>
          <w:szCs w:val="21"/>
        </w:rPr>
        <w:t>每批</w:t>
      </w:r>
      <w:r>
        <w:rPr>
          <w:rFonts w:hint="eastAsia" w:ascii="Times New Roman" w:hAnsi="Times New Roman" w:eastAsia="宋体" w:cs="Times New Roman"/>
          <w:szCs w:val="21"/>
          <w:highlight w:val="none"/>
          <w:lang w:val="en-US" w:eastAsia="zh-CN"/>
        </w:rPr>
        <w:t>次产品</w:t>
      </w:r>
      <w:r>
        <w:rPr>
          <w:rFonts w:ascii="Times New Roman" w:hAnsi="Times New Roman"/>
          <w:color w:val="000000"/>
          <w:szCs w:val="21"/>
        </w:rPr>
        <w:t>抽取样品</w:t>
      </w:r>
      <w:r>
        <w:rPr>
          <w:rFonts w:hint="eastAsia" w:ascii="Times New Roman" w:hAnsi="Times New Roman"/>
          <w:color w:val="000000"/>
          <w:szCs w:val="21"/>
          <w:lang w:val="en-US" w:eastAsia="zh-CN"/>
        </w:rPr>
        <w:t>100</w:t>
      </w:r>
      <w:r>
        <w:rPr>
          <w:rFonts w:ascii="Times New Roman" w:hAnsi="Times New Roman"/>
          <w:color w:val="000000"/>
          <w:szCs w:val="21"/>
        </w:rPr>
        <w:t>米，其中</w:t>
      </w:r>
      <w:r>
        <w:rPr>
          <w:rFonts w:hint="eastAsia" w:ascii="Times New Roman" w:hAnsi="Times New Roman"/>
          <w:color w:val="000000"/>
          <w:szCs w:val="21"/>
          <w:lang w:val="en-US" w:eastAsia="zh-CN"/>
        </w:rPr>
        <w:t>50</w:t>
      </w:r>
      <w:r>
        <w:rPr>
          <w:rFonts w:ascii="Times New Roman" w:hAnsi="Times New Roman"/>
          <w:color w:val="000000"/>
          <w:szCs w:val="21"/>
        </w:rPr>
        <w:t>米作为检验样品，</w:t>
      </w:r>
      <w:r>
        <w:rPr>
          <w:rFonts w:hint="eastAsia" w:ascii="Times New Roman" w:hAnsi="Times New Roman"/>
          <w:color w:val="000000"/>
          <w:szCs w:val="21"/>
          <w:lang w:val="en-US" w:eastAsia="zh-CN"/>
        </w:rPr>
        <w:t>50</w:t>
      </w:r>
      <w:r>
        <w:rPr>
          <w:rFonts w:ascii="Times New Roman" w:hAnsi="Times New Roman"/>
          <w:color w:val="000000"/>
          <w:szCs w:val="21"/>
        </w:rPr>
        <w:t>米作为备用样品。</w:t>
      </w:r>
    </w:p>
    <w:p w14:paraId="3C10186C">
      <w:pPr>
        <w:pStyle w:val="20"/>
        <w:tabs>
          <w:tab w:val="left" w:pos="438"/>
        </w:tabs>
        <w:autoSpaceDE w:val="0"/>
        <w:autoSpaceDN w:val="0"/>
        <w:spacing w:beforeLines="50" w:afterLines="50" w:line="440" w:lineRule="exact"/>
        <w:ind w:firstLine="0" w:firstLineChars="0"/>
        <w:jc w:val="left"/>
        <w:rPr>
          <w:rFonts w:hint="eastAsia" w:ascii="黑体" w:hAnsi="黑体" w:eastAsia="黑体" w:cs="黑体"/>
          <w:szCs w:val="24"/>
          <w:lang w:bidi="zh-CN"/>
        </w:rPr>
      </w:pPr>
      <w:r>
        <w:rPr>
          <w:rFonts w:hint="eastAsia" w:ascii="黑体" w:hAnsi="黑体" w:eastAsia="黑体" w:cs="黑体"/>
          <w:szCs w:val="24"/>
          <w:lang w:bidi="zh-CN"/>
        </w:rPr>
        <w:t>2</w:t>
      </w:r>
      <w:r>
        <w:rPr>
          <w:rFonts w:hint="eastAsia" w:ascii="黑体" w:hAnsi="黑体" w:eastAsia="黑体" w:cs="黑体"/>
          <w:szCs w:val="24"/>
          <w:lang w:val="en-US" w:eastAsia="zh-CN" w:bidi="zh-CN"/>
        </w:rPr>
        <w:t xml:space="preserve"> </w:t>
      </w:r>
      <w:r>
        <w:rPr>
          <w:rFonts w:hint="eastAsia" w:ascii="黑体" w:hAnsi="黑体" w:eastAsia="黑体" w:cs="黑体"/>
          <w:szCs w:val="24"/>
          <w:lang w:bidi="zh-CN"/>
        </w:rPr>
        <w:t>检验依据</w:t>
      </w:r>
    </w:p>
    <w:tbl>
      <w:tblPr>
        <w:tblStyle w:val="11"/>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544"/>
        <w:gridCol w:w="3825"/>
      </w:tblGrid>
      <w:tr w14:paraId="7E10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64" w:type="dxa"/>
            <w:vAlign w:val="center"/>
          </w:tcPr>
          <w:p w14:paraId="6836F2A9">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序号</w:t>
            </w:r>
          </w:p>
        </w:tc>
        <w:tc>
          <w:tcPr>
            <w:tcW w:w="3544" w:type="dxa"/>
            <w:vAlign w:val="center"/>
          </w:tcPr>
          <w:p w14:paraId="6FF67D5F">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检验项目</w:t>
            </w:r>
          </w:p>
        </w:tc>
        <w:tc>
          <w:tcPr>
            <w:tcW w:w="3825" w:type="dxa"/>
            <w:vAlign w:val="center"/>
          </w:tcPr>
          <w:p w14:paraId="4A07ECC3">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检验方法</w:t>
            </w:r>
          </w:p>
        </w:tc>
      </w:tr>
      <w:tr w14:paraId="11F3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vAlign w:val="center"/>
          </w:tcPr>
          <w:p w14:paraId="5CDF324C">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1</w:t>
            </w:r>
          </w:p>
        </w:tc>
        <w:tc>
          <w:tcPr>
            <w:tcW w:w="3544" w:type="dxa"/>
            <w:vAlign w:val="center"/>
          </w:tcPr>
          <w:p w14:paraId="41035C99">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绝缘厚度</w:t>
            </w:r>
          </w:p>
        </w:tc>
        <w:tc>
          <w:tcPr>
            <w:tcW w:w="3825" w:type="dxa"/>
            <w:vMerge w:val="restart"/>
            <w:vAlign w:val="center"/>
          </w:tcPr>
          <w:p w14:paraId="5A9D7389">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GB/T 2951.11-2008</w:t>
            </w:r>
          </w:p>
          <w:p w14:paraId="65CF21DA">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GB/T 5023.2-2008</w:t>
            </w:r>
          </w:p>
        </w:tc>
      </w:tr>
      <w:tr w14:paraId="6B3B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vAlign w:val="center"/>
          </w:tcPr>
          <w:p w14:paraId="57B77895">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2</w:t>
            </w:r>
          </w:p>
        </w:tc>
        <w:tc>
          <w:tcPr>
            <w:tcW w:w="3544" w:type="dxa"/>
            <w:vAlign w:val="center"/>
          </w:tcPr>
          <w:p w14:paraId="662757FE">
            <w:pPr>
              <w:adjustRightInd w:val="0"/>
              <w:snapToGrid w:val="0"/>
              <w:spacing w:line="300" w:lineRule="exact"/>
              <w:jc w:val="center"/>
              <w:textAlignment w:val="center"/>
              <w:rPr>
                <w:rFonts w:hint="default" w:ascii="Times New Roman" w:hAnsi="Times New Roman" w:eastAsia="宋体" w:cs="Times New Roman"/>
                <w:color w:val="000000"/>
                <w:sz w:val="21"/>
                <w:szCs w:val="24"/>
                <w:lang w:val="en-US" w:eastAsia="zh-CN"/>
              </w:rPr>
            </w:pPr>
            <w:r>
              <w:rPr>
                <w:rFonts w:hint="eastAsia" w:ascii="Times New Roman" w:hAnsi="Times New Roman" w:cs="Times New Roman"/>
                <w:color w:val="000000"/>
                <w:sz w:val="21"/>
                <w:szCs w:val="24"/>
                <w:lang w:val="en-US" w:eastAsia="zh-CN"/>
              </w:rPr>
              <w:t>护套厚度</w:t>
            </w:r>
          </w:p>
        </w:tc>
        <w:tc>
          <w:tcPr>
            <w:tcW w:w="3825" w:type="dxa"/>
            <w:vMerge w:val="continue"/>
            <w:vAlign w:val="center"/>
          </w:tcPr>
          <w:p w14:paraId="1E3124EF">
            <w:pPr>
              <w:adjustRightInd w:val="0"/>
              <w:snapToGrid w:val="0"/>
              <w:spacing w:line="300" w:lineRule="exact"/>
              <w:jc w:val="center"/>
              <w:textAlignment w:val="center"/>
              <w:rPr>
                <w:rFonts w:hint="eastAsia" w:ascii="Times New Roman" w:hAnsi="Times New Roman" w:eastAsia="宋体" w:cs="Times New Roman"/>
                <w:color w:val="000000"/>
                <w:sz w:val="21"/>
                <w:szCs w:val="24"/>
              </w:rPr>
            </w:pPr>
          </w:p>
        </w:tc>
      </w:tr>
      <w:tr w14:paraId="2DC0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vAlign w:val="center"/>
          </w:tcPr>
          <w:p w14:paraId="652B99F8">
            <w:pPr>
              <w:adjustRightInd w:val="0"/>
              <w:snapToGrid w:val="0"/>
              <w:spacing w:line="300" w:lineRule="exact"/>
              <w:jc w:val="center"/>
              <w:textAlignment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cs="Times New Roman"/>
                <w:color w:val="000000"/>
                <w:kern w:val="2"/>
                <w:sz w:val="21"/>
                <w:szCs w:val="24"/>
                <w:lang w:val="en-US" w:eastAsia="zh-CN" w:bidi="ar-SA"/>
              </w:rPr>
              <w:t>3</w:t>
            </w:r>
          </w:p>
        </w:tc>
        <w:tc>
          <w:tcPr>
            <w:tcW w:w="3544" w:type="dxa"/>
            <w:vAlign w:val="center"/>
          </w:tcPr>
          <w:p w14:paraId="25A35D04">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导体电阻</w:t>
            </w:r>
          </w:p>
        </w:tc>
        <w:tc>
          <w:tcPr>
            <w:tcW w:w="3825" w:type="dxa"/>
            <w:vAlign w:val="center"/>
          </w:tcPr>
          <w:p w14:paraId="374F50EF">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GB/T 3048.4-2007</w:t>
            </w:r>
          </w:p>
          <w:p w14:paraId="0B75B9E7">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GB/T 5023.2-2008</w:t>
            </w:r>
          </w:p>
        </w:tc>
      </w:tr>
      <w:tr w14:paraId="57B9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vAlign w:val="center"/>
          </w:tcPr>
          <w:p w14:paraId="4D0D4DDC">
            <w:pPr>
              <w:adjustRightInd w:val="0"/>
              <w:snapToGrid w:val="0"/>
              <w:spacing w:line="300" w:lineRule="exact"/>
              <w:jc w:val="center"/>
              <w:textAlignment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cs="Times New Roman"/>
                <w:color w:val="000000"/>
                <w:kern w:val="2"/>
                <w:sz w:val="21"/>
                <w:szCs w:val="24"/>
                <w:lang w:val="en-US" w:eastAsia="zh-CN" w:bidi="ar-SA"/>
              </w:rPr>
              <w:t>4</w:t>
            </w:r>
          </w:p>
        </w:tc>
        <w:tc>
          <w:tcPr>
            <w:tcW w:w="3544" w:type="dxa"/>
            <w:vAlign w:val="center"/>
          </w:tcPr>
          <w:p w14:paraId="58FA3F1B">
            <w:pPr>
              <w:adjustRightInd w:val="0"/>
              <w:snapToGrid w:val="0"/>
              <w:spacing w:line="300" w:lineRule="exact"/>
              <w:jc w:val="center"/>
              <w:textAlignment w:val="center"/>
              <w:rPr>
                <w:rFonts w:hint="default" w:ascii="Times New Roman" w:hAnsi="Times New Roman" w:eastAsia="宋体" w:cs="Times New Roman"/>
                <w:color w:val="000000"/>
                <w:sz w:val="21"/>
                <w:szCs w:val="24"/>
                <w:lang w:val="en-US" w:eastAsia="zh-CN"/>
              </w:rPr>
            </w:pPr>
            <w:r>
              <w:rPr>
                <w:rFonts w:hint="eastAsia" w:ascii="Times New Roman" w:hAnsi="Times New Roman" w:eastAsia="宋体" w:cs="Times New Roman"/>
                <w:color w:val="000000"/>
                <w:sz w:val="21"/>
                <w:szCs w:val="24"/>
              </w:rPr>
              <w:t>绝缘老化前</w:t>
            </w:r>
            <w:r>
              <w:rPr>
                <w:rFonts w:hint="eastAsia" w:ascii="Times New Roman" w:hAnsi="Times New Roman" w:cs="Times New Roman"/>
                <w:color w:val="000000"/>
                <w:sz w:val="21"/>
                <w:szCs w:val="24"/>
                <w:lang w:val="en-US" w:eastAsia="zh-CN"/>
              </w:rPr>
              <w:t>拉力试验</w:t>
            </w:r>
          </w:p>
        </w:tc>
        <w:tc>
          <w:tcPr>
            <w:tcW w:w="3825" w:type="dxa"/>
            <w:vMerge w:val="restart"/>
            <w:vAlign w:val="center"/>
          </w:tcPr>
          <w:p w14:paraId="0285371B">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GB/T 2951.11-2008</w:t>
            </w:r>
          </w:p>
        </w:tc>
      </w:tr>
      <w:tr w14:paraId="01A5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vAlign w:val="center"/>
          </w:tcPr>
          <w:p w14:paraId="614003F7">
            <w:pPr>
              <w:adjustRightInd w:val="0"/>
              <w:snapToGrid w:val="0"/>
              <w:spacing w:line="300" w:lineRule="exact"/>
              <w:jc w:val="center"/>
              <w:textAlignment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cs="Times New Roman"/>
                <w:color w:val="000000"/>
                <w:kern w:val="2"/>
                <w:sz w:val="21"/>
                <w:szCs w:val="24"/>
                <w:lang w:val="en-US" w:eastAsia="zh-CN" w:bidi="ar-SA"/>
              </w:rPr>
              <w:t>5</w:t>
            </w:r>
          </w:p>
        </w:tc>
        <w:tc>
          <w:tcPr>
            <w:tcW w:w="3544" w:type="dxa"/>
            <w:vAlign w:val="center"/>
          </w:tcPr>
          <w:p w14:paraId="2A3D4489">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cs="Times New Roman"/>
                <w:color w:val="000000"/>
                <w:sz w:val="21"/>
                <w:szCs w:val="24"/>
                <w:lang w:val="en-US" w:eastAsia="zh-CN"/>
              </w:rPr>
              <w:t>护套</w:t>
            </w:r>
            <w:r>
              <w:rPr>
                <w:rFonts w:hint="eastAsia" w:ascii="Times New Roman" w:hAnsi="Times New Roman" w:eastAsia="宋体" w:cs="Times New Roman"/>
                <w:color w:val="000000"/>
                <w:sz w:val="21"/>
                <w:szCs w:val="24"/>
              </w:rPr>
              <w:t>老化前</w:t>
            </w:r>
            <w:r>
              <w:rPr>
                <w:rFonts w:hint="eastAsia" w:ascii="Times New Roman" w:hAnsi="Times New Roman" w:cs="Times New Roman"/>
                <w:color w:val="000000"/>
                <w:sz w:val="21"/>
                <w:szCs w:val="24"/>
                <w:lang w:val="en-US" w:eastAsia="zh-CN"/>
              </w:rPr>
              <w:t>拉力试验</w:t>
            </w:r>
          </w:p>
        </w:tc>
        <w:tc>
          <w:tcPr>
            <w:tcW w:w="3825" w:type="dxa"/>
            <w:vMerge w:val="continue"/>
            <w:vAlign w:val="center"/>
          </w:tcPr>
          <w:p w14:paraId="76115387">
            <w:pPr>
              <w:adjustRightInd w:val="0"/>
              <w:snapToGrid w:val="0"/>
              <w:spacing w:line="300" w:lineRule="exact"/>
              <w:jc w:val="center"/>
              <w:textAlignment w:val="center"/>
              <w:rPr>
                <w:rFonts w:hint="eastAsia" w:ascii="Times New Roman" w:hAnsi="Times New Roman" w:eastAsia="宋体" w:cs="Times New Roman"/>
                <w:color w:val="000000"/>
                <w:sz w:val="21"/>
                <w:szCs w:val="24"/>
              </w:rPr>
            </w:pPr>
          </w:p>
        </w:tc>
      </w:tr>
      <w:tr w14:paraId="6A5B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vAlign w:val="center"/>
          </w:tcPr>
          <w:p w14:paraId="38A56977">
            <w:pPr>
              <w:adjustRightInd w:val="0"/>
              <w:snapToGrid w:val="0"/>
              <w:spacing w:line="300" w:lineRule="exact"/>
              <w:jc w:val="center"/>
              <w:textAlignment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cs="Times New Roman"/>
                <w:color w:val="000000"/>
                <w:kern w:val="2"/>
                <w:sz w:val="21"/>
                <w:szCs w:val="24"/>
                <w:lang w:val="en-US" w:eastAsia="zh-CN" w:bidi="ar-SA"/>
              </w:rPr>
              <w:t>6</w:t>
            </w:r>
          </w:p>
        </w:tc>
        <w:tc>
          <w:tcPr>
            <w:tcW w:w="3544" w:type="dxa"/>
            <w:shd w:val="clear" w:color="auto" w:fill="auto"/>
            <w:vAlign w:val="center"/>
          </w:tcPr>
          <w:p w14:paraId="7E42C7F5">
            <w:pPr>
              <w:adjustRightInd w:val="0"/>
              <w:snapToGrid w:val="0"/>
              <w:spacing w:line="300" w:lineRule="exact"/>
              <w:jc w:val="center"/>
              <w:textAlignment w:val="center"/>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sz w:val="21"/>
                <w:szCs w:val="24"/>
              </w:rPr>
              <w:t>绝缘老化</w:t>
            </w:r>
            <w:r>
              <w:rPr>
                <w:rFonts w:hint="eastAsia" w:ascii="Times New Roman" w:hAnsi="Times New Roman" w:cs="Times New Roman"/>
                <w:color w:val="000000"/>
                <w:sz w:val="21"/>
                <w:szCs w:val="24"/>
                <w:lang w:val="en-US" w:eastAsia="zh-CN"/>
              </w:rPr>
              <w:t>后拉力试验</w:t>
            </w:r>
          </w:p>
        </w:tc>
        <w:tc>
          <w:tcPr>
            <w:tcW w:w="3825" w:type="dxa"/>
            <w:vMerge w:val="restart"/>
            <w:vAlign w:val="center"/>
          </w:tcPr>
          <w:p w14:paraId="57F48D83">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GB/T 2951.1</w:t>
            </w:r>
            <w:r>
              <w:rPr>
                <w:rFonts w:hint="eastAsia" w:ascii="Times New Roman" w:hAnsi="Times New Roman" w:cs="Times New Roman"/>
                <w:color w:val="000000"/>
                <w:sz w:val="21"/>
                <w:szCs w:val="24"/>
                <w:lang w:val="en-US" w:eastAsia="zh-CN"/>
              </w:rPr>
              <w:t>2</w:t>
            </w:r>
            <w:r>
              <w:rPr>
                <w:rFonts w:hint="eastAsia" w:ascii="Times New Roman" w:hAnsi="Times New Roman" w:eastAsia="宋体" w:cs="Times New Roman"/>
                <w:color w:val="000000"/>
                <w:sz w:val="21"/>
                <w:szCs w:val="24"/>
              </w:rPr>
              <w:t>-2008</w:t>
            </w:r>
          </w:p>
        </w:tc>
      </w:tr>
      <w:tr w14:paraId="3DDB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vAlign w:val="center"/>
          </w:tcPr>
          <w:p w14:paraId="03F8304B">
            <w:pPr>
              <w:adjustRightInd w:val="0"/>
              <w:snapToGrid w:val="0"/>
              <w:spacing w:line="300" w:lineRule="exact"/>
              <w:jc w:val="center"/>
              <w:textAlignment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cs="Times New Roman"/>
                <w:color w:val="000000"/>
                <w:kern w:val="2"/>
                <w:sz w:val="21"/>
                <w:szCs w:val="24"/>
                <w:lang w:val="en-US" w:eastAsia="zh-CN" w:bidi="ar-SA"/>
              </w:rPr>
              <w:t>7</w:t>
            </w:r>
          </w:p>
        </w:tc>
        <w:tc>
          <w:tcPr>
            <w:tcW w:w="3544" w:type="dxa"/>
            <w:shd w:val="clear" w:color="auto" w:fill="auto"/>
            <w:vAlign w:val="center"/>
          </w:tcPr>
          <w:p w14:paraId="6D622898">
            <w:pPr>
              <w:adjustRightInd w:val="0"/>
              <w:snapToGrid w:val="0"/>
              <w:spacing w:line="300" w:lineRule="exact"/>
              <w:jc w:val="center"/>
              <w:textAlignment w:val="center"/>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cs="Times New Roman"/>
                <w:color w:val="000000"/>
                <w:sz w:val="21"/>
                <w:szCs w:val="24"/>
                <w:lang w:val="en-US" w:eastAsia="zh-CN"/>
              </w:rPr>
              <w:t>护套</w:t>
            </w:r>
            <w:r>
              <w:rPr>
                <w:rFonts w:hint="eastAsia" w:ascii="Times New Roman" w:hAnsi="Times New Roman" w:eastAsia="宋体" w:cs="Times New Roman"/>
                <w:color w:val="000000"/>
                <w:sz w:val="21"/>
                <w:szCs w:val="24"/>
              </w:rPr>
              <w:t>老化</w:t>
            </w:r>
            <w:r>
              <w:rPr>
                <w:rFonts w:hint="eastAsia" w:ascii="Times New Roman" w:hAnsi="Times New Roman" w:cs="Times New Roman"/>
                <w:color w:val="000000"/>
                <w:sz w:val="21"/>
                <w:szCs w:val="24"/>
                <w:lang w:val="en-US" w:eastAsia="zh-CN"/>
              </w:rPr>
              <w:t>后拉力试验</w:t>
            </w:r>
          </w:p>
        </w:tc>
        <w:tc>
          <w:tcPr>
            <w:tcW w:w="3825" w:type="dxa"/>
            <w:vMerge w:val="continue"/>
            <w:vAlign w:val="center"/>
          </w:tcPr>
          <w:p w14:paraId="7FC9FD51">
            <w:pPr>
              <w:adjustRightInd w:val="0"/>
              <w:snapToGrid w:val="0"/>
              <w:spacing w:line="300" w:lineRule="exact"/>
              <w:jc w:val="center"/>
              <w:textAlignment w:val="center"/>
              <w:rPr>
                <w:rFonts w:hint="eastAsia" w:ascii="Times New Roman" w:hAnsi="Times New Roman" w:eastAsia="宋体" w:cs="Times New Roman"/>
                <w:color w:val="000000"/>
                <w:sz w:val="21"/>
                <w:szCs w:val="24"/>
              </w:rPr>
            </w:pPr>
          </w:p>
        </w:tc>
      </w:tr>
      <w:tr w14:paraId="4DCF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vAlign w:val="center"/>
          </w:tcPr>
          <w:p w14:paraId="41F8CA1F">
            <w:pPr>
              <w:adjustRightInd w:val="0"/>
              <w:snapToGrid w:val="0"/>
              <w:spacing w:line="300" w:lineRule="exact"/>
              <w:jc w:val="center"/>
              <w:textAlignment w:val="center"/>
              <w:rPr>
                <w:rFonts w:hint="default" w:ascii="Times New Roman" w:hAnsi="Times New Roman" w:cs="Times New Roman"/>
                <w:color w:val="000000"/>
                <w:sz w:val="21"/>
                <w:szCs w:val="24"/>
                <w:lang w:val="en-US" w:eastAsia="zh-CN"/>
              </w:rPr>
            </w:pPr>
            <w:r>
              <w:rPr>
                <w:rFonts w:hint="eastAsia" w:ascii="Times New Roman" w:hAnsi="Times New Roman" w:cs="Times New Roman"/>
                <w:color w:val="000000"/>
                <w:sz w:val="21"/>
                <w:szCs w:val="24"/>
                <w:lang w:val="en-US" w:eastAsia="zh-CN"/>
              </w:rPr>
              <w:t>8</w:t>
            </w:r>
          </w:p>
        </w:tc>
        <w:tc>
          <w:tcPr>
            <w:tcW w:w="3544" w:type="dxa"/>
            <w:shd w:val="clear" w:color="auto" w:fill="auto"/>
            <w:vAlign w:val="center"/>
          </w:tcPr>
          <w:p w14:paraId="57C1F366">
            <w:pPr>
              <w:adjustRightInd w:val="0"/>
              <w:snapToGrid w:val="0"/>
              <w:spacing w:line="300" w:lineRule="exact"/>
              <w:jc w:val="center"/>
              <w:textAlignment w:val="center"/>
              <w:rPr>
                <w:rFonts w:hint="default" w:ascii="Times New Roman" w:hAnsi="Times New Roman" w:cs="Times New Roman"/>
                <w:color w:val="000000"/>
                <w:sz w:val="21"/>
                <w:szCs w:val="24"/>
                <w:lang w:val="en-US" w:eastAsia="zh-CN"/>
              </w:rPr>
            </w:pPr>
            <w:r>
              <w:rPr>
                <w:rFonts w:hint="eastAsia" w:ascii="Times New Roman" w:hAnsi="Times New Roman" w:cs="Times New Roman"/>
                <w:color w:val="000000"/>
                <w:sz w:val="21"/>
                <w:szCs w:val="24"/>
                <w:lang w:val="en-US" w:eastAsia="zh-CN"/>
              </w:rPr>
              <w:t>成品电缆电压试验</w:t>
            </w:r>
          </w:p>
        </w:tc>
        <w:tc>
          <w:tcPr>
            <w:tcW w:w="3825" w:type="dxa"/>
            <w:vAlign w:val="center"/>
          </w:tcPr>
          <w:p w14:paraId="10014D82">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rPr>
              <w:t>GB</w:t>
            </w:r>
            <w:r>
              <w:rPr>
                <w:rFonts w:hint="eastAsia" w:ascii="Times New Roman" w:hAnsi="Times New Roman" w:cs="Times New Roman"/>
                <w:color w:val="000000"/>
                <w:sz w:val="21"/>
                <w:szCs w:val="24"/>
                <w:lang w:val="en-US" w:eastAsia="zh-CN"/>
              </w:rPr>
              <w:t>/</w:t>
            </w:r>
            <w:r>
              <w:rPr>
                <w:rFonts w:hint="eastAsia" w:ascii="Times New Roman" w:hAnsi="Times New Roman" w:eastAsia="宋体" w:cs="Times New Roman"/>
                <w:color w:val="000000"/>
                <w:sz w:val="21"/>
                <w:szCs w:val="24"/>
              </w:rPr>
              <w:t>T 3048.8-2007</w:t>
            </w:r>
            <w:r>
              <w:rPr>
                <w:rFonts w:hint="eastAsia" w:ascii="Times New Roman" w:hAnsi="Times New Roman" w:eastAsia="宋体" w:cs="Times New Roman"/>
                <w:color w:val="000000"/>
                <w:sz w:val="21"/>
                <w:szCs w:val="24"/>
              </w:rPr>
              <w:br w:type="textWrapping"/>
            </w:r>
            <w:r>
              <w:rPr>
                <w:rFonts w:hint="eastAsia" w:ascii="Times New Roman" w:hAnsi="Times New Roman" w:eastAsia="宋体" w:cs="Times New Roman"/>
                <w:color w:val="000000"/>
                <w:sz w:val="21"/>
                <w:szCs w:val="24"/>
              </w:rPr>
              <w:t>GB/T 5023.2-2008</w:t>
            </w:r>
          </w:p>
        </w:tc>
      </w:tr>
      <w:tr w14:paraId="7EB9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vAlign w:val="center"/>
          </w:tcPr>
          <w:p w14:paraId="312C8033">
            <w:pPr>
              <w:adjustRightInd w:val="0"/>
              <w:snapToGrid w:val="0"/>
              <w:spacing w:line="300" w:lineRule="exact"/>
              <w:jc w:val="center"/>
              <w:textAlignment w:val="center"/>
              <w:rPr>
                <w:rFonts w:hint="default" w:ascii="Times New Roman" w:hAnsi="Times New Roman" w:eastAsia="宋体" w:cs="Times New Roman"/>
                <w:color w:val="000000"/>
                <w:sz w:val="21"/>
                <w:szCs w:val="24"/>
                <w:lang w:val="en-US" w:eastAsia="zh-CN"/>
              </w:rPr>
            </w:pPr>
            <w:r>
              <w:rPr>
                <w:rFonts w:hint="eastAsia" w:ascii="Times New Roman" w:hAnsi="Times New Roman" w:cs="Times New Roman"/>
                <w:color w:val="000000"/>
                <w:sz w:val="21"/>
                <w:szCs w:val="24"/>
                <w:lang w:val="en-US" w:eastAsia="zh-CN"/>
              </w:rPr>
              <w:t>9</w:t>
            </w:r>
          </w:p>
        </w:tc>
        <w:tc>
          <w:tcPr>
            <w:tcW w:w="3544" w:type="dxa"/>
            <w:vAlign w:val="center"/>
          </w:tcPr>
          <w:p w14:paraId="5F2A642C">
            <w:pPr>
              <w:adjustRightInd w:val="0"/>
              <w:snapToGrid w:val="0"/>
              <w:spacing w:line="300" w:lineRule="exact"/>
              <w:jc w:val="center"/>
              <w:textAlignment w:val="center"/>
              <w:rPr>
                <w:rFonts w:hint="eastAsia" w:ascii="Times New Roman" w:hAnsi="Times New Roman" w:eastAsia="宋体" w:cs="Times New Roman"/>
                <w:color w:val="000000"/>
                <w:sz w:val="21"/>
                <w:szCs w:val="24"/>
              </w:rPr>
            </w:pPr>
            <w:r>
              <w:rPr>
                <w:rFonts w:hint="eastAsia" w:ascii="Times New Roman" w:hAnsi="Times New Roman" w:eastAsia="宋体" w:cs="Times New Roman"/>
                <w:color w:val="000000"/>
                <w:sz w:val="21"/>
                <w:szCs w:val="24"/>
                <w:lang w:val="en-US" w:eastAsia="zh-CN"/>
              </w:rPr>
              <w:t>不延燃试验（单根垂直燃烧试验）</w:t>
            </w:r>
          </w:p>
        </w:tc>
        <w:tc>
          <w:tcPr>
            <w:tcW w:w="3825" w:type="dxa"/>
            <w:vAlign w:val="center"/>
          </w:tcPr>
          <w:p w14:paraId="338B9D56">
            <w:pPr>
              <w:adjustRightInd w:val="0"/>
              <w:snapToGrid w:val="0"/>
              <w:spacing w:line="300" w:lineRule="exact"/>
              <w:jc w:val="center"/>
              <w:textAlignment w:val="center"/>
              <w:rPr>
                <w:rFonts w:hint="default" w:ascii="Times New Roman" w:hAnsi="Times New Roman" w:eastAsia="宋体" w:cs="Times New Roman"/>
                <w:color w:val="000000"/>
                <w:sz w:val="21"/>
                <w:szCs w:val="24"/>
                <w:lang w:val="en-US" w:eastAsia="zh-CN"/>
              </w:rPr>
            </w:pPr>
            <w:r>
              <w:rPr>
                <w:rFonts w:hint="eastAsia" w:ascii="Times New Roman" w:hAnsi="Times New Roman" w:eastAsia="宋体" w:cs="Times New Roman"/>
                <w:color w:val="000000"/>
                <w:sz w:val="21"/>
                <w:szCs w:val="24"/>
              </w:rPr>
              <w:t xml:space="preserve">GB/T </w:t>
            </w:r>
            <w:r>
              <w:rPr>
                <w:rFonts w:hint="eastAsia" w:ascii="Times New Roman" w:hAnsi="Times New Roman" w:cs="Times New Roman"/>
                <w:color w:val="000000"/>
                <w:sz w:val="21"/>
                <w:szCs w:val="24"/>
                <w:lang w:val="en-US" w:eastAsia="zh-CN"/>
              </w:rPr>
              <w:t>18380.12-2022</w:t>
            </w:r>
          </w:p>
        </w:tc>
      </w:tr>
    </w:tbl>
    <w:p w14:paraId="188DF092">
      <w:pPr>
        <w:adjustRightInd w:val="0"/>
        <w:snapToGrid w:val="0"/>
        <w:spacing w:line="440" w:lineRule="exact"/>
        <w:ind w:firstLine="420" w:firstLineChars="200"/>
        <w:rPr>
          <w:color w:val="000000"/>
          <w:szCs w:val="21"/>
        </w:rPr>
      </w:pPr>
      <w:r>
        <w:rPr>
          <w:rFonts w:hint="eastAsia"/>
          <w:color w:val="000000"/>
          <w:szCs w:val="21"/>
        </w:rPr>
        <w:t>执行企业标准、团体标准、地方标准的产品，检验项目参照上述内容执行。</w:t>
      </w:r>
    </w:p>
    <w:p w14:paraId="62195E16">
      <w:pPr>
        <w:spacing w:line="440" w:lineRule="exact"/>
        <w:ind w:firstLine="420" w:firstLineChars="200"/>
        <w:rPr>
          <w:rFonts w:ascii="Times New Roman" w:hAnsi="Times New Roman" w:eastAsia="黑体"/>
          <w:color w:val="000000"/>
          <w:szCs w:val="21"/>
        </w:rPr>
      </w:pPr>
      <w:r>
        <w:rPr>
          <w:rFonts w:ascii="Times New Roman" w:hAnsi="Times New Roman"/>
          <w:color w:val="000000"/>
          <w:szCs w:val="21"/>
        </w:rPr>
        <w:t>凡是注日期的文件，其随后所有的修改单（不包括勘误的内容）或修订版不适用于本细则。凡是不注日期的文件，其最新版本适用于本细则。</w:t>
      </w:r>
    </w:p>
    <w:p w14:paraId="4DD08DE2">
      <w:pPr>
        <w:tabs>
          <w:tab w:val="left" w:pos="438"/>
        </w:tabs>
        <w:autoSpaceDE w:val="0"/>
        <w:autoSpaceDN w:val="0"/>
        <w:spacing w:beforeLines="50" w:afterLines="50" w:line="440" w:lineRule="exact"/>
        <w:jc w:val="left"/>
        <w:rPr>
          <w:rFonts w:hint="eastAsia" w:ascii="黑体" w:hAnsi="黑体" w:eastAsia="黑体" w:cs="黑体"/>
          <w:sz w:val="21"/>
          <w:szCs w:val="24"/>
          <w:lang w:bidi="zh-CN"/>
        </w:rPr>
      </w:pPr>
      <w:r>
        <w:rPr>
          <w:rFonts w:hint="eastAsia" w:ascii="黑体" w:hAnsi="黑体" w:eastAsia="黑体" w:cs="黑体"/>
          <w:sz w:val="21"/>
          <w:szCs w:val="24"/>
          <w:lang w:bidi="zh-CN"/>
        </w:rPr>
        <w:t>3 判定规则</w:t>
      </w:r>
    </w:p>
    <w:p w14:paraId="127FDFE5">
      <w:pPr>
        <w:pStyle w:val="21"/>
        <w:rPr>
          <w:rFonts w:hint="eastAsia"/>
          <w:sz w:val="21"/>
        </w:rPr>
      </w:pPr>
      <w:r>
        <w:rPr>
          <w:rFonts w:hint="eastAsia"/>
          <w:sz w:val="21"/>
        </w:rPr>
        <w:t>3.1</w:t>
      </w:r>
      <w:r>
        <w:rPr>
          <w:rFonts w:hint="eastAsia"/>
          <w:sz w:val="21"/>
          <w:lang w:val="en-US" w:eastAsia="zh-CN"/>
        </w:rPr>
        <w:t xml:space="preserve"> </w:t>
      </w:r>
      <w:r>
        <w:rPr>
          <w:rFonts w:hint="eastAsia"/>
          <w:sz w:val="21"/>
        </w:rPr>
        <w:t>依据标准</w:t>
      </w:r>
    </w:p>
    <w:p w14:paraId="3F5231B1">
      <w:pPr>
        <w:spacing w:line="440" w:lineRule="exact"/>
        <w:ind w:firstLine="420" w:firstLineChars="200"/>
        <w:rPr>
          <w:rFonts w:ascii="Times New Roman" w:hAnsi="Times New Roman"/>
          <w:szCs w:val="21"/>
          <w:highlight w:val="none"/>
        </w:rPr>
      </w:pPr>
      <w:r>
        <w:rPr>
          <w:rFonts w:ascii="Times New Roman" w:hAnsi="Times New Roman"/>
          <w:szCs w:val="21"/>
          <w:highlight w:val="none"/>
        </w:rPr>
        <w:t>GB/T 5023.3-2008 额定电压450/750V及以下聚氯乙烯绝缘电缆</w:t>
      </w:r>
      <w:r>
        <w:rPr>
          <w:rFonts w:hint="eastAsia" w:ascii="Times New Roman" w:hAnsi="Times New Roman"/>
          <w:szCs w:val="21"/>
          <w:highlight w:val="none"/>
          <w:lang w:val="en-US" w:eastAsia="zh-CN"/>
        </w:rPr>
        <w:t xml:space="preserve"> </w:t>
      </w:r>
      <w:r>
        <w:rPr>
          <w:rFonts w:ascii="Times New Roman" w:hAnsi="Times New Roman"/>
          <w:szCs w:val="21"/>
          <w:highlight w:val="none"/>
        </w:rPr>
        <w:t>第3部分：固定布线用无护套电缆</w:t>
      </w:r>
    </w:p>
    <w:p w14:paraId="20DD1D6A">
      <w:pPr>
        <w:spacing w:line="440" w:lineRule="exact"/>
        <w:ind w:firstLine="420" w:firstLineChars="200"/>
        <w:rPr>
          <w:rFonts w:ascii="Times New Roman" w:hAnsi="Times New Roman"/>
          <w:szCs w:val="21"/>
          <w:highlight w:val="none"/>
        </w:rPr>
      </w:pPr>
      <w:r>
        <w:rPr>
          <w:rFonts w:ascii="Times New Roman" w:hAnsi="Times New Roman"/>
          <w:szCs w:val="21"/>
          <w:highlight w:val="none"/>
        </w:rPr>
        <w:t>GB/T 5023.5-2008 额定电压450/750V及以下聚氯乙烯绝缘电缆第5部分：软电缆（软线）</w:t>
      </w:r>
    </w:p>
    <w:p w14:paraId="4ECE6B16">
      <w:pPr>
        <w:spacing w:line="440" w:lineRule="exact"/>
        <w:ind w:firstLine="420" w:firstLineChars="200"/>
        <w:rPr>
          <w:rFonts w:ascii="Times New Roman" w:hAnsi="Times New Roman"/>
          <w:szCs w:val="21"/>
          <w:highlight w:val="none"/>
        </w:rPr>
      </w:pPr>
      <w:r>
        <w:rPr>
          <w:rFonts w:ascii="Times New Roman" w:hAnsi="Times New Roman"/>
          <w:szCs w:val="21"/>
          <w:highlight w:val="none"/>
        </w:rPr>
        <w:t>JB/T 8734.2-2016 额定电压450/750V及以下聚氯乙烯绝缘电缆电线和软线 第2部分：固定布线用电缆电线</w:t>
      </w:r>
    </w:p>
    <w:p w14:paraId="63470A8E">
      <w:pPr>
        <w:spacing w:line="440" w:lineRule="exact"/>
        <w:ind w:firstLine="420" w:firstLineChars="200"/>
        <w:rPr>
          <w:rFonts w:ascii="Times New Roman" w:hAnsi="Times New Roman"/>
          <w:szCs w:val="21"/>
          <w:highlight w:val="none"/>
        </w:rPr>
      </w:pPr>
      <w:r>
        <w:rPr>
          <w:rFonts w:ascii="Times New Roman" w:hAnsi="Times New Roman"/>
          <w:szCs w:val="21"/>
          <w:highlight w:val="none"/>
        </w:rPr>
        <w:t>JB/T 8734.3-2016 额定电压450/750V及以下聚氯乙烯绝缘电缆电线和软线</w:t>
      </w:r>
      <w:r>
        <w:rPr>
          <w:rFonts w:hint="eastAsia" w:ascii="Times New Roman" w:hAnsi="Times New Roman"/>
          <w:szCs w:val="21"/>
          <w:highlight w:val="none"/>
          <w:lang w:val="en-US" w:eastAsia="zh-CN"/>
        </w:rPr>
        <w:t xml:space="preserve"> </w:t>
      </w:r>
      <w:r>
        <w:rPr>
          <w:rFonts w:ascii="Times New Roman" w:hAnsi="Times New Roman"/>
          <w:szCs w:val="21"/>
          <w:highlight w:val="none"/>
        </w:rPr>
        <w:t>第3部分：连接用软电线和软电缆</w:t>
      </w:r>
    </w:p>
    <w:p w14:paraId="31F6E609">
      <w:pPr>
        <w:spacing w:line="440" w:lineRule="exact"/>
        <w:ind w:firstLine="420" w:firstLineChars="200"/>
        <w:rPr>
          <w:rFonts w:hint="eastAsia"/>
          <w:highlight w:val="none"/>
          <w:lang w:val="en-US" w:eastAsia="zh-CN"/>
        </w:rPr>
      </w:pPr>
      <w:r>
        <w:rPr>
          <w:rFonts w:ascii="Times New Roman" w:hAnsi="Times New Roman"/>
          <w:szCs w:val="21"/>
          <w:highlight w:val="none"/>
        </w:rPr>
        <w:t>GB/T 50</w:t>
      </w:r>
      <w:r>
        <w:rPr>
          <w:rFonts w:hint="eastAsia" w:ascii="Times New Roman" w:hAnsi="Times New Roman"/>
          <w:szCs w:val="21"/>
          <w:highlight w:val="none"/>
          <w:lang w:val="en-US" w:eastAsia="zh-CN"/>
        </w:rPr>
        <w:t>1</w:t>
      </w:r>
      <w:r>
        <w:rPr>
          <w:rFonts w:ascii="Times New Roman" w:hAnsi="Times New Roman"/>
          <w:szCs w:val="21"/>
          <w:highlight w:val="none"/>
        </w:rPr>
        <w:t>3.</w:t>
      </w:r>
      <w:r>
        <w:rPr>
          <w:rFonts w:hint="eastAsia" w:ascii="Times New Roman" w:hAnsi="Times New Roman"/>
          <w:szCs w:val="21"/>
          <w:highlight w:val="none"/>
          <w:lang w:val="en-US" w:eastAsia="zh-CN"/>
        </w:rPr>
        <w:t>4</w:t>
      </w:r>
      <w:r>
        <w:rPr>
          <w:rFonts w:ascii="Times New Roman" w:hAnsi="Times New Roman"/>
          <w:szCs w:val="21"/>
          <w:highlight w:val="none"/>
        </w:rPr>
        <w:t>-2008</w:t>
      </w:r>
      <w:r>
        <w:rPr>
          <w:rFonts w:hint="eastAsia" w:ascii="Times New Roman" w:hAnsi="Times New Roman"/>
          <w:szCs w:val="21"/>
          <w:highlight w:val="none"/>
          <w:lang w:val="en-US" w:eastAsia="zh-CN"/>
        </w:rPr>
        <w:t xml:space="preserve"> </w:t>
      </w:r>
      <w:r>
        <w:rPr>
          <w:rFonts w:ascii="Times New Roman" w:hAnsi="Times New Roman"/>
          <w:szCs w:val="21"/>
          <w:highlight w:val="none"/>
        </w:rPr>
        <w:t>额定电压450/750V及以下</w:t>
      </w:r>
      <w:r>
        <w:rPr>
          <w:rFonts w:hint="eastAsia" w:ascii="Times New Roman" w:hAnsi="Times New Roman"/>
          <w:szCs w:val="21"/>
          <w:highlight w:val="none"/>
          <w:lang w:eastAsia="zh-CN"/>
        </w:rPr>
        <w:t>橡皮绝缘电缆</w:t>
      </w:r>
      <w:r>
        <w:rPr>
          <w:rFonts w:hint="eastAsia" w:ascii="Times New Roman" w:hAnsi="Times New Roman"/>
          <w:szCs w:val="21"/>
          <w:highlight w:val="none"/>
          <w:lang w:val="en-US" w:eastAsia="zh-CN"/>
        </w:rPr>
        <w:t xml:space="preserve"> </w:t>
      </w:r>
      <w:r>
        <w:rPr>
          <w:rFonts w:ascii="Times New Roman" w:hAnsi="Times New Roman"/>
          <w:szCs w:val="21"/>
          <w:highlight w:val="none"/>
        </w:rPr>
        <w:t>第</w:t>
      </w:r>
      <w:r>
        <w:rPr>
          <w:rFonts w:hint="eastAsia" w:ascii="Times New Roman" w:hAnsi="Times New Roman"/>
          <w:szCs w:val="21"/>
          <w:highlight w:val="none"/>
          <w:lang w:val="en-US" w:eastAsia="zh-CN"/>
        </w:rPr>
        <w:t>4</w:t>
      </w:r>
      <w:r>
        <w:rPr>
          <w:rFonts w:ascii="Times New Roman" w:hAnsi="Times New Roman"/>
          <w:szCs w:val="21"/>
          <w:highlight w:val="none"/>
        </w:rPr>
        <w:t>部分：</w:t>
      </w:r>
      <w:r>
        <w:rPr>
          <w:rFonts w:hint="eastAsia" w:ascii="Times New Roman" w:hAnsi="Times New Roman"/>
          <w:szCs w:val="21"/>
          <w:highlight w:val="none"/>
          <w:lang w:eastAsia="zh-CN"/>
        </w:rPr>
        <w:t>软线和软电缆</w:t>
      </w:r>
    </w:p>
    <w:p w14:paraId="662789B4">
      <w:pPr>
        <w:spacing w:line="440" w:lineRule="exact"/>
        <w:ind w:firstLine="420" w:firstLineChars="200"/>
        <w:rPr>
          <w:rFonts w:hint="eastAsia" w:ascii="Times New Roman" w:hAnsi="Times New Roman" w:eastAsia="宋体"/>
          <w:szCs w:val="21"/>
          <w:highlight w:val="none"/>
          <w:lang w:eastAsia="zh-CN"/>
        </w:rPr>
      </w:pPr>
      <w:r>
        <w:rPr>
          <w:rFonts w:ascii="Times New Roman" w:hAnsi="Times New Roman"/>
          <w:szCs w:val="21"/>
          <w:highlight w:val="none"/>
        </w:rPr>
        <w:t>JB/T 873</w:t>
      </w:r>
      <w:r>
        <w:rPr>
          <w:rFonts w:hint="eastAsia" w:ascii="Times New Roman" w:hAnsi="Times New Roman"/>
          <w:szCs w:val="21"/>
          <w:highlight w:val="none"/>
          <w:lang w:val="en-US" w:eastAsia="zh-CN"/>
        </w:rPr>
        <w:t>5</w:t>
      </w:r>
      <w:r>
        <w:rPr>
          <w:rFonts w:ascii="Times New Roman" w:hAnsi="Times New Roman"/>
          <w:szCs w:val="21"/>
          <w:highlight w:val="none"/>
        </w:rPr>
        <w:t>.2-2016 额定电压450/750V及以下</w:t>
      </w:r>
      <w:r>
        <w:rPr>
          <w:rFonts w:hint="eastAsia" w:ascii="Times New Roman" w:hAnsi="Times New Roman"/>
          <w:szCs w:val="21"/>
          <w:highlight w:val="none"/>
          <w:lang w:eastAsia="zh-CN"/>
        </w:rPr>
        <w:t>橡皮</w:t>
      </w:r>
      <w:r>
        <w:rPr>
          <w:rFonts w:ascii="Times New Roman" w:hAnsi="Times New Roman"/>
          <w:szCs w:val="21"/>
          <w:highlight w:val="none"/>
        </w:rPr>
        <w:t>绝缘软线</w:t>
      </w:r>
      <w:r>
        <w:rPr>
          <w:rFonts w:hint="eastAsia" w:ascii="Times New Roman" w:hAnsi="Times New Roman"/>
          <w:szCs w:val="21"/>
          <w:highlight w:val="none"/>
          <w:lang w:eastAsia="zh-CN"/>
        </w:rPr>
        <w:t>和软电缆</w:t>
      </w:r>
      <w:r>
        <w:rPr>
          <w:rFonts w:ascii="Times New Roman" w:hAnsi="Times New Roman"/>
          <w:szCs w:val="21"/>
          <w:highlight w:val="none"/>
        </w:rPr>
        <w:t xml:space="preserve"> 第2部分：</w:t>
      </w:r>
      <w:r>
        <w:rPr>
          <w:rFonts w:hint="eastAsia" w:ascii="Times New Roman" w:hAnsi="Times New Roman"/>
          <w:szCs w:val="21"/>
          <w:highlight w:val="none"/>
          <w:lang w:eastAsia="zh-CN"/>
        </w:rPr>
        <w:t>通用橡套软电缆</w:t>
      </w:r>
    </w:p>
    <w:p w14:paraId="07918DB8">
      <w:pPr>
        <w:spacing w:line="440" w:lineRule="exact"/>
        <w:ind w:firstLine="420" w:firstLineChars="200"/>
        <w:rPr>
          <w:rFonts w:hint="eastAsia" w:ascii="Times New Roman" w:hAnsi="Times New Roman" w:eastAsia="宋体"/>
          <w:szCs w:val="21"/>
          <w:lang w:eastAsia="zh-CN"/>
        </w:rPr>
      </w:pPr>
      <w:r>
        <w:rPr>
          <w:rFonts w:ascii="Times New Roman" w:hAnsi="Times New Roman"/>
          <w:szCs w:val="21"/>
        </w:rPr>
        <w:t xml:space="preserve">JB/T </w:t>
      </w:r>
      <w:r>
        <w:rPr>
          <w:rFonts w:hint="eastAsia" w:ascii="Times New Roman" w:hAnsi="Times New Roman"/>
          <w:szCs w:val="21"/>
          <w:lang w:val="en-US" w:eastAsia="zh-CN"/>
        </w:rPr>
        <w:t>10491-2022</w:t>
      </w:r>
      <w:r>
        <w:rPr>
          <w:rFonts w:ascii="Times New Roman" w:hAnsi="Times New Roman"/>
          <w:szCs w:val="21"/>
        </w:rPr>
        <w:t xml:space="preserve"> </w:t>
      </w:r>
      <w:r>
        <w:rPr>
          <w:rFonts w:hint="default" w:ascii="Times New Roman" w:hAnsi="Times New Roman"/>
          <w:szCs w:val="21"/>
        </w:rPr>
        <w:t>额定电压 450/750V 及以下交联聚烯烃绝缘电线和电缆</w:t>
      </w:r>
    </w:p>
    <w:p w14:paraId="73554772">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现行有效的企业标准、团体标准、地方标准及产品明示质量要求</w:t>
      </w:r>
    </w:p>
    <w:p w14:paraId="0CC13D0D">
      <w:pPr>
        <w:pStyle w:val="21"/>
        <w:rPr>
          <w:rFonts w:hint="eastAsia"/>
          <w:sz w:val="21"/>
        </w:rPr>
      </w:pPr>
      <w:r>
        <w:rPr>
          <w:rFonts w:hint="eastAsia"/>
          <w:sz w:val="21"/>
        </w:rPr>
        <w:t>3.2</w:t>
      </w:r>
      <w:r>
        <w:rPr>
          <w:rFonts w:hint="eastAsia"/>
          <w:sz w:val="21"/>
          <w:lang w:val="en-US" w:eastAsia="zh-CN"/>
        </w:rPr>
        <w:t xml:space="preserve"> </w:t>
      </w:r>
      <w:r>
        <w:rPr>
          <w:rFonts w:hint="eastAsia"/>
          <w:sz w:val="21"/>
        </w:rPr>
        <w:t>判定原则</w:t>
      </w:r>
    </w:p>
    <w:p w14:paraId="467459B7">
      <w:pPr>
        <w:adjustRightInd w:val="0"/>
        <w:snapToGrid w:val="0"/>
        <w:spacing w:line="44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经检验，检验项目全部合格，判定为被抽查产品未发现不合格；检验项目中任一项或一项以上不合格，判定为被抽查产品不合格。</w:t>
      </w:r>
    </w:p>
    <w:p w14:paraId="6485AA1F">
      <w:pPr>
        <w:adjustRightInd w:val="0"/>
        <w:snapToGrid w:val="0"/>
        <w:spacing w:line="44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若被检产品明示的质量要求高于本细则中检验项目依据的标准要求时，应按被检产品明示的质量要求判定。</w:t>
      </w:r>
    </w:p>
    <w:p w14:paraId="18D245E2">
      <w:pPr>
        <w:adjustRightInd w:val="0"/>
        <w:snapToGrid w:val="0"/>
        <w:spacing w:line="44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若被检产品明示的质量要求低于本细则中检验项目依据的强制性标准要求时，应按照强制性标准要求判定。</w:t>
      </w:r>
    </w:p>
    <w:p w14:paraId="474F4908">
      <w:pPr>
        <w:adjustRightInd w:val="0"/>
        <w:snapToGrid w:val="0"/>
        <w:spacing w:line="44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若被检产品明示的质量要求低于或包含本细则中检验项目依据的推荐性标准要求时，应以被检产品明示的质量要求判定。</w:t>
      </w:r>
    </w:p>
    <w:p w14:paraId="3278AD51">
      <w:pPr>
        <w:adjustRightInd w:val="0"/>
        <w:snapToGrid w:val="0"/>
        <w:spacing w:line="44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若被检产品明示的质量要求缺少本细则中检验项目依据的强制性标准要求时，应按照强制性标准要求判定。</w:t>
      </w:r>
    </w:p>
    <w:p w14:paraId="0E2170E8">
      <w:pPr>
        <w:adjustRightInd w:val="0"/>
        <w:snapToGrid w:val="0"/>
        <w:spacing w:line="440" w:lineRule="exact"/>
        <w:ind w:firstLine="420" w:firstLineChars="200"/>
        <w:rPr>
          <w:rFonts w:ascii="Times New Roman" w:hAnsi="Times New Roman"/>
          <w:color w:val="000000"/>
          <w:szCs w:val="21"/>
        </w:rPr>
      </w:pPr>
      <w:r>
        <w:rPr>
          <w:rFonts w:hint="eastAsia" w:asciiTheme="minorEastAsia" w:hAnsiTheme="minorEastAsia" w:eastAsiaTheme="minorEastAsia" w:cstheme="minorEastAsia"/>
          <w:sz w:val="21"/>
          <w:szCs w:val="21"/>
        </w:rPr>
        <w:t>若被检产品明示的质量要求缺少本细则中检验项目依据的推荐性标准要求时，该项目不参与判定。</w:t>
      </w:r>
    </w:p>
    <w:sectPr>
      <w:footerReference r:id="rId3" w:type="default"/>
      <w:pgSz w:w="11906" w:h="16838"/>
      <w:pgMar w:top="1440" w:right="1800" w:bottom="1440" w:left="1800"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8AFCDD-54D5-4F28-AA3D-2BB699D220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FD0BFEE6-B4B4-4AF0-A8E5-A9949A77BC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C7A0">
    <w:pPr>
      <w:pStyle w:val="7"/>
      <w:jc w:val="center"/>
    </w:pPr>
    <w:r>
      <w:fldChar w:fldCharType="begin"/>
    </w:r>
    <w:r>
      <w:instrText xml:space="preserve">PAGE   \* MERGEFORMAT</w:instrText>
    </w:r>
    <w:r>
      <w:fldChar w:fldCharType="separate"/>
    </w:r>
    <w:r>
      <w:rPr>
        <w:lang w:val="zh-CN"/>
      </w:rPr>
      <w:t>2</w:t>
    </w:r>
    <w:r>
      <w:fldChar w:fldCharType="end"/>
    </w:r>
  </w:p>
  <w:p w14:paraId="15A54562">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jZlMzgyMGFjM2E0ODk5MGEyYzY5MTVhZGNiNzcifQ=="/>
  </w:docVars>
  <w:rsids>
    <w:rsidRoot w:val="00172A27"/>
    <w:rsid w:val="07A04D19"/>
    <w:rsid w:val="092D6557"/>
    <w:rsid w:val="0B552782"/>
    <w:rsid w:val="0E001E09"/>
    <w:rsid w:val="15C32FD4"/>
    <w:rsid w:val="1A7D6F46"/>
    <w:rsid w:val="1DDC5C21"/>
    <w:rsid w:val="1E65587D"/>
    <w:rsid w:val="268A792C"/>
    <w:rsid w:val="27A8188F"/>
    <w:rsid w:val="280B6033"/>
    <w:rsid w:val="2F274EE4"/>
    <w:rsid w:val="343560B3"/>
    <w:rsid w:val="36CF2F00"/>
    <w:rsid w:val="3C212492"/>
    <w:rsid w:val="4B3F7C6C"/>
    <w:rsid w:val="4C0037D1"/>
    <w:rsid w:val="514B3EA9"/>
    <w:rsid w:val="51B60F7A"/>
    <w:rsid w:val="5720160A"/>
    <w:rsid w:val="5B667431"/>
    <w:rsid w:val="6634561F"/>
    <w:rsid w:val="68775BD9"/>
    <w:rsid w:val="6BD9140C"/>
    <w:rsid w:val="6F6C3304"/>
    <w:rsid w:val="7CFF30A5"/>
    <w:rsid w:val="7FD79E8F"/>
    <w:rsid w:val="7FEF0C55"/>
    <w:rsid w:val="7FFF5B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qFormat="1"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nhideWhenUsed="0"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semiHidden/>
    <w:unhideWhenUsed/>
    <w:qFormat/>
    <w:uiPriority w:val="9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qFormat/>
    <w:uiPriority w:val="1"/>
  </w:style>
  <w:style w:type="table" w:default="1" w:styleId="11">
    <w:name w:val="Normal Table"/>
    <w:autoRedefine/>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toa heading"/>
    <w:basedOn w:val="1"/>
    <w:next w:val="1"/>
    <w:autoRedefine/>
    <w:unhideWhenUsed/>
    <w:qFormat/>
    <w:uiPriority w:val="99"/>
    <w:pPr>
      <w:spacing w:before="120"/>
    </w:pPr>
    <w:rPr>
      <w:rFonts w:ascii="Cambria" w:hAnsi="Cambria"/>
    </w:rPr>
  </w:style>
  <w:style w:type="paragraph" w:styleId="5">
    <w:name w:val="annotation text"/>
    <w:basedOn w:val="1"/>
    <w:link w:val="18"/>
    <w:autoRedefine/>
    <w:qFormat/>
    <w:uiPriority w:val="0"/>
    <w:pPr>
      <w:jc w:val="left"/>
    </w:pPr>
  </w:style>
  <w:style w:type="paragraph" w:styleId="6">
    <w:name w:val="Balloon Text"/>
    <w:basedOn w:val="1"/>
    <w:link w:val="17"/>
    <w:autoRedefine/>
    <w:qFormat/>
    <w:uiPriority w:val="0"/>
    <w:rPr>
      <w:sz w:val="18"/>
      <w:szCs w:val="18"/>
    </w:rPr>
  </w:style>
  <w:style w:type="paragraph" w:styleId="7">
    <w:name w:val="footer"/>
    <w:basedOn w:val="1"/>
    <w:link w:val="16"/>
    <w:autoRedefine/>
    <w:qFormat/>
    <w:uiPriority w:val="99"/>
    <w:pPr>
      <w:tabs>
        <w:tab w:val="center" w:pos="4153"/>
        <w:tab w:val="right" w:pos="8306"/>
      </w:tabs>
      <w:snapToGrid w:val="0"/>
      <w:jc w:val="left"/>
    </w:pPr>
    <w:rPr>
      <w:sz w:val="18"/>
      <w:szCs w:val="18"/>
    </w:rPr>
  </w:style>
  <w:style w:type="paragraph" w:styleId="8">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annotation subject"/>
    <w:basedOn w:val="5"/>
    <w:next w:val="5"/>
    <w:link w:val="19"/>
    <w:autoRedefine/>
    <w:qFormat/>
    <w:uiPriority w:val="0"/>
    <w:rPr>
      <w:b/>
      <w:bCs/>
    </w:rPr>
  </w:style>
  <w:style w:type="character" w:styleId="13">
    <w:name w:val="page number"/>
    <w:basedOn w:val="12"/>
    <w:autoRedefine/>
    <w:unhideWhenUsed/>
    <w:qFormat/>
    <w:uiPriority w:val="99"/>
    <w:rPr>
      <w:rFonts w:ascii="Calibri" w:hAnsi="Calibri" w:eastAsia="宋体" w:cs="Times New Roman"/>
    </w:rPr>
  </w:style>
  <w:style w:type="character" w:styleId="14">
    <w:name w:val="annotation reference"/>
    <w:basedOn w:val="12"/>
    <w:autoRedefine/>
    <w:qFormat/>
    <w:uiPriority w:val="0"/>
    <w:rPr>
      <w:sz w:val="21"/>
      <w:szCs w:val="21"/>
    </w:rPr>
  </w:style>
  <w:style w:type="character" w:customStyle="1" w:styleId="15">
    <w:name w:val="页眉 Char"/>
    <w:basedOn w:val="12"/>
    <w:link w:val="8"/>
    <w:autoRedefine/>
    <w:qFormat/>
    <w:uiPriority w:val="0"/>
    <w:rPr>
      <w:rFonts w:ascii="Calibri" w:hAnsi="Calibri"/>
      <w:kern w:val="2"/>
      <w:sz w:val="18"/>
      <w:szCs w:val="18"/>
    </w:rPr>
  </w:style>
  <w:style w:type="character" w:customStyle="1" w:styleId="16">
    <w:name w:val="页脚 Char"/>
    <w:basedOn w:val="12"/>
    <w:link w:val="7"/>
    <w:autoRedefine/>
    <w:qFormat/>
    <w:uiPriority w:val="99"/>
    <w:rPr>
      <w:rFonts w:ascii="Calibri" w:hAnsi="Calibri"/>
      <w:kern w:val="2"/>
      <w:sz w:val="18"/>
      <w:szCs w:val="18"/>
    </w:rPr>
  </w:style>
  <w:style w:type="character" w:customStyle="1" w:styleId="17">
    <w:name w:val="批注框文本 Char"/>
    <w:basedOn w:val="12"/>
    <w:link w:val="6"/>
    <w:autoRedefine/>
    <w:qFormat/>
    <w:uiPriority w:val="0"/>
    <w:rPr>
      <w:rFonts w:ascii="Calibri" w:hAnsi="Calibri"/>
      <w:kern w:val="2"/>
      <w:sz w:val="18"/>
      <w:szCs w:val="18"/>
    </w:rPr>
  </w:style>
  <w:style w:type="character" w:customStyle="1" w:styleId="18">
    <w:name w:val="批注文字 Char"/>
    <w:basedOn w:val="12"/>
    <w:link w:val="5"/>
    <w:autoRedefine/>
    <w:qFormat/>
    <w:uiPriority w:val="0"/>
    <w:rPr>
      <w:rFonts w:ascii="Calibri" w:hAnsi="Calibri"/>
      <w:kern w:val="2"/>
      <w:sz w:val="21"/>
      <w:szCs w:val="22"/>
    </w:rPr>
  </w:style>
  <w:style w:type="character" w:customStyle="1" w:styleId="19">
    <w:name w:val="批注主题 Char"/>
    <w:basedOn w:val="18"/>
    <w:link w:val="10"/>
    <w:autoRedefine/>
    <w:qFormat/>
    <w:uiPriority w:val="0"/>
    <w:rPr>
      <w:rFonts w:ascii="Calibri" w:hAnsi="Calibri"/>
      <w:b/>
      <w:bCs/>
      <w:kern w:val="2"/>
      <w:sz w:val="21"/>
      <w:szCs w:val="22"/>
    </w:rPr>
  </w:style>
  <w:style w:type="paragraph" w:styleId="20">
    <w:name w:val="List Paragraph"/>
    <w:basedOn w:val="1"/>
    <w:autoRedefine/>
    <w:qFormat/>
    <w:uiPriority w:val="0"/>
    <w:pPr>
      <w:ind w:firstLine="420" w:firstLineChars="200"/>
    </w:pPr>
    <w:rPr>
      <w:sz w:val="21"/>
    </w:rPr>
  </w:style>
  <w:style w:type="paragraph" w:customStyle="1" w:styleId="21">
    <w:name w:val="三级标题"/>
    <w:basedOn w:val="1"/>
    <w:autoRedefine/>
    <w:qFormat/>
    <w:uiPriority w:val="0"/>
    <w:pPr>
      <w:snapToGrid w:val="0"/>
      <w:spacing w:line="440" w:lineRule="exact"/>
    </w:pPr>
    <w:rPr>
      <w:rFonts w:ascii="楷体_GB2312" w:hAnsi="楷体_GB2312" w:eastAsia="楷体_GB2312" w:cs="楷体_GB2312"/>
      <w:color w:val="00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866</Words>
  <Characters>1135</Characters>
  <Lines>0</Lines>
  <Paragraphs>156</Paragraphs>
  <TotalTime>0</TotalTime>
  <ScaleCrop>false</ScaleCrop>
  <LinksUpToDate>false</LinksUpToDate>
  <CharactersWithSpaces>1170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2021-04-23T08:56:00Z</dcterms:created>
  <dc:creator>user</dc:creator>
  <cp:lastModifiedBy>王璇</cp:lastModifiedBy>
  <cp:lastPrinted>2021-05-18T09:03:00Z</cp:lastPrinted>
  <dcterms:modified xsi:type="dcterms:W3CDTF">2025-06-18T09:52:30Z</dcterms:modified>
  <dc:title>山西省市场监督管理局电线电缆产品质量监督抽查实施细则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C7D5A4072260423E8CE6BBEF70C1242B_13</vt:lpwstr>
  </property>
  <property fmtid="{D5CDD505-2E9C-101B-9397-08002B2CF9AE}" pid="4" name="KSOTemplateDocerSaveRecord">
    <vt:lpwstr>eyJoZGlkIjoiMGQxZDZhZjI1NmQ3Yjg3NDQ2MTQzOWI4ZTkyYmYzMGMiLCJ1c2VySWQiOiI1NzYzNzQ5NjIifQ==</vt:lpwstr>
  </property>
</Properties>
</file>