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6697">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大同市PVC管材及管件产品</w:t>
      </w:r>
    </w:p>
    <w:p w14:paraId="4F3C3E39">
      <w:pPr>
        <w:widowControl w:val="0"/>
        <w:kinsoku/>
        <w:autoSpaceDE/>
        <w:autoSpaceDN/>
        <w:adjustRightInd/>
        <w:snapToGrid w:val="0"/>
        <w:spacing w:line="360" w:lineRule="auto"/>
        <w:jc w:val="center"/>
        <w:textAlignment w:val="auto"/>
        <w:rPr>
          <w:rFonts w:hint="eastAsia" w:ascii="Calibri" w:hAnsi="Calibri" w:eastAsia="方正小标宋简体" w:cs="方正仿宋简体"/>
          <w:snapToGrid/>
          <w:color w:val="000000"/>
          <w:kern w:val="2"/>
          <w:sz w:val="32"/>
          <w:szCs w:val="32"/>
          <w:highlight w:val="none"/>
          <w:lang w:val="en-US" w:eastAsia="zh-CN" w:bidi="ar-SA"/>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02006628">
      <w:pPr>
        <w:spacing w:line="463" w:lineRule="auto"/>
        <w:rPr>
          <w:rFonts w:ascii="Arial"/>
          <w:color w:val="auto"/>
          <w:sz w:val="21"/>
        </w:rPr>
      </w:pPr>
    </w:p>
    <w:p w14:paraId="681ACFA2">
      <w:pPr>
        <w:pStyle w:val="8"/>
        <w:tabs>
          <w:tab w:val="left" w:pos="438"/>
        </w:tabs>
        <w:autoSpaceDE w:val="0"/>
        <w:autoSpaceDN w:val="0"/>
        <w:spacing w:beforeLines="50" w:afterLines="50" w:line="440" w:lineRule="exact"/>
        <w:ind w:firstLine="0" w:firstLineChars="0"/>
        <w:jc w:val="left"/>
        <w:rPr>
          <w:rFonts w:ascii="Arial"/>
          <w:color w:val="auto"/>
          <w:sz w:val="21"/>
        </w:rPr>
      </w:pPr>
      <w:r>
        <w:rPr>
          <w:rFonts w:ascii="Times New Roman" w:hAnsi="Times New Roman" w:eastAsia="黑体"/>
          <w:color w:val="000000"/>
          <w:szCs w:val="21"/>
        </w:rPr>
        <w:t>1 抽样方法</w:t>
      </w:r>
    </w:p>
    <w:p w14:paraId="5FBB0530">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以随机抽样的方式在被抽样生产者、销售者的待销产品中抽取。</w:t>
      </w:r>
    </w:p>
    <w:p w14:paraId="2BB2D56B">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随机数一般可使用随机数表等方法产生。</w:t>
      </w:r>
    </w:p>
    <w:p w14:paraId="76547E2C">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管材：从同一生产者同一标准生产的同一商标、同一型号规格的管材中随机抽取4根（4米/根），每根截取成4段（1米/段），其中8米作为检验样品，剩余8米作为备用样品。管材一般为4米/根，若抽查产品长度为6米/根时，保证抽查总数为16米即可。</w:t>
      </w:r>
    </w:p>
    <w:p w14:paraId="5032B8FB">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2 检验依据</w:t>
      </w:r>
    </w:p>
    <w:p w14:paraId="604A921F">
      <w:pPr>
        <w:spacing w:line="240" w:lineRule="exact"/>
      </w:pPr>
    </w:p>
    <w:tbl>
      <w:tblPr>
        <w:tblStyle w:val="5"/>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4750"/>
        <w:gridCol w:w="3135"/>
      </w:tblGrid>
      <w:tr w14:paraId="1A68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718">
            <w:pPr>
              <w:widowControl w:val="0"/>
              <w:kinsoku/>
              <w:autoSpaceDE/>
              <w:autoSpaceDN/>
              <w:adjustRightInd/>
              <w:snapToGrid w:val="0"/>
              <w:spacing w:line="440" w:lineRule="exact"/>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序号</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3D1">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检验项目</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0355">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检验方法</w:t>
            </w:r>
          </w:p>
        </w:tc>
      </w:tr>
      <w:tr w14:paraId="55EB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584C">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1</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77E">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外观</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38A8">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51B8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DFFA">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2</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C4A">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颜色</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8B8">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000B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D4A5">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3</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5FD">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管材尺寸</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A3AE">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3CEF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BDD2">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4</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9C84">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密度</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E20F">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2582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2CC8">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5</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486">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纵向回缩率</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8729">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7D12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4913">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6</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0AE6">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落锤冲击试验</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98B8">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r w14:paraId="18DB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5AA">
            <w:pPr>
              <w:widowControl w:val="0"/>
              <w:kinsoku/>
              <w:autoSpaceDE/>
              <w:autoSpaceDN/>
              <w:adjustRightInd/>
              <w:snapToGrid w:val="0"/>
              <w:spacing w:line="440" w:lineRule="exact"/>
              <w:jc w:val="center"/>
              <w:textAlignment w:val="auto"/>
              <w:rPr>
                <w:rFonts w:hint="eastAsia" w:ascii="宋体" w:hAnsi="宋体" w:eastAsia="宋体" w:cs="宋体"/>
                <w:snapToGrid/>
                <w:color w:val="000000"/>
                <w:kern w:val="2"/>
                <w:szCs w:val="21"/>
                <w:lang w:val="en-US" w:eastAsia="zh-CN" w:bidi="ar-SA"/>
              </w:rPr>
            </w:pPr>
            <w:r>
              <w:rPr>
                <w:rFonts w:hint="eastAsia" w:ascii="宋体" w:hAnsi="宋体" w:eastAsia="宋体" w:cs="宋体"/>
                <w:snapToGrid/>
                <w:color w:val="000000"/>
                <w:kern w:val="2"/>
                <w:szCs w:val="21"/>
                <w:lang w:val="en-US" w:eastAsia="zh-CN" w:bidi="ar-SA"/>
              </w:rPr>
              <w:t>7</w:t>
            </w:r>
          </w:p>
        </w:tc>
        <w:tc>
          <w:tcPr>
            <w:tcW w:w="4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6E5">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液压试验（20℃，1h）</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1CAB">
            <w:pPr>
              <w:widowControl w:val="0"/>
              <w:kinsoku/>
              <w:autoSpaceDE/>
              <w:autoSpaceDN/>
              <w:adjustRightInd/>
              <w:snapToGrid w:val="0"/>
              <w:spacing w:line="440" w:lineRule="exact"/>
              <w:ind w:firstLine="420" w:firstLineChars="200"/>
              <w:jc w:val="center"/>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GB/T 10002.1-2023</w:t>
            </w:r>
          </w:p>
        </w:tc>
      </w:tr>
    </w:tbl>
    <w:p w14:paraId="14727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0" w:firstLineChars="200"/>
        <w:textAlignment w:val="baseline"/>
        <w:rPr>
          <w:rFonts w:hint="eastAsia" w:ascii="宋体" w:hAnsi="宋体" w:eastAsia="宋体" w:cs="宋体"/>
          <w:spacing w:val="0"/>
          <w:sz w:val="13"/>
          <w:szCs w:val="13"/>
        </w:rPr>
      </w:pPr>
    </w:p>
    <w:p w14:paraId="7F3147B0">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执行企业标准、团体标准、地方标准的产品，检验项目参照上述内容执行。</w:t>
      </w:r>
    </w:p>
    <w:p w14:paraId="78952731">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凡是注日期的文件，其随后所有的修改单(不包括勘误的内容)或修订版不适用于本细则。凡是不注日期的文件，其最新版本适用于本细则。</w:t>
      </w:r>
    </w:p>
    <w:p w14:paraId="571560BC">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3 判定规则</w:t>
      </w:r>
    </w:p>
    <w:p w14:paraId="68A85E1C">
      <w:pPr>
        <w:pStyle w:val="9"/>
        <w:rPr>
          <w:rFonts w:hint="eastAsia" w:ascii="宋体" w:hAnsi="宋体" w:eastAsia="宋体" w:cs="宋体"/>
          <w:spacing w:val="0"/>
          <w:sz w:val="24"/>
          <w:szCs w:val="24"/>
        </w:rPr>
      </w:pPr>
      <w:r>
        <w:rPr>
          <w:rFonts w:hint="eastAsia"/>
          <w:sz w:val="21"/>
        </w:rPr>
        <w:t>3.1</w:t>
      </w:r>
      <w:r>
        <w:rPr>
          <w:rFonts w:hint="eastAsia"/>
          <w:sz w:val="21"/>
          <w:lang w:val="en-US" w:eastAsia="zh-CN"/>
        </w:rPr>
        <w:t xml:space="preserve"> </w:t>
      </w:r>
      <w:r>
        <w:rPr>
          <w:rFonts w:hint="eastAsia"/>
          <w:sz w:val="21"/>
        </w:rPr>
        <w:t>依据标准</w:t>
      </w:r>
    </w:p>
    <w:p w14:paraId="12CB4D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GB∕T 10002.1-2023 给水用硬聚氯乙烯（PVC-U）管材</w:t>
      </w:r>
    </w:p>
    <w:p w14:paraId="60577D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sz w:val="21"/>
        </w:rPr>
      </w:pPr>
      <w:r>
        <w:rPr>
          <w:rFonts w:hint="eastAsia" w:ascii="宋体" w:hAnsi="宋体" w:eastAsia="宋体" w:cs="宋体"/>
          <w:spacing w:val="0"/>
          <w:sz w:val="24"/>
          <w:szCs w:val="24"/>
        </w:rPr>
        <w:t>现行有效的企业标准、团体标准、地方标准及产品明示质量要求</w:t>
      </w:r>
    </w:p>
    <w:p w14:paraId="29B6E1A3">
      <w:pPr>
        <w:pStyle w:val="9"/>
        <w:rPr>
          <w:rFonts w:hint="eastAsia"/>
          <w:sz w:val="21"/>
        </w:rPr>
      </w:pPr>
      <w:r>
        <w:rPr>
          <w:rFonts w:hint="eastAsia"/>
          <w:sz w:val="21"/>
        </w:rPr>
        <w:t>3.2</w:t>
      </w:r>
      <w:r>
        <w:rPr>
          <w:rFonts w:hint="eastAsia"/>
          <w:sz w:val="21"/>
          <w:lang w:val="en-US" w:eastAsia="zh-CN"/>
        </w:rPr>
        <w:t xml:space="preserve"> </w:t>
      </w:r>
      <w:r>
        <w:rPr>
          <w:rFonts w:hint="eastAsia"/>
          <w:sz w:val="21"/>
        </w:rPr>
        <w:t>判定原则</w:t>
      </w:r>
    </w:p>
    <w:p w14:paraId="7921D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经检验，检验项目全部合格，判定为被抽查产品所检项目未发现不合格；检验项目中任一项或一项以上不合格，判定为被抽查产品不合格。</w:t>
      </w:r>
    </w:p>
    <w:p w14:paraId="0E60E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若被检产品明示的质量要求高于本细则中检验项目依据的标准要求时，应按被检产品明示的质量要求判定。</w:t>
      </w:r>
    </w:p>
    <w:p w14:paraId="28647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若被检产品明示的质量要求低于本细则中检验项目依据的强制性标准要求时，应按照强制性标 准要求判定。</w:t>
      </w:r>
    </w:p>
    <w:p w14:paraId="0C890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若被检产品明示的质量要求低于或包含细则中检验项目依据的推荐性标准要求时，应以被检产品明示的质量要求判定。</w:t>
      </w:r>
    </w:p>
    <w:p w14:paraId="55C93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若被检产品明示的质量要求缺少本细则中检验项目依据的强制性标准要求时，应按照强制性标准要求判定。</w:t>
      </w:r>
    </w:p>
    <w:p w14:paraId="02E8F5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若被检产品明示的质量要求缺少本细则中检验项目依据的推荐性标准要求时，该项目不参与判定。</w:t>
      </w:r>
    </w:p>
    <w:sectPr>
      <w:footerReference r:id="rId5" w:type="default"/>
      <w:pgSz w:w="11906" w:h="16839"/>
      <w:pgMar w:top="1431" w:right="1360" w:bottom="1379" w:left="1592" w:header="0" w:footer="12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715D4C-9F73-4F81-AEFA-8DDC27106E4E}"/>
  </w:font>
  <w:font w:name="黑体">
    <w:panose1 w:val="02010609060101010101"/>
    <w:charset w:val="86"/>
    <w:family w:val="auto"/>
    <w:pitch w:val="default"/>
    <w:sig w:usb0="800002BF" w:usb1="38CF7CFA" w:usb2="00000016" w:usb3="00000000" w:csb0="00040001" w:csb1="00000000"/>
    <w:embedRegular r:id="rId2" w:fontKey="{3E9BCE02-AF0E-415F-8405-B3B8589B87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8B3E6CB-EDF1-4987-88C6-DF9AD7DCB701}"/>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4" w:fontKey="{48154CDB-6EE3-47B7-93FE-93030B444292}"/>
  </w:font>
  <w:font w:name="方正仿宋简体">
    <w:panose1 w:val="02000000000000000000"/>
    <w:charset w:val="86"/>
    <w:family w:val="auto"/>
    <w:pitch w:val="default"/>
    <w:sig w:usb0="A00002BF" w:usb1="184F6CFA" w:usb2="00000012" w:usb3="00000000" w:csb0="00040001" w:csb1="00000000"/>
    <w:embedRegular r:id="rId5" w:fontKey="{917BC889-196D-4C4A-9EA2-A90A1CF7AC9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6" w:fontKey="{9526D6FC-B64D-470D-87AA-C9EB274D0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34E7">
    <w:pPr>
      <w:spacing w:line="210" w:lineRule="auto"/>
      <w:ind w:left="4430"/>
      <w:rPr>
        <w:rFonts w:ascii="Arial" w:hAnsi="Arial" w:eastAsia="Arial" w:cs="Arial"/>
        <w:sz w:val="17"/>
        <w:szCs w:val="17"/>
      </w:rPr>
    </w:pPr>
    <w:r>
      <w:rPr>
        <w:rFonts w:ascii="Arial" w:hAnsi="Arial" w:eastAsia="Arial" w:cs="Arial"/>
        <w:spacing w:val="6"/>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531C0"/>
    <w:multiLevelType w:val="multilevel"/>
    <w:tmpl w:val="4B1531C0"/>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宋体" w:hAnsi="宋体" w:eastAsia="宋体" w:cs="Times New Roman"/>
        <w:b/>
        <w:bCs/>
        <w:i w:val="0"/>
        <w:iCs w:val="0"/>
      </w:rPr>
    </w:lvl>
    <w:lvl w:ilvl="2" w:tentative="0">
      <w:start w:val="1"/>
      <w:numFmt w:val="decimal"/>
      <w:pStyle w:val="3"/>
      <w:lvlText w:val="%1.%2.%3"/>
      <w:lvlJc w:val="left"/>
      <w:pPr>
        <w:ind w:left="720" w:hanging="720"/>
      </w:pPr>
      <w:rPr>
        <w:rFonts w:hint="default" w:ascii="宋体" w:hAnsi="宋体" w:eastAsia="宋体" w:cs="Times New Roman"/>
        <w:b/>
        <w:bCs/>
        <w:i w:val="0"/>
        <w:i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ZiYjZlMzgyMGFjM2E0ODk5MGEyYzY5MTVhZGNiNzcifQ=="/>
  </w:docVars>
  <w:rsids>
    <w:rsidRoot w:val="00000000"/>
    <w:rsid w:val="00D5688F"/>
    <w:rsid w:val="012670EA"/>
    <w:rsid w:val="01464CF5"/>
    <w:rsid w:val="03B46C2F"/>
    <w:rsid w:val="05693813"/>
    <w:rsid w:val="05710988"/>
    <w:rsid w:val="05AF5900"/>
    <w:rsid w:val="074D53D1"/>
    <w:rsid w:val="07677C87"/>
    <w:rsid w:val="08460C1D"/>
    <w:rsid w:val="08716E9D"/>
    <w:rsid w:val="08803584"/>
    <w:rsid w:val="095E38C5"/>
    <w:rsid w:val="0A7B0CF9"/>
    <w:rsid w:val="0BA467BC"/>
    <w:rsid w:val="0DBE0DD6"/>
    <w:rsid w:val="0F955E06"/>
    <w:rsid w:val="0F9741F0"/>
    <w:rsid w:val="14237BE5"/>
    <w:rsid w:val="164826DE"/>
    <w:rsid w:val="16A363A2"/>
    <w:rsid w:val="18212DBA"/>
    <w:rsid w:val="1A1F0124"/>
    <w:rsid w:val="1D1E3640"/>
    <w:rsid w:val="20181262"/>
    <w:rsid w:val="21D97B35"/>
    <w:rsid w:val="225443E0"/>
    <w:rsid w:val="2536704D"/>
    <w:rsid w:val="268C4CA1"/>
    <w:rsid w:val="288D3427"/>
    <w:rsid w:val="2AA36F32"/>
    <w:rsid w:val="2B1A4591"/>
    <w:rsid w:val="2D6548BB"/>
    <w:rsid w:val="2E2B2FA0"/>
    <w:rsid w:val="300F6E18"/>
    <w:rsid w:val="30F32296"/>
    <w:rsid w:val="31253047"/>
    <w:rsid w:val="31C37EBA"/>
    <w:rsid w:val="32304DE9"/>
    <w:rsid w:val="32314D46"/>
    <w:rsid w:val="32431727"/>
    <w:rsid w:val="33525999"/>
    <w:rsid w:val="36A96926"/>
    <w:rsid w:val="37E25823"/>
    <w:rsid w:val="390A743F"/>
    <w:rsid w:val="394A0EC1"/>
    <w:rsid w:val="39BC3B6C"/>
    <w:rsid w:val="3A5A0BA7"/>
    <w:rsid w:val="3A655FB2"/>
    <w:rsid w:val="3B4F3130"/>
    <w:rsid w:val="3F8C5D8F"/>
    <w:rsid w:val="42CF2B62"/>
    <w:rsid w:val="45B96D52"/>
    <w:rsid w:val="4628275B"/>
    <w:rsid w:val="463E4C6C"/>
    <w:rsid w:val="47501D98"/>
    <w:rsid w:val="4DF07278"/>
    <w:rsid w:val="4FD61F35"/>
    <w:rsid w:val="53A744B9"/>
    <w:rsid w:val="55DD6EED"/>
    <w:rsid w:val="580A7D41"/>
    <w:rsid w:val="5818245E"/>
    <w:rsid w:val="599C0E6D"/>
    <w:rsid w:val="5A3A207A"/>
    <w:rsid w:val="5C390BF5"/>
    <w:rsid w:val="5E145476"/>
    <w:rsid w:val="5E827D40"/>
    <w:rsid w:val="5FA26E9B"/>
    <w:rsid w:val="630930CF"/>
    <w:rsid w:val="64177A6E"/>
    <w:rsid w:val="66855163"/>
    <w:rsid w:val="66EA1469"/>
    <w:rsid w:val="696E0130"/>
    <w:rsid w:val="6C4E249B"/>
    <w:rsid w:val="6CCB7647"/>
    <w:rsid w:val="6FC81944"/>
    <w:rsid w:val="739A7D73"/>
    <w:rsid w:val="73F873B3"/>
    <w:rsid w:val="7782605E"/>
    <w:rsid w:val="77B70EF4"/>
    <w:rsid w:val="77F17AB5"/>
    <w:rsid w:val="78927644"/>
    <w:rsid w:val="79823784"/>
    <w:rsid w:val="7A2D7B93"/>
    <w:rsid w:val="7AAA4D40"/>
    <w:rsid w:val="7ABE42A7"/>
    <w:rsid w:val="7BF32717"/>
    <w:rsid w:val="7CE01684"/>
    <w:rsid w:val="7EE65574"/>
    <w:rsid w:val="7EF944E8"/>
    <w:rsid w:val="7FA3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nhideWhenUsed/>
    <w:qFormat/>
    <w:uiPriority w:val="99"/>
    <w:pPr>
      <w:keepNext/>
      <w:keepLines/>
      <w:numPr>
        <w:ilvl w:val="2"/>
        <w:numId w:val="1"/>
      </w:numPr>
      <w:spacing w:before="120" w:after="120" w:line="415" w:lineRule="auto"/>
      <w:outlineLvl w:val="2"/>
    </w:pPr>
    <w:rPr>
      <w:rFonts w:ascii="宋体" w:hAnsi="宋体" w:cs="宋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styleId="8">
    <w:name w:val="List Paragraph"/>
    <w:basedOn w:val="1"/>
    <w:autoRedefine/>
    <w:qFormat/>
    <w:uiPriority w:val="0"/>
    <w:pPr>
      <w:ind w:firstLine="420" w:firstLineChars="200"/>
    </w:pPr>
    <w:rPr>
      <w:sz w:val="21"/>
    </w:rPr>
  </w:style>
  <w:style w:type="paragraph" w:customStyle="1" w:styleId="9">
    <w:name w:val="三级标题"/>
    <w:basedOn w:val="1"/>
    <w:autoRedefine/>
    <w:qFormat/>
    <w:uiPriority w:val="0"/>
    <w:pPr>
      <w:snapToGrid w:val="0"/>
      <w:spacing w:line="440" w:lineRule="exact"/>
    </w:pPr>
    <w:rPr>
      <w:rFonts w:ascii="楷体_GB2312" w:hAnsi="楷体_GB2312" w:eastAsia="楷体_GB2312" w:cs="楷体_GB2312"/>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707</Words>
  <Characters>830</Characters>
  <TotalTime>0</TotalTime>
  <ScaleCrop>false</ScaleCrop>
  <LinksUpToDate>false</LinksUpToDate>
  <CharactersWithSpaces>845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2022-07-18T15:33:00Z</dcterms:created>
  <dc:creator>Legend User</dc:creator>
  <cp:lastModifiedBy>王璇</cp:lastModifiedBy>
  <cp:lastPrinted>2023-01-05T09:35:00Z</cp:lastPrinted>
  <dcterms:modified xsi:type="dcterms:W3CDTF">2025-06-18T10:00:48Z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2023-01-05T16:27:57Z</vt:filetime>
  </property>
  <property fmtid="{D5CDD505-2E9C-101B-9397-08002B2CF9AE}" pid="4" name="KSOProductBuildVer">
    <vt:lpwstr>2052-12.1.0.21541</vt:lpwstr>
  </property>
  <property fmtid="{D5CDD505-2E9C-101B-9397-08002B2CF9AE}" pid="5" name="ICV">
    <vt:lpwstr>271E3C2ED3E544BDB8ACF0718D2F6EF5_13</vt:lpwstr>
  </property>
  <property fmtid="{D5CDD505-2E9C-101B-9397-08002B2CF9AE}" pid="6" name="KSOTemplateDocerSaveRecord">
    <vt:lpwstr>eyJoZGlkIjoiMGQxZDZhZjI1NmQ3Yjg3NDQ2MTQzOWI4ZTkyYmYzMGMiLCJ1c2VySWQiOiI1NzYzNzQ5NjIifQ==</vt:lpwstr>
  </property>
</Properties>
</file>