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第一部分概况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一、本部门（单位）职责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第二部分202年度单位预算报表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一、大同市退役军人事务局2021年收入支出决算总表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17"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二、大同市退役军人事务局2021年收入决算总表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17"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三、大同市退役军人事务局2021年支出决算总表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17"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四、大同市退役军人事务局2021年财政拨款收入支出决算总表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五、大同市退役军人事务局2021年一般公共预算财政拨款支出决算表（一）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六、大同市退役军人事务局2021年一般公共预算财政拨款支出决算表（二）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七、大同市退役军人事务局2021年一般公共预算财政拨款“三公”经费支出决算表（一）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八、大同市退役军人事务局2021年政府性基金预算财政拨款收入支出决算表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九、大同市退役军人事务局2021年国有资本经营预算财政拨款支出决算表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　大同市退役军人事务局2021年部门决算公开相关信息统计表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第三部分2021年度部门（单位）预算情况说明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63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七、一般公共预算财政拨款“三公”经费支出决算情况说明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八、其他重要事项经费支出情况说明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w:t>
      </w:r>
      <w:r>
        <w:rPr>
          <w:rFonts w:hint="eastAsia" w:ascii="宋体" w:hAnsi="宋体" w:eastAsia="宋体" w:cs="宋体"/>
          <w:i w:val="0"/>
          <w:iCs w:val="0"/>
          <w:caps w:val="0"/>
          <w:color w:val="000000"/>
          <w:spacing w:val="0"/>
          <w:sz w:val="24"/>
          <w:szCs w:val="24"/>
          <w:bdr w:val="none" w:color="auto" w:sz="0" w:space="0"/>
          <w:shd w:val="clear" w:fill="FFFFFF"/>
        </w:rPr>
        <w:t>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w:t>
      </w:r>
      <w:r>
        <w:rPr>
          <w:rFonts w:hint="eastAsia" w:ascii="宋体" w:hAnsi="宋体" w:eastAsia="宋体" w:cs="宋体"/>
          <w:i w:val="0"/>
          <w:iCs w:val="0"/>
          <w:caps w:val="0"/>
          <w:color w:val="000000"/>
          <w:spacing w:val="0"/>
          <w:sz w:val="24"/>
          <w:szCs w:val="24"/>
          <w:bdr w:val="none" w:color="auto" w:sz="0" w:space="0"/>
          <w:shd w:val="clear" w:fill="FFFFFF"/>
        </w:rPr>
        <w:t>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w:t>
      </w:r>
      <w:r>
        <w:rPr>
          <w:rFonts w:hint="eastAsia" w:ascii="宋体" w:hAnsi="宋体" w:eastAsia="宋体" w:cs="宋体"/>
          <w:i w:val="0"/>
          <w:iCs w:val="0"/>
          <w:caps w:val="0"/>
          <w:color w:val="000000"/>
          <w:spacing w:val="0"/>
          <w:sz w:val="24"/>
          <w:szCs w:val="24"/>
          <w:bdr w:val="none" w:color="auto" w:sz="0" w:space="0"/>
          <w:shd w:val="clear" w:fill="FFFFFF"/>
        </w:rPr>
        <w:t>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第五部分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第一部分概况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一、本部门（单位）职责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大同市退役军人事务局，正处级建制，为市人民政府组成部门。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大同市退役军人事务局贯彻落实党中央、省委、市委关于退役军人工作的方针政策和决策部署，在履行职责过程中坚持和加强党对退役军人工作的集中统一领导。主要职责是：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1．组织实施退役军人思想政治、管理保障和安置优抚等工作的政策法规，拟订我市相关政策法规并组织实施。褒扬彰显退役军人为党、国家和人民牺牲奉献的精神风范和价值导向。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2．负责军队转业干部、复员干部、离休退休干部、退役士兵和无军籍退休退职职工的接收安置工作和自主择业、就业退役军人服务管理工作。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3．组织指导退役军人教育培训工作，协调扶持退役军人和随军随调家属就业创业。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4．组织实施国家和省、市关于退役军人特殊保障的相关政策，会同有关部门制定我市退役军人特殊保障的政策并组织实施。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5．组织协调落实移交地方的离休退休军人、符合条件的其他退役军人和无军籍退休退职职工的住房保障工作，以及退役军人医疗保障、社会保险等待遇保障工作。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6．组织开展伤病残退役军人服务管理和抚恤工作，组织落实有关退役军人医疗、疗养、养老等机构的规划政策。承担不适宜继续服役的伤病残军人相关工作，组织开展军供服务保障工作。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7．组织开展全市拥军优属工作。负责现役军人、退役军人、军队文职人员和军属优待、抚恤等工作，指导实施国民党抗战老兵等有关人员优待政策。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负责烈士及退役军人荣誉奖励、军人公墓管理维护纪念活动等工作，依法承担英雄烈士保护相关工作，申报拟列入全国、全省重点保护单位的烈士纪念建筑物名录，审核拟列入全市重点保护单位的烈士纪念建筑物名录，总结表彰和宣扬退役军人、退役军人工作单位和个人先进典型事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9．指导并监督检查退役军人相关法律法规和政策措施的落实，组织开展退役军人权益维护和有关人员的帮扶援助工作。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10．完成市委、市人民政府交办的其他任务，配合部队完成退役军人其他相关工作。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职能转变。市退役军人事务局应加强退役军人思想政治工作和服务保障体系建设，建立健全集中统一、职责清晰的退役军人管理保障体制；提高政治站位，协调各方力量更好地为军人军属服务，维护军人军属和退役军人合法权益，从大同实际出发制定切实可行的解困稳定政策；褒扬彰显退役军人为党、国家和人民牺牲奉献的精神风范和价值导向，更好地为增强部队战斗力和凝聚力做好组织保障，让军人成为全社会尊崇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大同市退役军人事务局设下列内设机构：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机关党组办公室（人事科）。负责机关党组与市委的党务联系，做好党组会议和党组理论学习中心组学习，落实会议议定事项及“三重一大”决策事项，承办机关党组交办的其他工作事项，负责机关和直属单位的党群工作。负责机关和直属单位干部人事、机构编制、劳动工资、教育培训等工作。负责离退休人员管理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办公室。负责机关日常运转，承担信息、安全、统计、会务、保密、政务公开等工作。拟订全市退役军人事业发展规划、年度计划和退役军人管理保障基础设施建设标准，指导和监督退役军人事业资金管理，承担机关财务、资产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思想政治和权益维护科。承担退役军人思想政治、舆论宣传、总结表彰、荣誉奖励和信访工作，拟订退役军人解困和稳定政策，配合做好指导退役军人党建工作，监督检查退役军人相关法律法规和政策措施的落实情况，承担退役军人权益维护和有关人员的帮扶援助工作。</w:t>
      </w:r>
      <w:r>
        <w:rPr>
          <w:rFonts w:hint="eastAsia" w:ascii="宋体" w:hAnsi="宋体" w:eastAsia="宋体" w:cs="宋体"/>
          <w:i w:val="0"/>
          <w:iCs w:val="0"/>
          <w:caps w:val="0"/>
          <w:color w:val="000000"/>
          <w:spacing w:val="0"/>
          <w:sz w:val="24"/>
          <w:szCs w:val="24"/>
          <w:bdr w:val="none" w:color="auto" w:sz="0" w:space="0"/>
          <w:shd w:val="clear" w:fill="FFFFFF"/>
        </w:rPr>
        <w:t>组织起草相关地方性法规、规章草案承担重大政策研究工作，承担规范性文件的合法性审查和行政复议、行政应诉等工作。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转业干部安置科（市人民政府军队转业干部安置工作小组办公室）。拟订计划分配的军队转业干部安置政策和年度安置、培训计划、权益维护并组织实施，承担中央、省垂管驻同和市直等相关单位计划安置工作，确保安置工作公平公正。承担市人民政府军队转业干部安置工作小组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退役士兵安置科（市退役士兵安置工作领导小组办公室）。拟订符合条件的退役士兵安置政策和年度安置计划并组织实施，承担中央、省垂管驻同和市直等相关单位计划安置和计划外选调工作，督促退役士兵安置政策的落实，做好退役士兵权益维护工作。承担市退役士兵安置工作领导小组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就业创业科。做好在职和退休企业军转干部解困工作。拟订自主择业军队转业干部、复员干部、自主就业退役士兵就业创业年度计划并组织实施，组织开展就业创业促进和教育培训等工作，指导开展有关中介服务工作，组织协调落实退役军人社会保险等待遇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优抚救助科。承担现役军人、退役军人、军队文职人员和军属优待抚恤、救助帮扶和退役军人事务系统信息化建设等工作。结合国家、省相关政策拟订全市优待抚恤的政策规章并指导实施。做好各类优抚对象权益维护，拟订优待、抚恤、补助标准。承担退役军人伤残评定及不适宜继续服役的伤病残军人相关工作，拟订全市有关退役军人医疗、精神康复、疗养、养老等优抚保障机构的规划政策并指导实施，指导实施国民党抗战老兵等有关人员优待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军休服务和褒扬纪念科。负责移交地方的军队离休退休干部、无军籍退休退职职工的移交安置和服务管理工作，组织协调落实移交地方的离休退休军人、符合条件的其他退役军人和无军籍退休退职职工的住房保障工作，管理军休保障单位。承担烈士褒扬、纪念设施管理保护工作，依法承担英雄烈士保护相关工作。组织实施军人公墓建设规划、管理维护等政策。承担全市的烈士评定工作，指导开展英雄烈士纪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双拥联络科（市拥军优属拥政爱民工作领导小组办公室）。拟订全市随军随调家属就业安置政策和年度安置计划，协调指导随军随调家属就业创业，承担市直单位的随军随调家属就业安置工作。拟订全市军供保障机构的规划政策并指导实施，承担市拥军优属拥政爱民工作领导小组的日常工作。承担协调指导全市拥军优属工作，指导做好地方支持军队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第二部分2021年度部门（单位）预算报表（附后）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一、大同市退役军人事务局2021年收入支出决算总表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二、大同市退役军人事务局2021年收入决算总表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三、大同市退役军人事务局2021年支出决算总表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四、大同市退役军人事务局2021年财政拨款收入支出决算总表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五、大同市退役军人事务局2021年一般公共预算财政拨款支出决算表（一）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六、大同市退役军人事务局2021年一般公共预算财政拨款支出决算表（二）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七、大同市退役军人事务局2021年一般公共预算财政拨款“三公”经费支出决算表（一）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八、大同市退役军人事务局2021年政府性基金预算财政拨款收入支出决算表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九、大同市退役军人事务局2021年国有资本经营预算财政拨款支出决算表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　大同市退役军人事务局2021年部门决算公开相关信息统计表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第三部分2021年度部门预算情况说明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收入总计3583．72万元，支出总计3583．72万元，与上年相比，收入总计增加978．18万元，上升37．54％，支出总计增加978．18万元，上升37．54％，增加的原因是：2021年新增五名机关公务员，因机构改革后，职能增加，新增加预算项目，以及原有人员补助类预算项目，因每年例行调标，导致追加预算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2021年度收入合计3569．93万元，其中：财政拨款收入3564．42万元，占比99．85％；其他收入5．51万元，占比0．15％。我机关无上级收入、无事业收入、无经营收入、无附属单位补助收入。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2021年对支出合计3571．13万元，其中：基本支出448．13元，占比12．55％。项目支出3123万元，占比87．45％我机关无上缴上级支出、无经营支出、无对附属单位补助支出。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财政拨款收入总计3564．42万元，支出总计3564．42万元，与上年相比，财政拨款收入总计增加989．22万元，上升38．41％。财政拨款支出总计增加989．22万元，上升38．41％，增加的原因是：2021年新增五名机关公务员，因机构改革后，职能增加，新增加预算项目，以及原有人员补助类预算项目，因每年例行调标，导致追加预算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财政拨款支出3394．12万元，占本年支出合计的94．71％。与上年相比，财政拨款支出增加818．92万元，上升31．8％，增加的原因是：2021年新增五名机关公务员，因机构改革后，职能增加，新增加预算项目，以及原有人员补助类预算项目，因每年例行调标，导致追加预算金额。其中人员经费2095．03万元，占比61．73％，日常公用经费1299．09万元，占比38．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　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财政拨款支出3394．12万元，主要用于以下方面：社会保障和就业支出3295．32万元，占比97．09％；卫生健康支出14．67万元，占比0．43；保障住房支出31．28万元，占比0．92％；其他支出52．85万元，占比1．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财政拨款支出年初预算3384．12万元，支出决算3394．12万元，完成年初预算的100％。社会保障和就业支出年初预算3295．32万元，支出决算3295．32万元，完成年初预算的100％，用于退役军人办公业务各类支出。较上年决算增加795．78万元，增长31．84％，主要原因为：2021年新增五名机关公务员，因机构改革后，职能增加，新增加预算项目，以及原有人员补助类预算项目，因每年例行调标，导致追加预算金额。卫生健康支出年初预算14．67万元，支出决算14．67万元，完成年初预算的100％，用于机关公务员缴纳医疗保险支出。较上年决算增加14．67万元，增长100％，主要原因为：调整2020年功能科目。保障住房支出年初预算31．28万元，支出决算31．28万元，完成年初预算的100％，用于机关公务员住房公积金支出。较上年决算增加7．5万元，增长31．54％，主要原因为：2021年新增五名机关公务员；其他支出年初预算52．85万元，支出决算52．85万元，完成年初预算的100％，用于全市第二批AK系统电脑替代工程款。较上年决算增加0．97万元，增长1．87％，主要原因为：替换电脑数量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财政拨款基本支出441．42万元，其中人员经费390．9万元，主要包括：工资福利支出343．98万元，对个人和家庭的补助46．92万元；公用经费50．52万元，办公费其中7．57万元、邮电费0．02万元、差旅费6．49万元、租赁费0．56万元、工会经费2．1万元、福利费3．87万元、公车用车运行维护费3．49万元、其他交通费用26．42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（一）“三公”经费财政拨款支出决算总体情况说明情况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2021年度“三公”经费财政拨款支出预算3．49万元，支出决算3．49万元，完成预算100％。比上年减少0．01万元，下降0．29％，主要原因是：减少公车开支。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公务用车费用3．49万元，此项目全部用于公务用车运行维护费，无公务用车购置费；因公出国（境）费用无；公务接待费用无。</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公务用车保有量说明</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420" w:leftChars="0" w:right="0" w:rightChars="0"/>
        <w:jc w:val="both"/>
        <w:rPr>
          <w:rFonts w:hint="default"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机关</w:t>
      </w:r>
      <w:r>
        <w:rPr>
          <w:rFonts w:hint="eastAsia" w:ascii="宋体" w:hAnsi="宋体" w:eastAsia="宋体" w:cs="宋体"/>
          <w:i w:val="0"/>
          <w:iCs w:val="0"/>
          <w:caps w:val="0"/>
          <w:color w:val="333333"/>
          <w:spacing w:val="0"/>
          <w:sz w:val="24"/>
          <w:szCs w:val="24"/>
          <w:shd w:val="clear" w:fill="FFFFFF"/>
          <w:lang w:val="en-US" w:eastAsia="zh-CN"/>
        </w:rPr>
        <w:t>公务用车编制数1辆，实际公务用车保有数1辆。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八、其他重要事项经费支出情况说明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2021年度机关运行经费支出50．52万元，比上年增加9．51万元，主要原因为：2021年新增五名机关公务员，因此公用经费，人员车补、工会经费、福利费相应增加。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2021年度政府采购支出总额59．86万元，其中政府采购货物支出11．2万元、政府采购服务支出48．66元。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截止2021年12月31日，本机关共有车辆1辆，其中机要通信用车1辆。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预算绩效管理工作开展情况。根据预算绩效管理要求，我部门组织对2021年度市级财政预算安排的专项资金类3个项目双拥活动经费、市属困难企业军转干生活困难补助、退役军人办公业务费支出全面开展绩效自评，涉及预算资金931．77万元，占一般公共预算项目支出总额27．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双拥活动经费项目绩效自评综述：根据年初设定的绩效目标，项目自评得分为99分。全年预算数为205万元，执行数为205万元，完成预算的100％。项目绩效目标完成情况：一是加强双拥宣传教育，加强双拥工作宣传力度，在全社会营造地方拥军优属、崇尚军人，部队拥政爱民、献身国防的良好氛围，巩固我市军政军民团结的大好局面，为实现全国双拥模范城“九连冠”奠定坚实基础。二是弘扬我市拥军优属、拥政爱民的光荣传统，加强军地沟通联系，积极支持驻同部队战备训练，推动军民融合深入发展，巩固和发展“同呼吸、共命运、心连心”的军政军民鱼水关系。发现的主要问题及原因：在项目实施过程中，不够细化。原因在于没有进行前期的规划。下一步改进措施：在项目执行前期，本单位相关人员需要做一个具体的支出计划表，来保障项目资金的有效执行。</w:t>
      </w:r>
    </w:p>
    <w:tbl>
      <w:tblPr>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8"/>
        <w:gridCol w:w="980"/>
        <w:gridCol w:w="63"/>
        <w:gridCol w:w="1181"/>
        <w:gridCol w:w="706"/>
        <w:gridCol w:w="1135"/>
        <w:gridCol w:w="252"/>
        <w:gridCol w:w="852"/>
        <w:gridCol w:w="851"/>
        <w:gridCol w:w="282"/>
        <w:gridCol w:w="277"/>
        <w:gridCol w:w="395"/>
        <w:gridCol w:w="139"/>
        <w:gridCol w:w="664"/>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9080" w:type="dxa"/>
            <w:gridSpan w:val="15"/>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i w:val="0"/>
                <w:iCs w:val="0"/>
                <w:sz w:val="24"/>
                <w:szCs w:val="24"/>
              </w:rPr>
            </w:pPr>
            <w:r>
              <w:rPr>
                <w:rFonts w:ascii="华文中宋" w:hAnsi="华文中宋" w:eastAsia="华文中宋" w:cs="华文中宋"/>
                <w:b/>
                <w:bCs/>
                <w:i w:val="0"/>
                <w:iCs w:val="0"/>
                <w:sz w:val="39"/>
                <w:szCs w:val="39"/>
                <w:bdr w:val="none" w:color="auto" w:sz="0" w:space="0"/>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1" w:hRule="atLeast"/>
          <w:jc w:val="center"/>
        </w:trPr>
        <w:tc>
          <w:tcPr>
            <w:tcW w:w="9080" w:type="dxa"/>
            <w:gridSpan w:val="15"/>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iCs w:val="0"/>
                <w:sz w:val="24"/>
                <w:szCs w:val="24"/>
              </w:rPr>
            </w:pPr>
            <w:r>
              <w:rPr>
                <w:rFonts w:hint="eastAsia" w:ascii="宋体" w:hAnsi="宋体" w:eastAsia="宋体" w:cs="宋体"/>
                <w:i w:val="0"/>
                <w:iCs w:val="0"/>
                <w:sz w:val="25"/>
                <w:szCs w:val="25"/>
                <w:bdr w:val="none" w:color="auto" w:sz="0" w:space="0"/>
              </w:rPr>
              <w:t>填列单位（公章）：</w:t>
            </w:r>
            <w:r>
              <w:rPr>
                <w:rFonts w:hint="eastAsia" w:ascii="宋体" w:hAnsi="宋体" w:eastAsia="宋体" w:cs="宋体"/>
                <w:i w:val="0"/>
                <w:iCs w:val="0"/>
                <w:sz w:val="28"/>
                <w:szCs w:val="28"/>
                <w:bdr w:val="none" w:color="auto" w:sz="0" w:space="0"/>
              </w:rPr>
              <w:t>                </w:t>
            </w:r>
            <w:r>
              <w:rPr>
                <w:rFonts w:hint="eastAsia" w:ascii="宋体" w:hAnsi="宋体" w:eastAsia="宋体" w:cs="宋体"/>
                <w:i w:val="0"/>
                <w:iCs w:val="0"/>
                <w:sz w:val="25"/>
                <w:szCs w:val="25"/>
                <w:bdr w:val="none" w:color="auto" w:sz="0" w:space="0"/>
              </w:rPr>
              <w:t>（ </w:t>
            </w:r>
            <w:r>
              <w:rPr>
                <w:rFonts w:hint="eastAsia" w:ascii="宋体" w:hAnsi="宋体" w:eastAsia="宋体" w:cs="宋体"/>
                <w:i w:val="0"/>
                <w:iCs w:val="0"/>
                <w:sz w:val="28"/>
                <w:szCs w:val="28"/>
                <w:bdr w:val="none" w:color="auto" w:sz="0" w:space="0"/>
              </w:rPr>
              <w:t>2021</w:t>
            </w:r>
            <w:r>
              <w:rPr>
                <w:rFonts w:hint="eastAsia" w:ascii="宋体" w:hAnsi="宋体" w:eastAsia="宋体" w:cs="宋体"/>
                <w:i w:val="0"/>
                <w:iCs w:val="0"/>
                <w:sz w:val="31"/>
                <w:szCs w:val="31"/>
                <w:bdr w:val="none" w:color="auto" w:sz="0" w:space="0"/>
              </w:rPr>
              <w:t>   </w:t>
            </w:r>
            <w:r>
              <w:rPr>
                <w:rFonts w:hint="eastAsia" w:ascii="宋体" w:hAnsi="宋体" w:eastAsia="宋体" w:cs="宋体"/>
                <w:i w:val="0"/>
                <w:iCs w:val="0"/>
                <w:sz w:val="25"/>
                <w:szCs w:val="25"/>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56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项目名称</w:t>
            </w:r>
          </w:p>
        </w:tc>
        <w:tc>
          <w:tcPr>
            <w:tcW w:w="7512" w:type="dxa"/>
            <w:gridSpan w:val="1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双拥活动经费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156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主管部门</w:t>
            </w:r>
          </w:p>
        </w:tc>
        <w:tc>
          <w:tcPr>
            <w:tcW w:w="4110"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大同市退役军人事务</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实施单位</w:t>
            </w:r>
          </w:p>
        </w:tc>
        <w:tc>
          <w:tcPr>
            <w:tcW w:w="227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大同市退役军人事务局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项目资金</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（万元）</w:t>
            </w: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年初预算数</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全年预算数</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全年执行数</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分值</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执行率</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年度资金总额</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205</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其中：当年财政拨款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205</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5"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4"/>
                <w:szCs w:val="24"/>
                <w:bdr w:val="none" w:color="auto" w:sz="0" w:space="0"/>
              </w:rPr>
              <w:t>      </w:t>
            </w:r>
            <w:r>
              <w:rPr>
                <w:rFonts w:hint="eastAsia" w:ascii="宋体" w:hAnsi="宋体" w:eastAsia="宋体" w:cs="宋体"/>
                <w:i w:val="0"/>
                <w:iCs w:val="0"/>
                <w:sz w:val="21"/>
                <w:szCs w:val="21"/>
                <w:bdr w:val="none" w:color="auto" w:sz="0" w:space="0"/>
              </w:rPr>
              <w:t>上年结转资金</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4"/>
                <w:szCs w:val="24"/>
                <w:bdr w:val="none" w:color="auto" w:sz="0" w:space="0"/>
              </w:rPr>
              <w:t>  </w:t>
            </w:r>
            <w:r>
              <w:rPr>
                <w:rFonts w:hint="eastAsia" w:ascii="宋体" w:hAnsi="宋体" w:eastAsia="宋体" w:cs="宋体"/>
                <w:i w:val="0"/>
                <w:iCs w:val="0"/>
                <w:sz w:val="21"/>
                <w:szCs w:val="21"/>
                <w:bdr w:val="none" w:color="auto" w:sz="0" w:space="0"/>
              </w:rPr>
              <w:t>其他资金</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年度总体目标</w:t>
            </w:r>
          </w:p>
        </w:tc>
        <w:tc>
          <w:tcPr>
            <w:tcW w:w="5090"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预期目标</w:t>
            </w:r>
          </w:p>
        </w:tc>
        <w:tc>
          <w:tcPr>
            <w:tcW w:w="3404"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7"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5090"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弘扬我市拥军优属、拥政爱民的光荣传统，加强军地沟通联系，积极支持驻同部队战备训练，推动军民融合深入发展，巩固和发展</w:t>
            </w:r>
            <w:r>
              <w:rPr>
                <w:rFonts w:hint="default" w:ascii="Times New Roman" w:hAnsi="Times New Roman" w:cs="Times New Roman"/>
                <w:i w:val="0"/>
                <w:iCs w:val="0"/>
                <w:sz w:val="21"/>
                <w:szCs w:val="21"/>
                <w:bdr w:val="none" w:color="auto" w:sz="0" w:space="0"/>
              </w:rPr>
              <w:t>“</w:t>
            </w:r>
            <w:r>
              <w:rPr>
                <w:rFonts w:hint="eastAsia" w:ascii="宋体" w:hAnsi="宋体" w:eastAsia="宋体" w:cs="宋体"/>
                <w:i w:val="0"/>
                <w:iCs w:val="0"/>
                <w:color w:val="000000"/>
                <w:sz w:val="21"/>
                <w:szCs w:val="21"/>
                <w:bdr w:val="none" w:color="auto" w:sz="0" w:space="0"/>
              </w:rPr>
              <w:t>同呼吸、共命运、心连心</w:t>
            </w:r>
            <w:r>
              <w:rPr>
                <w:rFonts w:ascii="Tahoma" w:hAnsi="Tahoma" w:eastAsia="Tahoma" w:cs="Tahoma"/>
                <w:i w:val="0"/>
                <w:iCs w:val="0"/>
                <w:color w:val="000000"/>
                <w:sz w:val="21"/>
                <w:szCs w:val="21"/>
                <w:bdr w:val="none" w:color="auto" w:sz="0" w:space="0"/>
              </w:rPr>
              <w:t>”</w:t>
            </w:r>
            <w:r>
              <w:rPr>
                <w:rFonts w:hint="eastAsia" w:ascii="宋体" w:hAnsi="宋体" w:eastAsia="宋体" w:cs="宋体"/>
                <w:i w:val="0"/>
                <w:iCs w:val="0"/>
                <w:color w:val="000000"/>
                <w:sz w:val="21"/>
                <w:szCs w:val="21"/>
                <w:bdr w:val="none" w:color="auto" w:sz="0" w:space="0"/>
              </w:rPr>
              <w:t>的军政军民鱼水关系。用于春节期间、八一期间对驻同部队进行慰问、或按需购买军用慰问品，加大我市拥军优属工作力度，巩固军政军民团结，有效保障驻同部队战备、训练。</w:t>
            </w:r>
          </w:p>
        </w:tc>
        <w:tc>
          <w:tcPr>
            <w:tcW w:w="3404"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每年两次慰问活动，元旦春节期间，随同市领导慰问驻同部队及涉军优抚单位，慰问品及慰问金共支出</w:t>
            </w:r>
            <w:r>
              <w:rPr>
                <w:rFonts w:hint="eastAsia" w:ascii="宋体" w:hAnsi="宋体" w:eastAsia="宋体" w:cs="宋体"/>
                <w:i w:val="0"/>
                <w:iCs w:val="0"/>
                <w:sz w:val="24"/>
                <w:szCs w:val="24"/>
                <w:bdr w:val="none" w:color="auto" w:sz="0" w:space="0"/>
              </w:rPr>
              <w:t>105</w:t>
            </w:r>
            <w:r>
              <w:rPr>
                <w:rFonts w:hint="eastAsia" w:ascii="宋体" w:hAnsi="宋体" w:eastAsia="宋体" w:cs="宋体"/>
                <w:i w:val="0"/>
                <w:iCs w:val="0"/>
                <w:sz w:val="21"/>
                <w:szCs w:val="21"/>
                <w:bdr w:val="none" w:color="auto" w:sz="0" w:space="0"/>
              </w:rPr>
              <w:t>万元，“八一”前夕组织全市慰问驻同部队及涉军优抚单位，共支出</w:t>
            </w:r>
            <w:r>
              <w:rPr>
                <w:rFonts w:hint="eastAsia" w:ascii="宋体" w:hAnsi="宋体" w:eastAsia="宋体" w:cs="宋体"/>
                <w:i w:val="0"/>
                <w:iCs w:val="0"/>
                <w:sz w:val="24"/>
                <w:szCs w:val="24"/>
                <w:bdr w:val="none" w:color="auto" w:sz="0" w:space="0"/>
              </w:rPr>
              <w:t>100</w:t>
            </w:r>
            <w:r>
              <w:rPr>
                <w:rFonts w:hint="eastAsia" w:ascii="宋体" w:hAnsi="宋体" w:eastAsia="宋体" w:cs="宋体"/>
                <w:i w:val="0"/>
                <w:iCs w:val="0"/>
                <w:sz w:val="21"/>
                <w:szCs w:val="21"/>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绩</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效</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指</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标</w:t>
            </w:r>
          </w:p>
        </w:tc>
        <w:tc>
          <w:tcPr>
            <w:tcW w:w="9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一级指标</w:t>
            </w:r>
          </w:p>
        </w:tc>
        <w:tc>
          <w:tcPr>
            <w:tcW w:w="1112"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二级指标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三级指标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指标值</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完成值</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分值</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得分</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产出指标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数量指标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：组织大型慰问活动</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2次</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2次</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：慰问品购买次数</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2次</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2次</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质量指标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：慰问活动开展成功率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：慰问品验收合格率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时效指标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：日常工作及时性</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：慰问活动开展及时性</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成本指标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效益指标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：维护社会稳定</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维护</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维护</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：体现对部队关怀度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充分体现</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充分体现</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可持续影响指标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服务对象满意度指标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慰问部队满意度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≥95%</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98%</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9</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529"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总分</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99</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项目绩效分析</w:t>
            </w:r>
          </w:p>
        </w:tc>
        <w:tc>
          <w:tcPr>
            <w:tcW w:w="1046"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自评结果分析</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项目实施和预算执行情况及分析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加强双拥宣传教育，加强双拥工作宣传力度，在全社会营造地方拥军优属、崇尚军人，部队拥政爱民、献身国防的良好氛围，巩固我市军政军民团结的大好局面，为实现全国双拥模范城“</w:t>
            </w:r>
            <w:r>
              <w:rPr>
                <w:rFonts w:hint="eastAsia" w:ascii="宋体" w:hAnsi="宋体" w:eastAsia="宋体" w:cs="宋体"/>
                <w:i w:val="0"/>
                <w:iCs w:val="0"/>
                <w:color w:val="000000"/>
                <w:sz w:val="24"/>
                <w:szCs w:val="24"/>
                <w:bdr w:val="none" w:color="auto" w:sz="0" w:space="0"/>
              </w:rPr>
              <w:t>九连冠”奠定坚实基础。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8"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产出情况及分析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及时开展工作，保障日常业务顺利完成，经费及时支付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效益情况及分析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弘扬我市拥军优属、拥政爱民的光荣传统，加强军地沟通联系，积极支持驻同部队战备训练，推动军民融合深入发展，巩固和发展</w:t>
            </w:r>
            <w:r>
              <w:rPr>
                <w:rFonts w:hint="default" w:ascii="Times New Roman" w:hAnsi="Times New Roman" w:cs="Times New Roman"/>
                <w:i w:val="0"/>
                <w:iCs w:val="0"/>
                <w:sz w:val="21"/>
                <w:szCs w:val="21"/>
                <w:bdr w:val="none" w:color="auto" w:sz="0" w:space="0"/>
              </w:rPr>
              <w:t>“</w:t>
            </w:r>
            <w:r>
              <w:rPr>
                <w:rFonts w:hint="eastAsia" w:ascii="宋体" w:hAnsi="宋体" w:eastAsia="宋体" w:cs="宋体"/>
                <w:i w:val="0"/>
                <w:iCs w:val="0"/>
                <w:color w:val="000000"/>
                <w:sz w:val="21"/>
                <w:szCs w:val="21"/>
                <w:bdr w:val="none" w:color="auto" w:sz="0" w:space="0"/>
              </w:rPr>
              <w:t>同呼吸、共命运、心连心</w:t>
            </w:r>
            <w:r>
              <w:rPr>
                <w:rFonts w:hint="default" w:ascii="Tahoma" w:hAnsi="Tahoma" w:eastAsia="Tahoma" w:cs="Tahoma"/>
                <w:i w:val="0"/>
                <w:iCs w:val="0"/>
                <w:color w:val="000000"/>
                <w:sz w:val="21"/>
                <w:szCs w:val="21"/>
                <w:bdr w:val="none" w:color="auto" w:sz="0" w:space="0"/>
              </w:rPr>
              <w:t>”</w:t>
            </w:r>
            <w:r>
              <w:rPr>
                <w:rFonts w:hint="eastAsia" w:ascii="宋体" w:hAnsi="宋体" w:eastAsia="宋体" w:cs="宋体"/>
                <w:i w:val="0"/>
                <w:iCs w:val="0"/>
                <w:color w:val="000000"/>
                <w:sz w:val="21"/>
                <w:szCs w:val="21"/>
                <w:bdr w:val="none" w:color="auto" w:sz="0" w:space="0"/>
              </w:rPr>
              <w:t>的军政军民鱼水关系。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满意度情况及分析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根据政策及规定标准申请经费，为双拥工作提供保障。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7"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主要经验做法</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1.开展双拥日常服务管理工作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2.组织双拥慰问走访行动，开展双拥驻同部队慰问活动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3、按照要求，每年组织两次活动，慰问驻同部队，体现党的关怀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项目管理中存在的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主要问题及原因分析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在项目实施过程中，不够细化。原因在于没有进行前期的规划。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下一步改进措施及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管理建议</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在项目执行前期，本单位相关人员需要做一个具体的支出计划表，来保障项目资金的有效执行。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市属困难企业军转干生活困难补助项目绩效自评综述：根据年初设定的绩效目标，项目自评得分为96分。全年预算数为1368．15万元，执行数为701．57万元，完成预算的51．28％。项目绩效目标完成情况：一是为市属困难企业军转干提供救助资金，为其解困，确保企业军转干部队伍稳定。二是及时开展工作，保障日常业务顺利完成，经费及时支付。发现的主要问题及原因：在项目实施过程中，不够细化。原因在于没有进行前期的规划。下一步改进措施：在项目执行前期，本单位相关人员需要做一个具体的支出计划表，来保障项目资金的有效执行。</w:t>
      </w:r>
    </w:p>
    <w:tbl>
      <w:tblPr>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8"/>
        <w:gridCol w:w="980"/>
        <w:gridCol w:w="64"/>
        <w:gridCol w:w="1181"/>
        <w:gridCol w:w="709"/>
        <w:gridCol w:w="1135"/>
        <w:gridCol w:w="255"/>
        <w:gridCol w:w="852"/>
        <w:gridCol w:w="851"/>
        <w:gridCol w:w="282"/>
        <w:gridCol w:w="277"/>
        <w:gridCol w:w="403"/>
        <w:gridCol w:w="135"/>
        <w:gridCol w:w="653"/>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9" w:hRule="atLeast"/>
          <w:jc w:val="center"/>
        </w:trPr>
        <w:tc>
          <w:tcPr>
            <w:tcW w:w="9080" w:type="dxa"/>
            <w:gridSpan w:val="15"/>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i w:val="0"/>
                <w:iCs w:val="0"/>
                <w:sz w:val="24"/>
                <w:szCs w:val="24"/>
              </w:rPr>
            </w:pPr>
            <w:r>
              <w:rPr>
                <w:rFonts w:hint="eastAsia" w:ascii="华文中宋" w:hAnsi="华文中宋" w:eastAsia="华文中宋" w:cs="华文中宋"/>
                <w:b/>
                <w:bCs/>
                <w:i w:val="0"/>
                <w:iCs w:val="0"/>
                <w:sz w:val="39"/>
                <w:szCs w:val="39"/>
                <w:bdr w:val="none" w:color="auto" w:sz="0" w:space="0"/>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080" w:type="dxa"/>
            <w:gridSpan w:val="15"/>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iCs w:val="0"/>
                <w:sz w:val="24"/>
                <w:szCs w:val="24"/>
              </w:rPr>
            </w:pPr>
            <w:r>
              <w:rPr>
                <w:rFonts w:hint="eastAsia" w:ascii="宋体" w:hAnsi="宋体" w:eastAsia="宋体" w:cs="宋体"/>
                <w:i w:val="0"/>
                <w:iCs w:val="0"/>
                <w:sz w:val="25"/>
                <w:szCs w:val="25"/>
                <w:bdr w:val="none" w:color="auto" w:sz="0" w:space="0"/>
              </w:rPr>
              <w:t>填列单位（公章）：</w:t>
            </w:r>
            <w:r>
              <w:rPr>
                <w:rFonts w:hint="eastAsia" w:ascii="宋体" w:hAnsi="宋体" w:eastAsia="宋体" w:cs="宋体"/>
                <w:i w:val="0"/>
                <w:iCs w:val="0"/>
                <w:sz w:val="28"/>
                <w:szCs w:val="28"/>
                <w:bdr w:val="none" w:color="auto" w:sz="0" w:space="0"/>
              </w:rPr>
              <w:t>                </w:t>
            </w:r>
            <w:r>
              <w:rPr>
                <w:rFonts w:hint="eastAsia" w:ascii="宋体" w:hAnsi="宋体" w:eastAsia="宋体" w:cs="宋体"/>
                <w:i w:val="0"/>
                <w:iCs w:val="0"/>
                <w:sz w:val="25"/>
                <w:szCs w:val="25"/>
                <w:bdr w:val="none" w:color="auto" w:sz="0" w:space="0"/>
              </w:rPr>
              <w:t>（ </w:t>
            </w:r>
            <w:r>
              <w:rPr>
                <w:rFonts w:hint="eastAsia" w:ascii="宋体" w:hAnsi="宋体" w:eastAsia="宋体" w:cs="宋体"/>
                <w:i w:val="0"/>
                <w:iCs w:val="0"/>
                <w:sz w:val="28"/>
                <w:szCs w:val="28"/>
                <w:bdr w:val="none" w:color="auto" w:sz="0" w:space="0"/>
              </w:rPr>
              <w:t>2021</w:t>
            </w:r>
            <w:r>
              <w:rPr>
                <w:rFonts w:hint="eastAsia" w:ascii="宋体" w:hAnsi="宋体" w:eastAsia="宋体" w:cs="宋体"/>
                <w:i w:val="0"/>
                <w:iCs w:val="0"/>
                <w:sz w:val="31"/>
                <w:szCs w:val="31"/>
                <w:bdr w:val="none" w:color="auto" w:sz="0" w:space="0"/>
              </w:rPr>
              <w:t>   </w:t>
            </w:r>
            <w:r>
              <w:rPr>
                <w:rFonts w:hint="eastAsia" w:ascii="宋体" w:hAnsi="宋体" w:eastAsia="宋体" w:cs="宋体"/>
                <w:i w:val="0"/>
                <w:iCs w:val="0"/>
                <w:sz w:val="25"/>
                <w:szCs w:val="25"/>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0" w:hRule="atLeast"/>
          <w:jc w:val="center"/>
        </w:trPr>
        <w:tc>
          <w:tcPr>
            <w:tcW w:w="156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项目名称</w:t>
            </w:r>
          </w:p>
        </w:tc>
        <w:tc>
          <w:tcPr>
            <w:tcW w:w="7512" w:type="dxa"/>
            <w:gridSpan w:val="1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市属困难企业军转干生活困难补助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jc w:val="center"/>
        </w:trPr>
        <w:tc>
          <w:tcPr>
            <w:tcW w:w="156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主管部门</w:t>
            </w:r>
          </w:p>
        </w:tc>
        <w:tc>
          <w:tcPr>
            <w:tcW w:w="4110"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大同市退役军人事务局</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实施单位</w:t>
            </w:r>
          </w:p>
        </w:tc>
        <w:tc>
          <w:tcPr>
            <w:tcW w:w="227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大同市退役军人事务局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项目资金</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（万元）</w:t>
            </w: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年初预算数</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全年预算数</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全年执行数</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分值</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执行率</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年度资金总额</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1368.15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1368.15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701.57</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51%</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其中：当年财政拨款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1368.15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1368.15</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701.57</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51%</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4"/>
                <w:szCs w:val="24"/>
                <w:bdr w:val="none" w:color="auto" w:sz="0" w:space="0"/>
              </w:rPr>
              <w:t>      </w:t>
            </w:r>
            <w:r>
              <w:rPr>
                <w:rFonts w:hint="eastAsia" w:ascii="宋体" w:hAnsi="宋体" w:eastAsia="宋体" w:cs="宋体"/>
                <w:i w:val="0"/>
                <w:iCs w:val="0"/>
                <w:sz w:val="21"/>
                <w:szCs w:val="21"/>
                <w:bdr w:val="none" w:color="auto" w:sz="0" w:space="0"/>
              </w:rPr>
              <w:t>上年结转资金</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4"/>
                <w:szCs w:val="24"/>
                <w:bdr w:val="none" w:color="auto" w:sz="0" w:space="0"/>
              </w:rPr>
              <w:t>  </w:t>
            </w:r>
            <w:r>
              <w:rPr>
                <w:rFonts w:hint="eastAsia" w:ascii="宋体" w:hAnsi="宋体" w:eastAsia="宋体" w:cs="宋体"/>
                <w:i w:val="0"/>
                <w:iCs w:val="0"/>
                <w:sz w:val="21"/>
                <w:szCs w:val="21"/>
                <w:bdr w:val="none" w:color="auto" w:sz="0" w:space="0"/>
              </w:rPr>
              <w:t>其他资金</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年度总体目标</w:t>
            </w:r>
          </w:p>
        </w:tc>
        <w:tc>
          <w:tcPr>
            <w:tcW w:w="5090"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预期目标</w:t>
            </w:r>
          </w:p>
        </w:tc>
        <w:tc>
          <w:tcPr>
            <w:tcW w:w="3404"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5090"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为市属困难企业军转干提供救助资金，为其解困，确保企业军转干部队伍稳定，主要用于市国资委负责各企业单位困难军转干部生活补助及取暖费发放。</w:t>
            </w:r>
          </w:p>
        </w:tc>
        <w:tc>
          <w:tcPr>
            <w:tcW w:w="3404"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基本完成预期目标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3"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绩</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效</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指</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标</w:t>
            </w:r>
          </w:p>
        </w:tc>
        <w:tc>
          <w:tcPr>
            <w:tcW w:w="9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一级指标</w:t>
            </w:r>
          </w:p>
        </w:tc>
        <w:tc>
          <w:tcPr>
            <w:tcW w:w="1112"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二级指标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三级指标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指标值</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完成值</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分值</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得分</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产出指标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数量指标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：生活困难补助发放人数</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≥500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≥500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：生活困难补助发放标准</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按工资标准定值发放</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按工资标准定值发放</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质量指标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：发放准确率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：标准执行率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时效指标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：日常工作及时性</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成本指标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效益指标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：体现党的关怀</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可持续影响指标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服务对象满意度指标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：受众群体满意度度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529"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总分</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96</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项目绩效分析</w:t>
            </w:r>
          </w:p>
        </w:tc>
        <w:tc>
          <w:tcPr>
            <w:tcW w:w="1046"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自评结果分析</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项目实施和预算执行情况及分析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为市属困难企业军转干提供救助资金，为其解困，确保企业军转干部队伍稳定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产出情况及分析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及时开展工作，保障日常业务顺利完成，经费及时支付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3"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效益情况及分析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为市属困难企业军转干提供救助资金，为其解困，确保企业军转干部队伍稳定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满意度情况及分析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根据政策及规定标准申请经费，为军转干部管理服务工作提供保障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6"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主要经验做法</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为市属困难企业军转干提供救助资金，为其解困，按标准按要求及时发放到位，保障群体稳定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3"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项目管理中存在的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主要问题及原因分析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在项目实施过程中，不够细化。原因在于没有进行前期的规划。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下一步改进措施及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管理建议</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在项目执行前期，本单位相关人员需要做一个具体的支出计划表，来保障项目资金的有效执行。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退役军人办公业务费项目绩效自评综述：根据年初设定的绩效目标，项目自评得分为96分。全年预算数为36万元，执行数为25．2万元，完成预算的70％。项目绩效目标完成情况：一是按时保障退役军人各项工作顺利开展，组织实施退役军人思想政治、管理保障和安置优抚等工作的政策法规，拟订我市相关政策法规并组织实施。褒扬彰显退役军人为党、国家和人民牺牲奉献的精神风范和价值导向。二是维护社会稳定，，保障各类退役军人群体正常运转。发现的主要问题及原因：设置项目实施规划时，不够细化。原因在于没有进行前期的规划。下一步改进措施：项目执行前做好具体支出计划，保障项目资金有效运行。</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8"/>
        <w:gridCol w:w="980"/>
        <w:gridCol w:w="66"/>
        <w:gridCol w:w="1181"/>
        <w:gridCol w:w="730"/>
        <w:gridCol w:w="1135"/>
        <w:gridCol w:w="283"/>
        <w:gridCol w:w="852"/>
        <w:gridCol w:w="851"/>
        <w:gridCol w:w="284"/>
        <w:gridCol w:w="283"/>
        <w:gridCol w:w="426"/>
        <w:gridCol w:w="141"/>
        <w:gridCol w:w="710"/>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9080" w:type="dxa"/>
            <w:gridSpan w:val="15"/>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i w:val="0"/>
                <w:iCs w:val="0"/>
                <w:sz w:val="24"/>
                <w:szCs w:val="24"/>
              </w:rPr>
            </w:pPr>
            <w:r>
              <w:rPr>
                <w:rFonts w:hint="eastAsia" w:ascii="华文中宋" w:hAnsi="华文中宋" w:eastAsia="华文中宋" w:cs="华文中宋"/>
                <w:b/>
                <w:bCs/>
                <w:i w:val="0"/>
                <w:iCs w:val="0"/>
                <w:sz w:val="39"/>
                <w:szCs w:val="39"/>
                <w:bdr w:val="none" w:color="auto" w:sz="0" w:space="0"/>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atLeast"/>
          <w:jc w:val="center"/>
        </w:trPr>
        <w:tc>
          <w:tcPr>
            <w:tcW w:w="9080" w:type="dxa"/>
            <w:gridSpan w:val="15"/>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i w:val="0"/>
                <w:iCs w:val="0"/>
                <w:sz w:val="24"/>
                <w:szCs w:val="24"/>
              </w:rPr>
            </w:pPr>
            <w:r>
              <w:rPr>
                <w:rFonts w:hint="eastAsia" w:ascii="宋体" w:hAnsi="宋体" w:eastAsia="宋体" w:cs="宋体"/>
                <w:i w:val="0"/>
                <w:iCs w:val="0"/>
                <w:sz w:val="25"/>
                <w:szCs w:val="25"/>
                <w:bdr w:val="none" w:color="auto" w:sz="0" w:space="0"/>
              </w:rPr>
              <w:t>填列单位（公章）：</w:t>
            </w:r>
            <w:r>
              <w:rPr>
                <w:rFonts w:hint="eastAsia" w:ascii="宋体" w:hAnsi="宋体" w:eastAsia="宋体" w:cs="宋体"/>
                <w:i w:val="0"/>
                <w:iCs w:val="0"/>
                <w:sz w:val="28"/>
                <w:szCs w:val="28"/>
                <w:bdr w:val="none" w:color="auto" w:sz="0" w:space="0"/>
              </w:rPr>
              <w:t>                </w:t>
            </w:r>
            <w:r>
              <w:rPr>
                <w:rFonts w:hint="eastAsia" w:ascii="宋体" w:hAnsi="宋体" w:eastAsia="宋体" w:cs="宋体"/>
                <w:i w:val="0"/>
                <w:iCs w:val="0"/>
                <w:sz w:val="25"/>
                <w:szCs w:val="25"/>
                <w:bdr w:val="none" w:color="auto" w:sz="0" w:space="0"/>
              </w:rPr>
              <w:t>（ </w:t>
            </w:r>
            <w:r>
              <w:rPr>
                <w:rFonts w:hint="eastAsia" w:ascii="宋体" w:hAnsi="宋体" w:eastAsia="宋体" w:cs="宋体"/>
                <w:i w:val="0"/>
                <w:iCs w:val="0"/>
                <w:sz w:val="28"/>
                <w:szCs w:val="28"/>
                <w:bdr w:val="none" w:color="auto" w:sz="0" w:space="0"/>
              </w:rPr>
              <w:t>2021</w:t>
            </w:r>
            <w:r>
              <w:rPr>
                <w:rFonts w:hint="eastAsia" w:ascii="宋体" w:hAnsi="宋体" w:eastAsia="宋体" w:cs="宋体"/>
                <w:i w:val="0"/>
                <w:iCs w:val="0"/>
                <w:sz w:val="31"/>
                <w:szCs w:val="31"/>
                <w:bdr w:val="none" w:color="auto" w:sz="0" w:space="0"/>
              </w:rPr>
              <w:t>   </w:t>
            </w:r>
            <w:r>
              <w:rPr>
                <w:rFonts w:hint="eastAsia" w:ascii="宋体" w:hAnsi="宋体" w:eastAsia="宋体" w:cs="宋体"/>
                <w:i w:val="0"/>
                <w:iCs w:val="0"/>
                <w:sz w:val="25"/>
                <w:szCs w:val="25"/>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56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项目名称</w:t>
            </w:r>
          </w:p>
        </w:tc>
        <w:tc>
          <w:tcPr>
            <w:tcW w:w="7512" w:type="dxa"/>
            <w:gridSpan w:val="1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退役军人办公业务费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jc w:val="center"/>
        </w:trPr>
        <w:tc>
          <w:tcPr>
            <w:tcW w:w="1568"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主管部门</w:t>
            </w:r>
          </w:p>
        </w:tc>
        <w:tc>
          <w:tcPr>
            <w:tcW w:w="4110"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大同市退役军人事务局</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实施单位</w:t>
            </w:r>
          </w:p>
        </w:tc>
        <w:tc>
          <w:tcPr>
            <w:tcW w:w="2270"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大同市退役军人事务局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项目资金</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（万元）</w:t>
            </w: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年初预算数</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全年预算数</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全年执行数</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分值</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执行率</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年度资金总额</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36</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36</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25.2</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70%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其中：当年财政拨款</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36</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36</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25.2</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70%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4"/>
                <w:szCs w:val="24"/>
                <w:bdr w:val="none" w:color="auto" w:sz="0" w:space="0"/>
              </w:rPr>
              <w:t>      </w:t>
            </w:r>
            <w:r>
              <w:rPr>
                <w:rFonts w:hint="eastAsia" w:ascii="宋体" w:hAnsi="宋体" w:eastAsia="宋体" w:cs="宋体"/>
                <w:i w:val="0"/>
                <w:iCs w:val="0"/>
                <w:sz w:val="21"/>
                <w:szCs w:val="21"/>
                <w:bdr w:val="none" w:color="auto" w:sz="0" w:space="0"/>
              </w:rPr>
              <w:t>上年结转资金</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568"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84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4"/>
                <w:szCs w:val="24"/>
                <w:bdr w:val="none" w:color="auto" w:sz="0" w:space="0"/>
              </w:rPr>
              <w:t>  </w:t>
            </w:r>
            <w:r>
              <w:rPr>
                <w:rFonts w:hint="eastAsia" w:ascii="宋体" w:hAnsi="宋体" w:eastAsia="宋体" w:cs="宋体"/>
                <w:i w:val="0"/>
                <w:iCs w:val="0"/>
                <w:sz w:val="21"/>
                <w:szCs w:val="21"/>
                <w:bdr w:val="none" w:color="auto" w:sz="0" w:space="0"/>
              </w:rPr>
              <w:t>其他资金</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13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c>
          <w:tcPr>
            <w:tcW w:w="85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年度总体目标</w:t>
            </w:r>
          </w:p>
        </w:tc>
        <w:tc>
          <w:tcPr>
            <w:tcW w:w="5090"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预期目标</w:t>
            </w:r>
          </w:p>
        </w:tc>
        <w:tc>
          <w:tcPr>
            <w:tcW w:w="3404"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5090"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ahoma" w:hAnsi="Tahoma" w:eastAsia="Tahoma" w:cs="Tahoma"/>
                <w:i w:val="0"/>
                <w:iCs w:val="0"/>
                <w:color w:val="000000"/>
                <w:sz w:val="21"/>
                <w:szCs w:val="21"/>
                <w:bdr w:val="none" w:color="auto" w:sz="0" w:space="0"/>
              </w:rPr>
              <w:t>组织实施退役军人思想政治、管理保障和安置优抚等工作的政策法规，拟订我市相关政策法规并组织实施。褒扬彰显退役军人为党、国家和人民牺牲奉献的精神风范和价值导向。该项资金主要用于我机关各项日常办公支出，保障工作正常运转，更好地服务我市退役军人群体。</w:t>
            </w:r>
          </w:p>
        </w:tc>
        <w:tc>
          <w:tcPr>
            <w:tcW w:w="3404" w:type="dxa"/>
            <w:gridSpan w:val="7"/>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基本按照预期目标完成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绩</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效</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指</w:t>
            </w:r>
            <w:r>
              <w:rPr>
                <w:rFonts w:hint="eastAsia" w:ascii="宋体" w:hAnsi="宋体" w:eastAsia="宋体" w:cs="宋体"/>
                <w:i w:val="0"/>
                <w:iCs w:val="0"/>
                <w:sz w:val="24"/>
                <w:szCs w:val="24"/>
                <w:bdr w:val="none" w:color="auto" w:sz="0" w:space="0"/>
              </w:rPr>
              <w:br w:type="textWrapping"/>
            </w:r>
            <w:r>
              <w:rPr>
                <w:rFonts w:hint="eastAsia" w:ascii="宋体" w:hAnsi="宋体" w:eastAsia="宋体" w:cs="宋体"/>
                <w:i w:val="0"/>
                <w:iCs w:val="0"/>
                <w:sz w:val="21"/>
                <w:szCs w:val="21"/>
                <w:bdr w:val="none" w:color="auto" w:sz="0" w:space="0"/>
              </w:rPr>
              <w:t>标</w:t>
            </w:r>
          </w:p>
        </w:tc>
        <w:tc>
          <w:tcPr>
            <w:tcW w:w="9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一级指标</w:t>
            </w:r>
          </w:p>
        </w:tc>
        <w:tc>
          <w:tcPr>
            <w:tcW w:w="1112"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二级指标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三级指标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指标值</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实际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完成值</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分值</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得分</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产出指标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数量指标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：举办培训场次</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5场</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5场</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：举办会议场次</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5场</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w:t>
            </w:r>
            <w:r>
              <w:rPr>
                <w:rFonts w:hint="eastAsia" w:ascii="宋体" w:hAnsi="宋体" w:eastAsia="宋体" w:cs="宋体"/>
                <w:i w:val="0"/>
                <w:iCs w:val="0"/>
                <w:sz w:val="21"/>
                <w:szCs w:val="21"/>
                <w:bdr w:val="none" w:color="auto" w:sz="0" w:space="0"/>
              </w:rPr>
              <w:t>5场</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3</w:t>
            </w:r>
            <w:r>
              <w:rPr>
                <w:rFonts w:hint="eastAsia" w:ascii="宋体" w:hAnsi="宋体" w:eastAsia="宋体" w:cs="宋体"/>
                <w:i w:val="0"/>
                <w:iCs w:val="0"/>
                <w:color w:val="000000"/>
                <w:sz w:val="21"/>
                <w:szCs w:val="21"/>
                <w:bdr w:val="none" w:color="auto" w:sz="0" w:space="0"/>
              </w:rPr>
              <w:t>：培训学员人次</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≥40</w:t>
            </w:r>
            <w:r>
              <w:rPr>
                <w:rFonts w:hint="eastAsia" w:ascii="宋体" w:hAnsi="宋体" w:eastAsia="宋体" w:cs="宋体"/>
                <w:i w:val="0"/>
                <w:iCs w:val="0"/>
                <w:sz w:val="21"/>
                <w:szCs w:val="21"/>
                <w:bdr w:val="none" w:color="auto" w:sz="0" w:space="0"/>
              </w:rPr>
              <w:t>人</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Arial" w:hAnsi="Arial" w:cs="Arial"/>
                <w:i w:val="0"/>
                <w:iCs w:val="0"/>
                <w:sz w:val="21"/>
                <w:szCs w:val="21"/>
                <w:bdr w:val="none" w:color="auto" w:sz="0" w:space="0"/>
              </w:rPr>
              <w:t>≥40</w:t>
            </w:r>
            <w:r>
              <w:rPr>
                <w:rFonts w:hint="eastAsia" w:ascii="宋体" w:hAnsi="宋体" w:eastAsia="宋体" w:cs="宋体"/>
                <w:i w:val="0"/>
                <w:iCs w:val="0"/>
                <w:sz w:val="21"/>
                <w:szCs w:val="21"/>
                <w:bdr w:val="none" w:color="auto" w:sz="0" w:space="0"/>
              </w:rPr>
              <w:t>人</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质量指标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：培训合格率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70%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9</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：会议举办成功率</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5</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时效指标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：日常工作及时性</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及时</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成本指标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效益指标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：维护社会稳定</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维护</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维护</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30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生态效益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可持续影响指标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指标</w:t>
            </w:r>
          </w:p>
        </w:tc>
        <w:tc>
          <w:tcPr>
            <w:tcW w:w="1112"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服务对象满意度指标</w:t>
            </w: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1</w:t>
            </w:r>
            <w:r>
              <w:rPr>
                <w:rFonts w:hint="eastAsia" w:ascii="宋体" w:hAnsi="宋体" w:eastAsia="宋体" w:cs="宋体"/>
                <w:i w:val="0"/>
                <w:iCs w:val="0"/>
                <w:color w:val="000000"/>
                <w:sz w:val="21"/>
                <w:szCs w:val="21"/>
                <w:bdr w:val="none" w:color="auto" w:sz="0" w:space="0"/>
              </w:rPr>
              <w:t>受众群体满意度：度度</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10</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指标</w:t>
            </w:r>
            <w:r>
              <w:rPr>
                <w:rFonts w:hint="eastAsia" w:ascii="宋体" w:hAnsi="宋体" w:eastAsia="宋体" w:cs="宋体"/>
                <w:i w:val="0"/>
                <w:iCs w:val="0"/>
                <w:color w:val="000000"/>
                <w:sz w:val="24"/>
                <w:szCs w:val="24"/>
                <w:bdr w:val="none" w:color="auto" w:sz="0" w:space="0"/>
              </w:rPr>
              <w:t>2</w:t>
            </w: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9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112"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148"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w:t>
            </w:r>
          </w:p>
        </w:tc>
        <w:tc>
          <w:tcPr>
            <w:tcW w:w="85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529"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总分</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100</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96</w:t>
            </w:r>
          </w:p>
        </w:tc>
        <w:tc>
          <w:tcPr>
            <w:tcW w:w="141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jc w:val="center"/>
        </w:trPr>
        <w:tc>
          <w:tcPr>
            <w:tcW w:w="58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项目绩效分析</w:t>
            </w:r>
          </w:p>
        </w:tc>
        <w:tc>
          <w:tcPr>
            <w:tcW w:w="1046"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自评结果分析</w:t>
            </w: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项目实施和预算执行情况及分析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按时保障退役军人各项工作顺利开展，</w:t>
            </w:r>
            <w:r>
              <w:rPr>
                <w:rFonts w:hint="default" w:ascii="Tahoma" w:hAnsi="Tahoma" w:eastAsia="Tahoma" w:cs="Tahoma"/>
                <w:i w:val="0"/>
                <w:iCs w:val="0"/>
                <w:color w:val="000000"/>
                <w:sz w:val="21"/>
                <w:szCs w:val="21"/>
                <w:bdr w:val="none" w:color="auto" w:sz="0" w:space="0"/>
              </w:rPr>
              <w:t>组织实施退役军人思想政治、管理保障和安置优抚等工作的政策法规，拟订我市相关政策法规并组织实施。褒扬彰显退役军人为党、国家和人民牺牲奉献的精神风范和价值导向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产出情况及分析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及时有效保证该项资金使用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3"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效益情况及分析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维护社会稳定，，保障各类退役军人群体正常运转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10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满意度情况及分析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收到服务对象和受众群体一致好评，满意度高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主要经验做法</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事前做好项目绩效目标，严格按照绩效目标表执行，按标准按进度做好项目支出，保证工作完成率及经费支出率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3"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项目管理中存在的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主要问题及原因分析</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设置项目实施规划时，不够细化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58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i w:val="0"/>
                <w:iCs w:val="0"/>
                <w:sz w:val="24"/>
                <w:szCs w:val="24"/>
              </w:rPr>
            </w:pPr>
          </w:p>
        </w:tc>
        <w:tc>
          <w:tcPr>
            <w:tcW w:w="2092"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下一步改进措施及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color w:val="000000"/>
                <w:sz w:val="21"/>
                <w:szCs w:val="21"/>
                <w:bdr w:val="none" w:color="auto" w:sz="0" w:space="0"/>
              </w:rPr>
              <w:t>管理建议</w:t>
            </w:r>
          </w:p>
        </w:tc>
        <w:tc>
          <w:tcPr>
            <w:tcW w:w="6400" w:type="dxa"/>
            <w:gridSpan w:val="11"/>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i w:val="0"/>
                <w:iCs w:val="0"/>
                <w:sz w:val="24"/>
                <w:szCs w:val="24"/>
              </w:rPr>
            </w:pPr>
            <w:r>
              <w:rPr>
                <w:rFonts w:hint="eastAsia" w:ascii="宋体" w:hAnsi="宋体" w:eastAsia="宋体" w:cs="宋体"/>
                <w:i w:val="0"/>
                <w:iCs w:val="0"/>
                <w:sz w:val="21"/>
                <w:szCs w:val="21"/>
                <w:bdr w:val="none" w:color="auto" w:sz="0" w:space="0"/>
              </w:rPr>
              <w:t>项目执行前做好具体支出计划，保障项目资金有效运行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第四部分名词解释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部门应当按照部门预算管理要求，对本部门市级的专业名词进行解释。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一、财政拨款收入：指单位从同级财政部门取得的财政预算资金。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二、事业收入：指事业单位开展专业业务活动及辅助活动取得的收入。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三、经营收入：指事业单位在专业业务活动及其辅助活动之外开展非独立核算经营活动取得的收入。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四、其他收入：指单位取得的除以上述收入的各项收入。主要是事业单位固定资产出租收入、存款利息收入等。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五、使用非出财政拨款结余：指事业单位使用以前年度积累的非财政拨款结余当年收支差额的金额。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六、年初结转和结余：指单位以前年度尚未完成、结转到本年按原规定用途继续使用的资金，或项目已完成等生产的结余资金。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七、结余分配：指事业单位按照会计制度规定缴纳的所得税、提取的专业结余以及转入非财政拨款结余的金额等。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八、年末结转和结余：指的单位按有关规定结转到下年或以后年度继续使用的资金，或项目已完成等产生的结余资金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　、“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十二、机关运行经费：指行政单位和参照公务员法管理的事业单位使用一般公共预算安排的基本支出中的日常公用经费支。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第五部分附件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大同市退役军人事务局2021年决算公开批复表</w:t>
      </w:r>
    </w:p>
    <w:p/>
    <w:p>
      <w:r>
        <w:drawing>
          <wp:inline distT="0" distB="0" distL="114300" distR="114300">
            <wp:extent cx="7593330" cy="6308725"/>
            <wp:effectExtent l="0" t="0" r="762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593330" cy="6308725"/>
                    </a:xfrm>
                    <a:prstGeom prst="rect">
                      <a:avLst/>
                    </a:prstGeom>
                    <a:noFill/>
                    <a:ln>
                      <a:noFill/>
                    </a:ln>
                  </pic:spPr>
                </pic:pic>
              </a:graphicData>
            </a:graphic>
          </wp:inline>
        </w:drawing>
      </w:r>
    </w:p>
    <w:p>
      <w:r>
        <w:drawing>
          <wp:inline distT="0" distB="0" distL="114300" distR="114300">
            <wp:extent cx="8859520" cy="5913755"/>
            <wp:effectExtent l="0" t="0" r="1778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8859520" cy="5913755"/>
                    </a:xfrm>
                    <a:prstGeom prst="rect">
                      <a:avLst/>
                    </a:prstGeom>
                    <a:noFill/>
                    <a:ln>
                      <a:noFill/>
                    </a:ln>
                  </pic:spPr>
                </pic:pic>
              </a:graphicData>
            </a:graphic>
          </wp:inline>
        </w:drawing>
      </w:r>
    </w:p>
    <w:p>
      <w:r>
        <w:drawing>
          <wp:inline distT="0" distB="0" distL="114300" distR="114300">
            <wp:extent cx="8861425" cy="6590665"/>
            <wp:effectExtent l="0" t="0" r="1587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8861425" cy="6590665"/>
                    </a:xfrm>
                    <a:prstGeom prst="rect">
                      <a:avLst/>
                    </a:prstGeom>
                    <a:noFill/>
                    <a:ln>
                      <a:noFill/>
                    </a:ln>
                  </pic:spPr>
                </pic:pic>
              </a:graphicData>
            </a:graphic>
          </wp:inline>
        </w:drawing>
      </w:r>
    </w:p>
    <w:p>
      <w:r>
        <w:drawing>
          <wp:inline distT="0" distB="0" distL="114300" distR="114300">
            <wp:extent cx="8854440" cy="6720840"/>
            <wp:effectExtent l="0" t="0" r="381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8854440" cy="6720840"/>
                    </a:xfrm>
                    <a:prstGeom prst="rect">
                      <a:avLst/>
                    </a:prstGeom>
                    <a:noFill/>
                    <a:ln>
                      <a:noFill/>
                    </a:ln>
                  </pic:spPr>
                </pic:pic>
              </a:graphicData>
            </a:graphic>
          </wp:inline>
        </w:drawing>
      </w:r>
    </w:p>
    <w:p>
      <w:r>
        <w:drawing>
          <wp:inline distT="0" distB="0" distL="114300" distR="114300">
            <wp:extent cx="8851265" cy="3641725"/>
            <wp:effectExtent l="0" t="0" r="6985"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8851265" cy="3641725"/>
                    </a:xfrm>
                    <a:prstGeom prst="rect">
                      <a:avLst/>
                    </a:prstGeom>
                    <a:noFill/>
                    <a:ln>
                      <a:noFill/>
                    </a:ln>
                  </pic:spPr>
                </pic:pic>
              </a:graphicData>
            </a:graphic>
          </wp:inline>
        </w:drawing>
      </w:r>
    </w:p>
    <w:p/>
    <w:p/>
    <w:p>
      <w:r>
        <w:drawing>
          <wp:inline distT="0" distB="0" distL="114300" distR="114300">
            <wp:extent cx="8853805" cy="3096260"/>
            <wp:effectExtent l="0" t="0" r="444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8853805" cy="3096260"/>
                    </a:xfrm>
                    <a:prstGeom prst="rect">
                      <a:avLst/>
                    </a:prstGeom>
                    <a:noFill/>
                    <a:ln>
                      <a:noFill/>
                    </a:ln>
                  </pic:spPr>
                </pic:pic>
              </a:graphicData>
            </a:graphic>
          </wp:inline>
        </w:drawing>
      </w:r>
    </w:p>
    <w:p/>
    <w:p/>
    <w:p/>
    <w:p>
      <w:r>
        <w:drawing>
          <wp:inline distT="0" distB="0" distL="114300" distR="114300">
            <wp:extent cx="8855710" cy="2646680"/>
            <wp:effectExtent l="0" t="0" r="254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8855710" cy="2646680"/>
                    </a:xfrm>
                    <a:prstGeom prst="rect">
                      <a:avLst/>
                    </a:prstGeom>
                    <a:noFill/>
                    <a:ln>
                      <a:noFill/>
                    </a:ln>
                  </pic:spPr>
                </pic:pic>
              </a:graphicData>
            </a:graphic>
          </wp:inline>
        </w:drawing>
      </w:r>
    </w:p>
    <w:p/>
    <w:p/>
    <w:p/>
    <w:p>
      <w:r>
        <w:drawing>
          <wp:inline distT="0" distB="0" distL="114300" distR="114300">
            <wp:extent cx="8856345" cy="2078990"/>
            <wp:effectExtent l="0" t="0" r="1905" b="165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8856345" cy="2078990"/>
                    </a:xfrm>
                    <a:prstGeom prst="rect">
                      <a:avLst/>
                    </a:prstGeom>
                    <a:noFill/>
                    <a:ln>
                      <a:noFill/>
                    </a:ln>
                  </pic:spPr>
                </pic:pic>
              </a:graphicData>
            </a:graphic>
          </wp:inline>
        </w:drawing>
      </w:r>
    </w:p>
    <w:p/>
    <w:p/>
    <w:p/>
    <w:p>
      <w:r>
        <w:drawing>
          <wp:inline distT="0" distB="0" distL="114300" distR="114300">
            <wp:extent cx="8856980" cy="3385185"/>
            <wp:effectExtent l="0" t="0" r="127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stretch>
                      <a:fillRect/>
                    </a:stretch>
                  </pic:blipFill>
                  <pic:spPr>
                    <a:xfrm>
                      <a:off x="0" y="0"/>
                      <a:ext cx="8856980" cy="3385185"/>
                    </a:xfrm>
                    <a:prstGeom prst="rect">
                      <a:avLst/>
                    </a:prstGeom>
                    <a:noFill/>
                    <a:ln>
                      <a:noFill/>
                    </a:ln>
                  </pic:spPr>
                </pic:pic>
              </a:graphicData>
            </a:graphic>
          </wp:inline>
        </w:drawing>
      </w:r>
    </w:p>
    <w:p/>
    <w:p>
      <w:pPr>
        <w:widowControl/>
        <w:shd w:val="clear" w:color="auto" w:fill="FFFFFF"/>
        <w:spacing w:before="100" w:after="100"/>
        <w:jc w:val="both"/>
        <w:rPr>
          <w:rFonts w:hint="eastAsia" w:ascii="Calibri" w:hAnsi="Calibri" w:eastAsia="宋体" w:cs="Calibri"/>
          <w:color w:val="000000"/>
          <w:kern w:val="0"/>
          <w:sz w:val="32"/>
          <w:szCs w:val="21"/>
          <w:shd w:val="clear" w:color="auto" w:fill="FFFFFF"/>
        </w:rPr>
      </w:pPr>
    </w:p>
    <w:p>
      <w:pPr>
        <w:widowControl/>
        <w:shd w:val="clear" w:color="auto" w:fill="FFFFFF"/>
        <w:spacing w:before="100" w:after="100"/>
        <w:jc w:val="both"/>
        <w:rPr>
          <w:rFonts w:hint="eastAsia" w:ascii="Calibri" w:hAnsi="Calibri" w:eastAsia="宋体" w:cs="Calibri"/>
          <w:color w:val="000000"/>
          <w:kern w:val="0"/>
          <w:sz w:val="32"/>
          <w:szCs w:val="21"/>
          <w:shd w:val="clear" w:color="auto" w:fill="FFFFFF"/>
        </w:rPr>
      </w:pPr>
    </w:p>
    <w:p>
      <w:pPr>
        <w:widowControl/>
        <w:shd w:val="clear" w:color="auto" w:fill="FFFFFF"/>
        <w:spacing w:before="100" w:after="100"/>
        <w:jc w:val="center"/>
        <w:rPr>
          <w:rFonts w:hint="eastAsia" w:ascii="Calibri" w:hAnsi="Calibri" w:eastAsia="宋体" w:cs="Calibri"/>
          <w:color w:val="000000"/>
          <w:kern w:val="0"/>
          <w:sz w:val="32"/>
          <w:szCs w:val="21"/>
          <w:shd w:val="clear" w:color="auto" w:fill="FFFFFF"/>
        </w:rPr>
      </w:pPr>
    </w:p>
    <w:p>
      <w:pPr>
        <w:widowControl/>
        <w:shd w:val="clear" w:color="auto" w:fill="FFFFFF"/>
        <w:spacing w:before="100" w:after="100"/>
        <w:jc w:val="center"/>
        <w:rPr>
          <w:rFonts w:ascii="宋体" w:hAnsi="宋体" w:eastAsia="宋体" w:cs="宋体"/>
          <w:color w:val="000000"/>
          <w:sz w:val="32"/>
          <w:szCs w:val="21"/>
        </w:rPr>
      </w:pPr>
      <w:r>
        <w:rPr>
          <w:rFonts w:hint="eastAsia" w:ascii="Calibri" w:hAnsi="Calibri" w:eastAsia="宋体" w:cs="Calibri"/>
          <w:color w:val="000000"/>
          <w:kern w:val="0"/>
          <w:sz w:val="32"/>
          <w:szCs w:val="21"/>
          <w:shd w:val="clear" w:color="auto" w:fill="FFFFFF"/>
        </w:rPr>
        <w:t>部门决算公开相关信息统计表</w:t>
      </w:r>
    </w:p>
    <w:p>
      <w:pPr>
        <w:widowControl/>
        <w:shd w:val="clear" w:color="auto" w:fill="FFFFFF"/>
        <w:spacing w:before="100" w:after="100"/>
        <w:jc w:val="righ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公开10表</w:t>
      </w:r>
    </w:p>
    <w:p>
      <w:pPr>
        <w:widowControl/>
        <w:shd w:val="clear" w:color="auto" w:fill="FFFFFF"/>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部门：大同</w:t>
      </w:r>
      <w:r>
        <w:rPr>
          <w:rFonts w:hint="eastAsia" w:ascii="宋体" w:hAnsi="宋体" w:eastAsia="宋体" w:cs="宋体"/>
          <w:i w:val="0"/>
          <w:iCs w:val="0"/>
          <w:color w:val="000000"/>
          <w:kern w:val="0"/>
          <w:sz w:val="20"/>
          <w:szCs w:val="20"/>
          <w:u w:val="none"/>
          <w:lang w:val="en-US" w:eastAsia="zh-CN" w:bidi="ar"/>
        </w:rPr>
        <w:t>市退役军人事务局</w:t>
      </w:r>
      <w:r>
        <w:rPr>
          <w:rFonts w:hint="eastAsia" w:ascii="Calibri" w:hAnsi="Calibri" w:eastAsia="宋体" w:cs="Calibri"/>
          <w:color w:val="000000"/>
          <w:kern w:val="0"/>
          <w:szCs w:val="21"/>
          <w:shd w:val="clear" w:color="auto" w:fill="FFFFFF"/>
        </w:rPr>
        <w:t xml:space="preserve">                                 2021年度</w:t>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ab/>
      </w:r>
      <w:r>
        <w:rPr>
          <w:rFonts w:hint="eastAsia" w:ascii="Calibri" w:hAnsi="Calibri" w:eastAsia="宋体" w:cs="Calibri"/>
          <w:color w:val="000000"/>
          <w:kern w:val="0"/>
          <w:szCs w:val="21"/>
          <w:shd w:val="clear" w:color="auto" w:fill="FFFFFF"/>
        </w:rPr>
        <w:t xml:space="preserve">                                          金额单位：元</w:t>
      </w:r>
    </w:p>
    <w:tbl>
      <w:tblPr>
        <w:tblStyle w:val="4"/>
        <w:tblW w:w="34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3543"/>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一、政府采购情况</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项目</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行次</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合计</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598581.5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货物</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2</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工程</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3</w:t>
            </w:r>
          </w:p>
        </w:tc>
        <w:tc>
          <w:tcPr>
            <w:tcW w:w="1344" w:type="pct"/>
            <w:noWrap w:val="0"/>
            <w:vAlign w:val="top"/>
          </w:tcPr>
          <w:p>
            <w:pPr>
              <w:widowControl/>
              <w:spacing w:before="100" w:after="100"/>
              <w:jc w:val="left"/>
              <w:rPr>
                <w:rFonts w:hint="default" w:ascii="Calibri" w:hAnsi="Calibri" w:eastAsia="宋体" w:cs="Calibri"/>
                <w:color w:val="000000"/>
                <w:kern w:val="0"/>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服务</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486581.5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二、机关运行经费</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505205.87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项目</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（一）行政单位</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w:t>
            </w:r>
          </w:p>
        </w:tc>
        <w:tc>
          <w:tcPr>
            <w:tcW w:w="1344" w:type="pct"/>
            <w:noWrap w:val="0"/>
            <w:vAlign w:val="top"/>
          </w:tcPr>
          <w:p>
            <w:pPr>
              <w:widowControl/>
              <w:spacing w:before="100" w:after="100"/>
              <w:jc w:val="left"/>
              <w:rPr>
                <w:rFonts w:hint="default" w:ascii="Calibri" w:hAnsi="Calibri" w:eastAsia="宋体" w:cs="Calibri"/>
                <w:color w:val="000000"/>
                <w:kern w:val="0"/>
                <w:szCs w:val="21"/>
                <w:shd w:val="clear" w:color="auto" w:fill="FFFFFF"/>
                <w:lang w:val="en-US" w:eastAsia="zh-CN"/>
              </w:rPr>
            </w:pPr>
            <w:r>
              <w:rPr>
                <w:rFonts w:hint="eastAsia" w:ascii="Calibri" w:hAnsi="Calibri" w:eastAsia="宋体" w:cs="Calibri"/>
                <w:color w:val="000000"/>
                <w:kern w:val="0"/>
                <w:szCs w:val="21"/>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（二）参照公务员法管理事业单位</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三、国有资产占用情况</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（一）车辆合计（辆）</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7</w:t>
            </w:r>
          </w:p>
        </w:tc>
        <w:tc>
          <w:tcPr>
            <w:tcW w:w="1344" w:type="pct"/>
            <w:noWrap w:val="0"/>
            <w:vAlign w:val="top"/>
          </w:tcPr>
          <w:p>
            <w:pPr>
              <w:widowControl/>
              <w:spacing w:before="100" w:after="100"/>
              <w:jc w:val="left"/>
              <w:rPr>
                <w:rFonts w:hint="default" w:ascii="Calibri" w:hAnsi="Calibri" w:eastAsia="宋体" w:cs="Calibri"/>
                <w:color w:val="000000"/>
                <w:kern w:val="0"/>
                <w:szCs w:val="21"/>
                <w:shd w:val="clear" w:color="auto" w:fill="FFFFFF"/>
                <w:lang w:val="en-US" w:eastAsia="zh-CN"/>
              </w:rPr>
            </w:pPr>
            <w:r>
              <w:rPr>
                <w:rFonts w:hint="eastAsia" w:ascii="Calibri" w:hAnsi="Calibri" w:eastAsia="宋体" w:cs="Calibri"/>
                <w:color w:val="000000"/>
                <w:kern w:val="0"/>
                <w:szCs w:val="21"/>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1.副部（省）级以上领导用车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8</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2.主要领导干部用车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9</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3.机要通信用车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10</w:t>
            </w:r>
          </w:p>
        </w:tc>
        <w:tc>
          <w:tcPr>
            <w:tcW w:w="1344" w:type="pct"/>
            <w:noWrap w:val="0"/>
            <w:vAlign w:val="top"/>
          </w:tcPr>
          <w:p>
            <w:pPr>
              <w:widowControl/>
              <w:spacing w:before="100" w:after="100"/>
              <w:jc w:val="left"/>
              <w:rPr>
                <w:rFonts w:hint="default" w:ascii="Calibri" w:hAnsi="Calibri" w:eastAsia="宋体" w:cs="Calibri"/>
                <w:color w:val="000000"/>
                <w:kern w:val="0"/>
                <w:szCs w:val="21"/>
                <w:shd w:val="clear" w:color="auto" w:fill="FFFFFF"/>
                <w:lang w:val="en-US" w:eastAsia="zh-CN"/>
              </w:rPr>
            </w:pPr>
            <w:r>
              <w:rPr>
                <w:rFonts w:hint="eastAsia" w:ascii="Calibri" w:hAnsi="Calibri" w:eastAsia="宋体" w:cs="Calibri"/>
                <w:color w:val="000000"/>
                <w:kern w:val="0"/>
                <w:szCs w:val="21"/>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4.应急保障用车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11</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5.执法执勤用车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12</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6.特种专业技术用车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13</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7.离退休干部 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14</w:t>
            </w:r>
          </w:p>
        </w:tc>
        <w:tc>
          <w:tcPr>
            <w:tcW w:w="1344" w:type="pct"/>
            <w:noWrap w:val="0"/>
            <w:vAlign w:val="top"/>
          </w:tcPr>
          <w:p>
            <w:pPr>
              <w:widowControl/>
              <w:spacing w:before="100" w:after="100"/>
              <w:jc w:val="left"/>
              <w:rPr>
                <w:rFonts w:ascii="Calibri" w:hAnsi="Calibri" w:eastAsia="宋体" w:cs="Calibri"/>
                <w:color w:val="000000"/>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26" w:type="pct"/>
            <w:noWrap w:val="0"/>
            <w:vAlign w:val="top"/>
          </w:tcPr>
          <w:p>
            <w:pPr>
              <w:widowControl/>
              <w:spacing w:before="100" w:after="100"/>
              <w:jc w:val="left"/>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8.其他用车</w:t>
            </w:r>
          </w:p>
        </w:tc>
        <w:tc>
          <w:tcPr>
            <w:tcW w:w="1828" w:type="pct"/>
            <w:noWrap w:val="0"/>
            <w:vAlign w:val="top"/>
          </w:tcPr>
          <w:p>
            <w:pPr>
              <w:widowControl/>
              <w:spacing w:before="100" w:after="100"/>
              <w:jc w:val="center"/>
              <w:rPr>
                <w:rFonts w:ascii="Calibri" w:hAnsi="Calibri" w:eastAsia="宋体" w:cs="Calibri"/>
                <w:color w:val="000000"/>
                <w:kern w:val="0"/>
                <w:szCs w:val="21"/>
                <w:shd w:val="clear" w:color="auto" w:fill="FFFFFF"/>
              </w:rPr>
            </w:pPr>
            <w:r>
              <w:rPr>
                <w:rFonts w:hint="eastAsia" w:ascii="Calibri" w:hAnsi="Calibri" w:eastAsia="宋体" w:cs="Calibri"/>
                <w:color w:val="000000"/>
                <w:kern w:val="0"/>
                <w:szCs w:val="21"/>
                <w:shd w:val="clear" w:color="auto" w:fill="FFFFFF"/>
              </w:rPr>
              <w:t>15</w:t>
            </w:r>
          </w:p>
        </w:tc>
        <w:tc>
          <w:tcPr>
            <w:tcW w:w="1344" w:type="pct"/>
            <w:noWrap w:val="0"/>
            <w:vAlign w:val="top"/>
          </w:tcPr>
          <w:p>
            <w:pPr>
              <w:widowControl/>
              <w:spacing w:before="100" w:after="100"/>
              <w:jc w:val="left"/>
              <w:rPr>
                <w:rFonts w:hint="eastAsia" w:ascii="Calibri" w:hAnsi="Calibri" w:eastAsia="宋体" w:cs="Calibri"/>
                <w:color w:val="000000"/>
                <w:kern w:val="0"/>
                <w:szCs w:val="21"/>
                <w:shd w:val="clear" w:color="auto" w:fill="FFFFFF"/>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3A5CE"/>
    <w:multiLevelType w:val="singleLevel"/>
    <w:tmpl w:val="A483A5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2UyMGQ1NDVkNmY4NDI5OGY1NmFhZGE0OTA2ZWEifQ=="/>
  </w:docVars>
  <w:rsids>
    <w:rsidRoot w:val="687B4F72"/>
    <w:rsid w:val="687B4F72"/>
    <w:rsid w:val="7C8F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2023-10-01T08:50:00Z</dcterms:created>
  <dc:creator>lenovo</dc:creator>
  <cp:lastModifiedBy>lenovo</cp:lastModifiedBy>
  <dcterms:modified xsi:type="dcterms:W3CDTF">2023-10-01T09:15:33Z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0DFD11A26C66455FA10FC0F05A74EA44_11</vt:lpwstr>
  </property>
</Properties>
</file>