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SimSun" w:hAnsi="SimSun" w:eastAsia="SimSun" w:cstheme="minorBidi"/>
          <w:kern w:val="2"/>
          <w:sz w:val="40"/>
          <w:szCs w:val="48"/>
          <w:lang w:val="en-US" w:eastAsia="zh-CN" w:bidi="ar-SA"/>
        </w:rPr>
        <w:id w:val="147470532"/>
        <w15:color w:val="DBDBDB"/>
        <w:docPartObj>
          <w:docPartGallery w:val="Table of Contents"/>
          <w:docPartUnique/>
        </w:docPartObj>
      </w:sdtPr>
      <w:sdtEndPr>
        <w:rPr>
          <w:rFonts w:hint="eastAsia" w:ascii="SimHei" w:hAnsi="SimSun" w:eastAsia="SimHei" w:cs="SimHei"/>
          <w:kern w:val="2"/>
          <w:sz w:val="21"/>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sz w:val="40"/>
              <w:szCs w:val="48"/>
            </w:rPr>
          </w:pPr>
          <w:r>
            <w:rPr>
              <w:rFonts w:ascii="SimSun" w:hAnsi="SimSun" w:eastAsia="SimSun"/>
              <w:sz w:val="40"/>
              <w:szCs w:val="48"/>
            </w:rPr>
            <w:t>目录</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56"/>
              <w:szCs w:val="56"/>
            </w:rPr>
            <w:fldChar w:fldCharType="begin"/>
          </w:r>
          <w:r>
            <w:rPr>
              <w:rFonts w:hint="eastAsia" w:ascii="SimHei" w:hAnsi="SimSun" w:eastAsia="SimHei" w:cs="SimHei"/>
              <w:sz w:val="56"/>
              <w:szCs w:val="56"/>
            </w:rPr>
            <w:instrText xml:space="preserve">TOC \o "1-3" \h \u </w:instrText>
          </w:r>
          <w:r>
            <w:rPr>
              <w:rFonts w:hint="eastAsia" w:ascii="SimHei" w:hAnsi="SimSun" w:eastAsia="SimHei" w:cs="SimHei"/>
              <w:sz w:val="56"/>
              <w:szCs w:val="56"/>
            </w:rPr>
            <w:fldChar w:fldCharType="separate"/>
          </w: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_Toc13872 </w:instrText>
          </w:r>
          <w:r>
            <w:rPr>
              <w:rFonts w:hint="eastAsia" w:ascii="SimHei" w:hAnsi="SimSun" w:eastAsia="SimHei" w:cs="SimHei"/>
              <w:sz w:val="28"/>
              <w:szCs w:val="56"/>
            </w:rPr>
            <w:fldChar w:fldCharType="separate"/>
          </w:r>
          <w:r>
            <w:rPr>
              <w:rFonts w:hint="eastAsia" w:ascii="SimHei" w:hAnsi="SimSun" w:eastAsia="SimHei" w:cs="SimHei"/>
              <w:sz w:val="28"/>
              <w:szCs w:val="44"/>
            </w:rPr>
            <w:t>第一部分  概况</w:t>
          </w:r>
          <w:r>
            <w:rPr>
              <w:sz w:val="28"/>
              <w:szCs w:val="36"/>
            </w:rPr>
            <w:tab/>
          </w:r>
          <w:r>
            <w:rPr>
              <w:sz w:val="28"/>
              <w:szCs w:val="36"/>
            </w:rPr>
            <w:fldChar w:fldCharType="begin"/>
          </w:r>
          <w:r>
            <w:rPr>
              <w:sz w:val="28"/>
              <w:szCs w:val="36"/>
            </w:rPr>
            <w:instrText xml:space="preserve"> PAGEREF _Toc13872 \h </w:instrText>
          </w:r>
          <w:r>
            <w:rPr>
              <w:sz w:val="28"/>
              <w:szCs w:val="36"/>
            </w:rPr>
            <w:fldChar w:fldCharType="separate"/>
          </w:r>
          <w:r>
            <w:rPr>
              <w:sz w:val="28"/>
              <w:szCs w:val="36"/>
            </w:rPr>
            <w:t>2</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_Toc16448 </w:instrText>
          </w:r>
          <w:r>
            <w:rPr>
              <w:rFonts w:hint="eastAsia" w:ascii="SimHei" w:hAnsi="SimSun" w:eastAsia="SimHei" w:cs="SimHei"/>
              <w:sz w:val="28"/>
              <w:szCs w:val="56"/>
            </w:rPr>
            <w:fldChar w:fldCharType="separate"/>
          </w:r>
          <w:r>
            <w:rPr>
              <w:rFonts w:hint="eastAsia" w:ascii="SimSun" w:hAnsi="SimSun" w:eastAsia="SimSun" w:cs="SimSun"/>
              <w:bCs/>
              <w:sz w:val="28"/>
              <w:szCs w:val="44"/>
            </w:rPr>
            <w:t>一、本部门职责</w:t>
          </w:r>
          <w:r>
            <w:rPr>
              <w:sz w:val="28"/>
              <w:szCs w:val="36"/>
            </w:rPr>
            <w:tab/>
          </w:r>
          <w:r>
            <w:rPr>
              <w:sz w:val="28"/>
              <w:szCs w:val="36"/>
            </w:rPr>
            <w:fldChar w:fldCharType="begin"/>
          </w:r>
          <w:r>
            <w:rPr>
              <w:sz w:val="28"/>
              <w:szCs w:val="36"/>
            </w:rPr>
            <w:instrText xml:space="preserve"> PAGEREF _Toc16448 \h </w:instrText>
          </w:r>
          <w:r>
            <w:rPr>
              <w:sz w:val="28"/>
              <w:szCs w:val="36"/>
            </w:rPr>
            <w:fldChar w:fldCharType="separate"/>
          </w:r>
          <w:r>
            <w:rPr>
              <w:sz w:val="28"/>
              <w:szCs w:val="36"/>
            </w:rPr>
            <w:t>2</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_Toc6651 </w:instrText>
          </w:r>
          <w:r>
            <w:rPr>
              <w:rFonts w:hint="eastAsia" w:ascii="SimHei" w:hAnsi="SimSun" w:eastAsia="SimHei" w:cs="SimHei"/>
              <w:sz w:val="28"/>
              <w:szCs w:val="56"/>
            </w:rPr>
            <w:fldChar w:fldCharType="separate"/>
          </w:r>
          <w:r>
            <w:rPr>
              <w:rFonts w:hint="eastAsia" w:ascii="SimSun" w:hAnsi="SimSun" w:eastAsia="SimSun" w:cs="SimSun"/>
              <w:bCs/>
              <w:sz w:val="28"/>
              <w:szCs w:val="44"/>
            </w:rPr>
            <w:t>二、机构设置情况</w:t>
          </w:r>
          <w:r>
            <w:rPr>
              <w:sz w:val="28"/>
              <w:szCs w:val="36"/>
            </w:rPr>
            <w:tab/>
          </w:r>
          <w:r>
            <w:rPr>
              <w:sz w:val="28"/>
              <w:szCs w:val="36"/>
            </w:rPr>
            <w:fldChar w:fldCharType="begin"/>
          </w:r>
          <w:r>
            <w:rPr>
              <w:sz w:val="28"/>
              <w:szCs w:val="36"/>
            </w:rPr>
            <w:instrText xml:space="preserve"> PAGEREF _Toc6651 \h </w:instrText>
          </w:r>
          <w:r>
            <w:rPr>
              <w:sz w:val="28"/>
              <w:szCs w:val="36"/>
            </w:rPr>
            <w:fldChar w:fldCharType="separate"/>
          </w:r>
          <w:r>
            <w:rPr>
              <w:sz w:val="28"/>
              <w:szCs w:val="36"/>
            </w:rPr>
            <w:t>2</w:t>
          </w:r>
          <w:r>
            <w:rPr>
              <w:sz w:val="28"/>
              <w:szCs w:val="36"/>
            </w:rPr>
            <w:fldChar w:fldCharType="end"/>
          </w:r>
          <w:r>
            <w:rPr>
              <w:rFonts w:hint="eastAsia" w:ascii="SimHei" w:hAnsi="SimSun" w:eastAsia="SimHei" w:cs="SimHei"/>
              <w:sz w:val="28"/>
              <w:szCs w:val="56"/>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_Toc32441 </w:instrText>
          </w:r>
          <w:r>
            <w:rPr>
              <w:rFonts w:hint="eastAsia" w:ascii="SimHei" w:hAnsi="SimSun" w:eastAsia="SimHei" w:cs="SimHei"/>
              <w:sz w:val="28"/>
              <w:szCs w:val="56"/>
            </w:rPr>
            <w:fldChar w:fldCharType="separate"/>
          </w:r>
          <w:r>
            <w:rPr>
              <w:rFonts w:hint="eastAsia" w:ascii="SimHei" w:hAnsi="SimSun" w:eastAsia="SimHei" w:cs="SimHei"/>
              <w:sz w:val="28"/>
              <w:szCs w:val="44"/>
            </w:rPr>
            <w:t>第二部分 2021年度部门决算报表</w:t>
          </w:r>
          <w:r>
            <w:rPr>
              <w:sz w:val="28"/>
              <w:szCs w:val="36"/>
            </w:rPr>
            <w:tab/>
          </w:r>
          <w:r>
            <w:rPr>
              <w:sz w:val="28"/>
              <w:szCs w:val="36"/>
            </w:rPr>
            <w:fldChar w:fldCharType="begin"/>
          </w:r>
          <w:r>
            <w:rPr>
              <w:sz w:val="28"/>
              <w:szCs w:val="36"/>
            </w:rPr>
            <w:instrText xml:space="preserve"> PAGEREF _Toc32441 \h </w:instrText>
          </w:r>
          <w:r>
            <w:rPr>
              <w:sz w:val="28"/>
              <w:szCs w:val="36"/>
            </w:rPr>
            <w:fldChar w:fldCharType="separate"/>
          </w:r>
          <w:r>
            <w:rPr>
              <w:sz w:val="28"/>
              <w:szCs w:val="36"/>
            </w:rPr>
            <w:t>3</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0" w:leftChars="0" w:firstLine="0" w:firstLineChars="0"/>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_Toc11679 </w:instrText>
          </w:r>
          <w:r>
            <w:rPr>
              <w:rFonts w:hint="eastAsia" w:ascii="SimHei" w:hAnsi="SimSun" w:eastAsia="SimHei" w:cs="SimHei"/>
              <w:sz w:val="28"/>
              <w:szCs w:val="56"/>
            </w:rPr>
            <w:fldChar w:fldCharType="separate"/>
          </w:r>
          <w:r>
            <w:rPr>
              <w:rFonts w:hint="eastAsia" w:ascii="SimHei" w:hAnsi="SimSun" w:eastAsia="SimHei" w:cs="SimHei"/>
              <w:sz w:val="28"/>
              <w:szCs w:val="44"/>
            </w:rPr>
            <w:t>第三部分 2021年度部门决算情况说明</w:t>
          </w:r>
          <w:r>
            <w:rPr>
              <w:sz w:val="28"/>
              <w:szCs w:val="36"/>
            </w:rPr>
            <w:tab/>
          </w:r>
          <w:r>
            <w:rPr>
              <w:sz w:val="28"/>
              <w:szCs w:val="36"/>
            </w:rPr>
            <w:fldChar w:fldCharType="begin"/>
          </w:r>
          <w:r>
            <w:rPr>
              <w:sz w:val="28"/>
              <w:szCs w:val="36"/>
            </w:rPr>
            <w:instrText xml:space="preserve"> PAGEREF _Toc11679 \h </w:instrText>
          </w:r>
          <w:r>
            <w:rPr>
              <w:sz w:val="28"/>
              <w:szCs w:val="36"/>
            </w:rPr>
            <w:fldChar w:fldCharType="separate"/>
          </w:r>
          <w:r>
            <w:rPr>
              <w:sz w:val="28"/>
              <w:szCs w:val="36"/>
            </w:rPr>
            <w:t>4</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_Toc12475 </w:instrText>
          </w:r>
          <w:r>
            <w:rPr>
              <w:rFonts w:hint="eastAsia" w:ascii="SimHei" w:hAnsi="SimSun" w:eastAsia="SimHei" w:cs="SimHei"/>
              <w:sz w:val="28"/>
              <w:szCs w:val="56"/>
            </w:rPr>
            <w:fldChar w:fldCharType="separate"/>
          </w:r>
          <w:r>
            <w:rPr>
              <w:rFonts w:hint="eastAsia" w:asciiTheme="majorEastAsia" w:hAnsiTheme="majorEastAsia" w:eastAsiaTheme="majorEastAsia" w:cstheme="majorEastAsia"/>
              <w:bCs/>
              <w:sz w:val="28"/>
              <w:szCs w:val="44"/>
            </w:rPr>
            <w:t>一、 收入支出决算总体情况说明</w:t>
          </w:r>
          <w:r>
            <w:rPr>
              <w:sz w:val="28"/>
              <w:szCs w:val="36"/>
            </w:rPr>
            <w:tab/>
          </w:r>
          <w:r>
            <w:rPr>
              <w:sz w:val="28"/>
              <w:szCs w:val="36"/>
            </w:rPr>
            <w:fldChar w:fldCharType="begin"/>
          </w:r>
          <w:r>
            <w:rPr>
              <w:sz w:val="28"/>
              <w:szCs w:val="36"/>
            </w:rPr>
            <w:instrText xml:space="preserve"> PAGEREF _Toc12475 \h </w:instrText>
          </w:r>
          <w:r>
            <w:rPr>
              <w:sz w:val="28"/>
              <w:szCs w:val="36"/>
            </w:rPr>
            <w:fldChar w:fldCharType="separate"/>
          </w:r>
          <w:r>
            <w:rPr>
              <w:sz w:val="28"/>
              <w:szCs w:val="36"/>
            </w:rPr>
            <w:t>4</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_Toc17000 </w:instrText>
          </w:r>
          <w:r>
            <w:rPr>
              <w:rFonts w:hint="eastAsia" w:ascii="SimHei" w:hAnsi="SimSun" w:eastAsia="SimHei" w:cs="SimHei"/>
              <w:sz w:val="28"/>
              <w:szCs w:val="56"/>
            </w:rPr>
            <w:fldChar w:fldCharType="separate"/>
          </w:r>
          <w:r>
            <w:rPr>
              <w:rFonts w:hint="eastAsia" w:asciiTheme="majorEastAsia" w:hAnsiTheme="majorEastAsia" w:eastAsiaTheme="majorEastAsia" w:cstheme="majorEastAsia"/>
              <w:bCs/>
              <w:sz w:val="28"/>
              <w:szCs w:val="44"/>
            </w:rPr>
            <w:t>二、 收入决算情况说明</w:t>
          </w:r>
          <w:r>
            <w:rPr>
              <w:sz w:val="28"/>
              <w:szCs w:val="36"/>
            </w:rPr>
            <w:tab/>
          </w:r>
          <w:r>
            <w:rPr>
              <w:sz w:val="28"/>
              <w:szCs w:val="36"/>
            </w:rPr>
            <w:fldChar w:fldCharType="begin"/>
          </w:r>
          <w:r>
            <w:rPr>
              <w:sz w:val="28"/>
              <w:szCs w:val="36"/>
            </w:rPr>
            <w:instrText xml:space="preserve"> PAGEREF _Toc17000 \h </w:instrText>
          </w:r>
          <w:r>
            <w:rPr>
              <w:sz w:val="28"/>
              <w:szCs w:val="36"/>
            </w:rPr>
            <w:fldChar w:fldCharType="separate"/>
          </w:r>
          <w:r>
            <w:rPr>
              <w:sz w:val="28"/>
              <w:szCs w:val="36"/>
            </w:rPr>
            <w:t>4</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_Toc7442 </w:instrText>
          </w:r>
          <w:r>
            <w:rPr>
              <w:rFonts w:hint="eastAsia" w:ascii="SimHei" w:hAnsi="SimSun" w:eastAsia="SimHei" w:cs="SimHei"/>
              <w:sz w:val="28"/>
              <w:szCs w:val="56"/>
            </w:rPr>
            <w:fldChar w:fldCharType="separate"/>
          </w:r>
          <w:r>
            <w:rPr>
              <w:rFonts w:hint="eastAsia" w:asciiTheme="majorEastAsia" w:hAnsiTheme="majorEastAsia" w:eastAsiaTheme="majorEastAsia" w:cstheme="majorEastAsia"/>
              <w:bCs/>
              <w:sz w:val="28"/>
              <w:szCs w:val="44"/>
            </w:rPr>
            <w:t>三、 支出决算情况说明</w:t>
          </w:r>
          <w:r>
            <w:rPr>
              <w:sz w:val="28"/>
              <w:szCs w:val="36"/>
            </w:rPr>
            <w:tab/>
          </w:r>
          <w:r>
            <w:rPr>
              <w:sz w:val="28"/>
              <w:szCs w:val="36"/>
            </w:rPr>
            <w:fldChar w:fldCharType="begin"/>
          </w:r>
          <w:r>
            <w:rPr>
              <w:sz w:val="28"/>
              <w:szCs w:val="36"/>
            </w:rPr>
            <w:instrText xml:space="preserve"> PAGEREF _Toc7442 \h </w:instrText>
          </w:r>
          <w:r>
            <w:rPr>
              <w:sz w:val="28"/>
              <w:szCs w:val="36"/>
            </w:rPr>
            <w:fldChar w:fldCharType="separate"/>
          </w:r>
          <w:r>
            <w:rPr>
              <w:sz w:val="28"/>
              <w:szCs w:val="36"/>
            </w:rPr>
            <w:t>4</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_Toc31736 </w:instrText>
          </w:r>
          <w:r>
            <w:rPr>
              <w:rFonts w:hint="eastAsia" w:ascii="SimHei" w:hAnsi="SimSun" w:eastAsia="SimHei" w:cs="SimHei"/>
              <w:sz w:val="28"/>
              <w:szCs w:val="56"/>
            </w:rPr>
            <w:fldChar w:fldCharType="separate"/>
          </w:r>
          <w:r>
            <w:rPr>
              <w:rFonts w:hint="eastAsia" w:asciiTheme="majorEastAsia" w:hAnsiTheme="majorEastAsia" w:eastAsiaTheme="majorEastAsia" w:cstheme="majorEastAsia"/>
              <w:bCs/>
              <w:sz w:val="28"/>
              <w:szCs w:val="44"/>
            </w:rPr>
            <w:t>四、 财政拨款收入支出决算总体情况说明</w:t>
          </w:r>
          <w:r>
            <w:rPr>
              <w:sz w:val="28"/>
              <w:szCs w:val="36"/>
            </w:rPr>
            <w:tab/>
          </w:r>
          <w:r>
            <w:rPr>
              <w:sz w:val="28"/>
              <w:szCs w:val="36"/>
            </w:rPr>
            <w:fldChar w:fldCharType="begin"/>
          </w:r>
          <w:r>
            <w:rPr>
              <w:sz w:val="28"/>
              <w:szCs w:val="36"/>
            </w:rPr>
            <w:instrText xml:space="preserve"> PAGEREF _Toc31736 \h </w:instrText>
          </w:r>
          <w:r>
            <w:rPr>
              <w:sz w:val="28"/>
              <w:szCs w:val="36"/>
            </w:rPr>
            <w:fldChar w:fldCharType="separate"/>
          </w:r>
          <w:r>
            <w:rPr>
              <w:sz w:val="28"/>
              <w:szCs w:val="36"/>
            </w:rPr>
            <w:t>4</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_Toc30922 </w:instrText>
          </w:r>
          <w:r>
            <w:rPr>
              <w:rFonts w:hint="eastAsia" w:ascii="SimHei" w:hAnsi="SimSun" w:eastAsia="SimHei" w:cs="SimHei"/>
              <w:sz w:val="28"/>
              <w:szCs w:val="56"/>
            </w:rPr>
            <w:fldChar w:fldCharType="separate"/>
          </w:r>
          <w:r>
            <w:rPr>
              <w:rFonts w:hint="eastAsia" w:asciiTheme="majorEastAsia" w:hAnsiTheme="majorEastAsia" w:eastAsiaTheme="majorEastAsia" w:cstheme="majorEastAsia"/>
              <w:bCs/>
              <w:sz w:val="28"/>
              <w:szCs w:val="44"/>
            </w:rPr>
            <w:t>五、 一般公共预算财政拨款支出决算情况说明</w:t>
          </w:r>
          <w:r>
            <w:rPr>
              <w:sz w:val="28"/>
              <w:szCs w:val="36"/>
            </w:rPr>
            <w:tab/>
          </w:r>
          <w:r>
            <w:rPr>
              <w:sz w:val="28"/>
              <w:szCs w:val="36"/>
            </w:rPr>
            <w:fldChar w:fldCharType="begin"/>
          </w:r>
          <w:r>
            <w:rPr>
              <w:sz w:val="28"/>
              <w:szCs w:val="36"/>
            </w:rPr>
            <w:instrText xml:space="preserve"> PAGEREF _Toc30922 \h </w:instrText>
          </w:r>
          <w:r>
            <w:rPr>
              <w:sz w:val="28"/>
              <w:szCs w:val="36"/>
            </w:rPr>
            <w:fldChar w:fldCharType="separate"/>
          </w:r>
          <w:r>
            <w:rPr>
              <w:sz w:val="28"/>
              <w:szCs w:val="36"/>
            </w:rPr>
            <w:t>5</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_Toc17205 </w:instrText>
          </w:r>
          <w:r>
            <w:rPr>
              <w:rFonts w:hint="eastAsia" w:ascii="SimHei" w:hAnsi="SimSun" w:eastAsia="SimHei" w:cs="SimHei"/>
              <w:sz w:val="28"/>
              <w:szCs w:val="56"/>
            </w:rPr>
            <w:fldChar w:fldCharType="separate"/>
          </w:r>
          <w:r>
            <w:rPr>
              <w:rFonts w:hint="eastAsia" w:asciiTheme="majorEastAsia" w:hAnsiTheme="majorEastAsia" w:eastAsiaTheme="majorEastAsia" w:cstheme="majorEastAsia"/>
              <w:bCs/>
              <w:sz w:val="28"/>
              <w:szCs w:val="44"/>
            </w:rPr>
            <w:t>（</w:t>
          </w:r>
          <w:r>
            <w:rPr>
              <w:rFonts w:hint="eastAsia" w:ascii="仿宋_GB2312" w:hAnsi="仿宋_GB2312" w:eastAsia="仿宋_GB2312"/>
              <w:sz w:val="28"/>
              <w:szCs w:val="36"/>
            </w:rPr>
            <w:t>一）一般公共预算财政拨款支出决算总体情况</w:t>
          </w:r>
          <w:r>
            <w:rPr>
              <w:sz w:val="28"/>
              <w:szCs w:val="36"/>
            </w:rPr>
            <w:tab/>
          </w:r>
          <w:r>
            <w:rPr>
              <w:sz w:val="28"/>
              <w:szCs w:val="36"/>
            </w:rPr>
            <w:fldChar w:fldCharType="begin"/>
          </w:r>
          <w:r>
            <w:rPr>
              <w:sz w:val="28"/>
              <w:szCs w:val="36"/>
            </w:rPr>
            <w:instrText xml:space="preserve"> PAGEREF _Toc17205 \h </w:instrText>
          </w:r>
          <w:r>
            <w:rPr>
              <w:sz w:val="28"/>
              <w:szCs w:val="36"/>
            </w:rPr>
            <w:fldChar w:fldCharType="separate"/>
          </w:r>
          <w:r>
            <w:rPr>
              <w:sz w:val="28"/>
              <w:szCs w:val="36"/>
            </w:rPr>
            <w:t>5</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_Toc14591 </w:instrText>
          </w:r>
          <w:r>
            <w:rPr>
              <w:rFonts w:hint="eastAsia" w:ascii="SimHei" w:hAnsi="SimSun" w:eastAsia="SimHei" w:cs="SimHei"/>
              <w:sz w:val="28"/>
              <w:szCs w:val="56"/>
            </w:rPr>
            <w:fldChar w:fldCharType="separate"/>
          </w:r>
          <w:r>
            <w:rPr>
              <w:rFonts w:hint="eastAsia" w:ascii="仿宋_GB2312" w:hAnsi="仿宋_GB2312" w:eastAsia="仿宋_GB2312"/>
              <w:sz w:val="28"/>
              <w:szCs w:val="36"/>
            </w:rPr>
            <w:t>（二） 一般公共预算财政拨款支出决算结构情况</w:t>
          </w:r>
          <w:r>
            <w:rPr>
              <w:sz w:val="28"/>
              <w:szCs w:val="36"/>
            </w:rPr>
            <w:tab/>
          </w:r>
          <w:r>
            <w:rPr>
              <w:sz w:val="28"/>
              <w:szCs w:val="36"/>
            </w:rPr>
            <w:fldChar w:fldCharType="begin"/>
          </w:r>
          <w:r>
            <w:rPr>
              <w:sz w:val="28"/>
              <w:szCs w:val="36"/>
            </w:rPr>
            <w:instrText xml:space="preserve"> PAGEREF _Toc14591 \h </w:instrText>
          </w:r>
          <w:r>
            <w:rPr>
              <w:sz w:val="28"/>
              <w:szCs w:val="36"/>
            </w:rPr>
            <w:fldChar w:fldCharType="separate"/>
          </w:r>
          <w:r>
            <w:rPr>
              <w:sz w:val="28"/>
              <w:szCs w:val="36"/>
            </w:rPr>
            <w:t>5</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_Toc20851 </w:instrText>
          </w:r>
          <w:r>
            <w:rPr>
              <w:rFonts w:hint="eastAsia" w:ascii="SimHei" w:hAnsi="SimSun" w:eastAsia="SimHei" w:cs="SimHei"/>
              <w:sz w:val="28"/>
              <w:szCs w:val="56"/>
            </w:rPr>
            <w:fldChar w:fldCharType="separate"/>
          </w:r>
          <w:r>
            <w:rPr>
              <w:rFonts w:hint="eastAsia" w:ascii="仿宋_GB2312" w:hAnsi="仿宋_GB2312" w:eastAsia="仿宋_GB2312"/>
              <w:sz w:val="28"/>
              <w:szCs w:val="36"/>
            </w:rPr>
            <w:t>（三） 财政拨款支出决算具体情况</w:t>
          </w:r>
          <w:r>
            <w:rPr>
              <w:sz w:val="28"/>
              <w:szCs w:val="36"/>
            </w:rPr>
            <w:tab/>
          </w:r>
          <w:r>
            <w:rPr>
              <w:sz w:val="28"/>
              <w:szCs w:val="36"/>
            </w:rPr>
            <w:fldChar w:fldCharType="begin"/>
          </w:r>
          <w:r>
            <w:rPr>
              <w:sz w:val="28"/>
              <w:szCs w:val="36"/>
            </w:rPr>
            <w:instrText xml:space="preserve"> PAGEREF _Toc20851 \h </w:instrText>
          </w:r>
          <w:r>
            <w:rPr>
              <w:sz w:val="28"/>
              <w:szCs w:val="36"/>
            </w:rPr>
            <w:fldChar w:fldCharType="separate"/>
          </w:r>
          <w:r>
            <w:rPr>
              <w:sz w:val="28"/>
              <w:szCs w:val="36"/>
            </w:rPr>
            <w:t>5</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_Toc28620 </w:instrText>
          </w:r>
          <w:r>
            <w:rPr>
              <w:rFonts w:hint="eastAsia" w:ascii="SimHei" w:hAnsi="SimSun" w:eastAsia="SimHei" w:cs="SimHei"/>
              <w:sz w:val="28"/>
              <w:szCs w:val="56"/>
            </w:rPr>
            <w:fldChar w:fldCharType="separate"/>
          </w:r>
          <w:r>
            <w:rPr>
              <w:rFonts w:hint="eastAsia" w:asciiTheme="majorEastAsia" w:hAnsiTheme="majorEastAsia" w:eastAsiaTheme="majorEastAsia" w:cstheme="majorEastAsia"/>
              <w:bCs/>
              <w:sz w:val="28"/>
              <w:szCs w:val="44"/>
            </w:rPr>
            <w:t>六、一般公共预算财政拨款基本支出决算情况说明</w:t>
          </w:r>
          <w:r>
            <w:rPr>
              <w:sz w:val="28"/>
              <w:szCs w:val="36"/>
            </w:rPr>
            <w:tab/>
          </w:r>
          <w:r>
            <w:rPr>
              <w:sz w:val="28"/>
              <w:szCs w:val="36"/>
            </w:rPr>
            <w:fldChar w:fldCharType="begin"/>
          </w:r>
          <w:r>
            <w:rPr>
              <w:sz w:val="28"/>
              <w:szCs w:val="36"/>
            </w:rPr>
            <w:instrText xml:space="preserve"> PAGEREF _Toc28620 \h </w:instrText>
          </w:r>
          <w:r>
            <w:rPr>
              <w:sz w:val="28"/>
              <w:szCs w:val="36"/>
            </w:rPr>
            <w:fldChar w:fldCharType="separate"/>
          </w:r>
          <w:r>
            <w:rPr>
              <w:sz w:val="28"/>
              <w:szCs w:val="36"/>
            </w:rPr>
            <w:t>6</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_Toc7699 </w:instrText>
          </w:r>
          <w:r>
            <w:rPr>
              <w:rFonts w:hint="eastAsia" w:ascii="SimHei" w:hAnsi="SimSun" w:eastAsia="SimHei" w:cs="SimHei"/>
              <w:sz w:val="28"/>
              <w:szCs w:val="56"/>
            </w:rPr>
            <w:fldChar w:fldCharType="separate"/>
          </w:r>
          <w:r>
            <w:rPr>
              <w:rFonts w:hint="eastAsia" w:asciiTheme="majorEastAsia" w:hAnsiTheme="majorEastAsia" w:eastAsiaTheme="majorEastAsia" w:cstheme="majorEastAsia"/>
              <w:bCs/>
              <w:sz w:val="28"/>
              <w:szCs w:val="44"/>
              <w:lang w:eastAsia="zh-CN"/>
            </w:rPr>
            <w:t>七、</w:t>
          </w:r>
          <w:r>
            <w:rPr>
              <w:rFonts w:hint="eastAsia" w:asciiTheme="majorEastAsia" w:hAnsiTheme="majorEastAsia" w:eastAsiaTheme="majorEastAsia" w:cstheme="majorEastAsia"/>
              <w:bCs/>
              <w:sz w:val="28"/>
              <w:szCs w:val="44"/>
            </w:rPr>
            <w:t>一般公共预算财政拨款三公经费支出决算情况说明</w:t>
          </w:r>
          <w:r>
            <w:rPr>
              <w:sz w:val="28"/>
              <w:szCs w:val="36"/>
            </w:rPr>
            <w:tab/>
          </w:r>
          <w:r>
            <w:rPr>
              <w:sz w:val="28"/>
              <w:szCs w:val="36"/>
            </w:rPr>
            <w:fldChar w:fldCharType="begin"/>
          </w:r>
          <w:r>
            <w:rPr>
              <w:sz w:val="28"/>
              <w:szCs w:val="36"/>
            </w:rPr>
            <w:instrText xml:space="preserve"> PAGEREF _Toc7699 \h </w:instrText>
          </w:r>
          <w:r>
            <w:rPr>
              <w:sz w:val="28"/>
              <w:szCs w:val="36"/>
            </w:rPr>
            <w:fldChar w:fldCharType="separate"/>
          </w:r>
          <w:r>
            <w:rPr>
              <w:sz w:val="28"/>
              <w:szCs w:val="36"/>
            </w:rPr>
            <w:t>6</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_Toc30206 </w:instrText>
          </w:r>
          <w:r>
            <w:rPr>
              <w:rFonts w:hint="eastAsia" w:ascii="SimHei" w:hAnsi="SimSun" w:eastAsia="SimHei" w:cs="SimHei"/>
              <w:sz w:val="28"/>
              <w:szCs w:val="56"/>
            </w:rPr>
            <w:fldChar w:fldCharType="separate"/>
          </w:r>
          <w:r>
            <w:rPr>
              <w:rFonts w:hint="eastAsia" w:ascii="仿宋_GB2312" w:hAnsi="仿宋_GB2312" w:eastAsia="仿宋_GB2312"/>
              <w:bCs/>
              <w:sz w:val="28"/>
              <w:szCs w:val="36"/>
            </w:rPr>
            <w:t>（一）“三公”经费财政拨款支出决算总体情况说明：</w:t>
          </w:r>
          <w:r>
            <w:rPr>
              <w:sz w:val="28"/>
              <w:szCs w:val="36"/>
            </w:rPr>
            <w:tab/>
          </w:r>
          <w:r>
            <w:rPr>
              <w:sz w:val="28"/>
              <w:szCs w:val="36"/>
            </w:rPr>
            <w:fldChar w:fldCharType="begin"/>
          </w:r>
          <w:r>
            <w:rPr>
              <w:sz w:val="28"/>
              <w:szCs w:val="36"/>
            </w:rPr>
            <w:instrText xml:space="preserve"> PAGEREF _Toc30206 \h </w:instrText>
          </w:r>
          <w:r>
            <w:rPr>
              <w:sz w:val="28"/>
              <w:szCs w:val="36"/>
            </w:rPr>
            <w:fldChar w:fldCharType="separate"/>
          </w:r>
          <w:r>
            <w:rPr>
              <w:sz w:val="28"/>
              <w:szCs w:val="36"/>
            </w:rPr>
            <w:t>7</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_Toc2539 </w:instrText>
          </w:r>
          <w:r>
            <w:rPr>
              <w:rFonts w:hint="eastAsia" w:ascii="SimHei" w:hAnsi="SimSun" w:eastAsia="SimHei" w:cs="SimHei"/>
              <w:sz w:val="28"/>
              <w:szCs w:val="56"/>
            </w:rPr>
            <w:fldChar w:fldCharType="separate"/>
          </w:r>
          <w:r>
            <w:rPr>
              <w:rFonts w:hint="eastAsia" w:ascii="仿宋_GB2312" w:hAnsi="仿宋_GB2312" w:eastAsia="仿宋_GB2312"/>
              <w:bCs/>
              <w:sz w:val="28"/>
              <w:szCs w:val="36"/>
            </w:rPr>
            <w:t>（二）“三公”经费财政拨款支出决算具体情况说明：</w:t>
          </w:r>
          <w:r>
            <w:rPr>
              <w:sz w:val="28"/>
              <w:szCs w:val="36"/>
            </w:rPr>
            <w:tab/>
          </w:r>
          <w:r>
            <w:rPr>
              <w:sz w:val="28"/>
              <w:szCs w:val="36"/>
            </w:rPr>
            <w:fldChar w:fldCharType="begin"/>
          </w:r>
          <w:r>
            <w:rPr>
              <w:sz w:val="28"/>
              <w:szCs w:val="36"/>
            </w:rPr>
            <w:instrText xml:space="preserve"> PAGEREF _Toc2539 \h </w:instrText>
          </w:r>
          <w:r>
            <w:rPr>
              <w:sz w:val="28"/>
              <w:szCs w:val="36"/>
            </w:rPr>
            <w:fldChar w:fldCharType="separate"/>
          </w:r>
          <w:r>
            <w:rPr>
              <w:sz w:val="28"/>
              <w:szCs w:val="36"/>
            </w:rPr>
            <w:t>7</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_Toc28488 </w:instrText>
          </w:r>
          <w:r>
            <w:rPr>
              <w:rFonts w:hint="eastAsia" w:ascii="SimHei" w:hAnsi="SimSun" w:eastAsia="SimHei" w:cs="SimHei"/>
              <w:sz w:val="28"/>
              <w:szCs w:val="56"/>
            </w:rPr>
            <w:fldChar w:fldCharType="separate"/>
          </w:r>
          <w:r>
            <w:rPr>
              <w:rFonts w:hint="eastAsia" w:asciiTheme="majorEastAsia" w:hAnsiTheme="majorEastAsia" w:eastAsiaTheme="majorEastAsia" w:cstheme="majorEastAsia"/>
              <w:bCs/>
              <w:sz w:val="28"/>
              <w:szCs w:val="44"/>
              <w:lang w:eastAsia="zh-CN"/>
            </w:rPr>
            <w:t>八、政府性基金预算财政拨款收入支出决算情况说明</w:t>
          </w:r>
          <w:r>
            <w:rPr>
              <w:sz w:val="28"/>
              <w:szCs w:val="36"/>
            </w:rPr>
            <w:tab/>
          </w:r>
          <w:r>
            <w:rPr>
              <w:sz w:val="28"/>
              <w:szCs w:val="36"/>
            </w:rPr>
            <w:fldChar w:fldCharType="begin"/>
          </w:r>
          <w:r>
            <w:rPr>
              <w:sz w:val="28"/>
              <w:szCs w:val="36"/>
            </w:rPr>
            <w:instrText xml:space="preserve"> PAGEREF _Toc28488 \h </w:instrText>
          </w:r>
          <w:r>
            <w:rPr>
              <w:sz w:val="28"/>
              <w:szCs w:val="36"/>
            </w:rPr>
            <w:fldChar w:fldCharType="separate"/>
          </w:r>
          <w:r>
            <w:rPr>
              <w:sz w:val="28"/>
              <w:szCs w:val="36"/>
            </w:rPr>
            <w:t>7</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_Toc16186 </w:instrText>
          </w:r>
          <w:r>
            <w:rPr>
              <w:rFonts w:hint="eastAsia" w:ascii="SimHei" w:hAnsi="SimSun" w:eastAsia="SimHei" w:cs="SimHei"/>
              <w:sz w:val="28"/>
              <w:szCs w:val="56"/>
            </w:rPr>
            <w:fldChar w:fldCharType="separate"/>
          </w:r>
          <w:r>
            <w:rPr>
              <w:rFonts w:hint="eastAsia" w:asciiTheme="majorEastAsia" w:hAnsiTheme="majorEastAsia" w:eastAsiaTheme="majorEastAsia" w:cstheme="majorEastAsia"/>
              <w:bCs/>
              <w:sz w:val="28"/>
              <w:szCs w:val="44"/>
              <w:lang w:eastAsia="zh-CN"/>
            </w:rPr>
            <w:t>九</w:t>
          </w:r>
          <w:r>
            <w:rPr>
              <w:rFonts w:hint="eastAsia" w:asciiTheme="majorEastAsia" w:hAnsiTheme="majorEastAsia" w:eastAsiaTheme="majorEastAsia" w:cstheme="majorEastAsia"/>
              <w:bCs/>
              <w:sz w:val="28"/>
              <w:szCs w:val="44"/>
            </w:rPr>
            <w:t>、其他重要事项情况说明</w:t>
          </w:r>
          <w:r>
            <w:rPr>
              <w:sz w:val="28"/>
              <w:szCs w:val="36"/>
            </w:rPr>
            <w:tab/>
          </w:r>
          <w:r>
            <w:rPr>
              <w:sz w:val="28"/>
              <w:szCs w:val="36"/>
            </w:rPr>
            <w:fldChar w:fldCharType="begin"/>
          </w:r>
          <w:r>
            <w:rPr>
              <w:sz w:val="28"/>
              <w:szCs w:val="36"/>
            </w:rPr>
            <w:instrText xml:space="preserve"> PAGEREF _Toc16186 \h </w:instrText>
          </w:r>
          <w:r>
            <w:rPr>
              <w:sz w:val="28"/>
              <w:szCs w:val="36"/>
            </w:rPr>
            <w:fldChar w:fldCharType="separate"/>
          </w:r>
          <w:r>
            <w:rPr>
              <w:sz w:val="28"/>
              <w:szCs w:val="36"/>
            </w:rPr>
            <w:t>7</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_Toc25847 </w:instrText>
          </w:r>
          <w:r>
            <w:rPr>
              <w:rFonts w:hint="eastAsia" w:ascii="SimHei" w:hAnsi="SimSun" w:eastAsia="SimHei" w:cs="SimHei"/>
              <w:sz w:val="28"/>
              <w:szCs w:val="56"/>
            </w:rPr>
            <w:fldChar w:fldCharType="separate"/>
          </w:r>
          <w:r>
            <w:rPr>
              <w:rFonts w:hint="eastAsia" w:ascii="仿宋_GB2312" w:hAnsi="仿宋_GB2312" w:eastAsia="仿宋_GB2312"/>
              <w:sz w:val="28"/>
              <w:szCs w:val="36"/>
            </w:rPr>
            <w:t>（一）机关运行经费支出说明</w:t>
          </w:r>
          <w:r>
            <w:rPr>
              <w:sz w:val="28"/>
              <w:szCs w:val="36"/>
            </w:rPr>
            <w:tab/>
          </w:r>
          <w:r>
            <w:rPr>
              <w:sz w:val="28"/>
              <w:szCs w:val="36"/>
            </w:rPr>
            <w:fldChar w:fldCharType="begin"/>
          </w:r>
          <w:r>
            <w:rPr>
              <w:sz w:val="28"/>
              <w:szCs w:val="36"/>
            </w:rPr>
            <w:instrText xml:space="preserve"> PAGEREF _Toc25847 \h </w:instrText>
          </w:r>
          <w:r>
            <w:rPr>
              <w:sz w:val="28"/>
              <w:szCs w:val="36"/>
            </w:rPr>
            <w:fldChar w:fldCharType="separate"/>
          </w:r>
          <w:r>
            <w:rPr>
              <w:sz w:val="28"/>
              <w:szCs w:val="36"/>
            </w:rPr>
            <w:t>7</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_Toc12790 </w:instrText>
          </w:r>
          <w:r>
            <w:rPr>
              <w:rFonts w:hint="eastAsia" w:ascii="SimHei" w:hAnsi="SimSun" w:eastAsia="SimHei" w:cs="SimHei"/>
              <w:sz w:val="28"/>
              <w:szCs w:val="56"/>
            </w:rPr>
            <w:fldChar w:fldCharType="separate"/>
          </w:r>
          <w:r>
            <w:rPr>
              <w:rFonts w:hint="eastAsia" w:ascii="仿宋_GB2312" w:hAnsi="仿宋_GB2312" w:eastAsia="仿宋_GB2312"/>
              <w:sz w:val="28"/>
              <w:szCs w:val="36"/>
            </w:rPr>
            <w:t>（二）政府采购情况说明</w:t>
          </w:r>
          <w:r>
            <w:rPr>
              <w:sz w:val="28"/>
              <w:szCs w:val="36"/>
            </w:rPr>
            <w:tab/>
          </w:r>
          <w:r>
            <w:rPr>
              <w:sz w:val="28"/>
              <w:szCs w:val="36"/>
            </w:rPr>
            <w:fldChar w:fldCharType="begin"/>
          </w:r>
          <w:r>
            <w:rPr>
              <w:sz w:val="28"/>
              <w:szCs w:val="36"/>
            </w:rPr>
            <w:instrText xml:space="preserve"> PAGEREF _Toc12790 \h </w:instrText>
          </w:r>
          <w:r>
            <w:rPr>
              <w:sz w:val="28"/>
              <w:szCs w:val="36"/>
            </w:rPr>
            <w:fldChar w:fldCharType="separate"/>
          </w:r>
          <w:r>
            <w:rPr>
              <w:sz w:val="28"/>
              <w:szCs w:val="36"/>
            </w:rPr>
            <w:t>8</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_Toc21379 </w:instrText>
          </w:r>
          <w:r>
            <w:rPr>
              <w:rFonts w:hint="eastAsia" w:ascii="SimHei" w:hAnsi="SimSun" w:eastAsia="SimHei" w:cs="SimHei"/>
              <w:sz w:val="28"/>
              <w:szCs w:val="56"/>
            </w:rPr>
            <w:fldChar w:fldCharType="separate"/>
          </w:r>
          <w:r>
            <w:rPr>
              <w:rFonts w:hint="eastAsia" w:ascii="仿宋_GB2312" w:hAnsi="仿宋_GB2312" w:eastAsia="仿宋_GB2312"/>
              <w:sz w:val="28"/>
              <w:szCs w:val="36"/>
            </w:rPr>
            <w:t>（三）国有资产占有情况说明</w:t>
          </w:r>
          <w:r>
            <w:rPr>
              <w:sz w:val="28"/>
              <w:szCs w:val="36"/>
            </w:rPr>
            <w:tab/>
          </w:r>
          <w:r>
            <w:rPr>
              <w:sz w:val="28"/>
              <w:szCs w:val="36"/>
            </w:rPr>
            <w:fldChar w:fldCharType="begin"/>
          </w:r>
          <w:r>
            <w:rPr>
              <w:sz w:val="28"/>
              <w:szCs w:val="36"/>
            </w:rPr>
            <w:instrText xml:space="preserve"> PAGEREF _Toc21379 \h </w:instrText>
          </w:r>
          <w:r>
            <w:rPr>
              <w:sz w:val="28"/>
              <w:szCs w:val="36"/>
            </w:rPr>
            <w:fldChar w:fldCharType="separate"/>
          </w:r>
          <w:r>
            <w:rPr>
              <w:sz w:val="28"/>
              <w:szCs w:val="36"/>
            </w:rPr>
            <w:t>8</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_Toc19373 </w:instrText>
          </w:r>
          <w:r>
            <w:rPr>
              <w:rFonts w:hint="eastAsia" w:ascii="SimHei" w:hAnsi="SimSun" w:eastAsia="SimHei" w:cs="SimHei"/>
              <w:sz w:val="28"/>
              <w:szCs w:val="56"/>
            </w:rPr>
            <w:fldChar w:fldCharType="separate"/>
          </w:r>
          <w:r>
            <w:rPr>
              <w:rFonts w:hint="eastAsia" w:ascii="仿宋_GB2312" w:hAnsi="仿宋_GB2312" w:eastAsia="仿宋_GB2312"/>
              <w:sz w:val="28"/>
              <w:szCs w:val="36"/>
            </w:rPr>
            <w:t>（四）预算绩效情况说明</w:t>
          </w:r>
          <w:r>
            <w:rPr>
              <w:sz w:val="28"/>
              <w:szCs w:val="36"/>
            </w:rPr>
            <w:tab/>
          </w:r>
          <w:r>
            <w:rPr>
              <w:sz w:val="28"/>
              <w:szCs w:val="36"/>
            </w:rPr>
            <w:fldChar w:fldCharType="begin"/>
          </w:r>
          <w:r>
            <w:rPr>
              <w:sz w:val="28"/>
              <w:szCs w:val="36"/>
            </w:rPr>
            <w:instrText xml:space="preserve"> PAGEREF _Toc19373 \h </w:instrText>
          </w:r>
          <w:r>
            <w:rPr>
              <w:sz w:val="28"/>
              <w:szCs w:val="36"/>
            </w:rPr>
            <w:fldChar w:fldCharType="separate"/>
          </w:r>
          <w:r>
            <w:rPr>
              <w:sz w:val="28"/>
              <w:szCs w:val="36"/>
            </w:rPr>
            <w:t>8</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0" w:leftChars="0" w:firstLine="0" w:firstLineChars="0"/>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_Toc10607 </w:instrText>
          </w:r>
          <w:r>
            <w:rPr>
              <w:rFonts w:hint="eastAsia" w:ascii="SimHei" w:hAnsi="SimSun" w:eastAsia="SimHei" w:cs="SimHei"/>
              <w:sz w:val="28"/>
              <w:szCs w:val="56"/>
            </w:rPr>
            <w:fldChar w:fldCharType="separate"/>
          </w:r>
          <w:r>
            <w:rPr>
              <w:rFonts w:hint="eastAsia" w:ascii="SimHei" w:hAnsi="SimSun" w:eastAsia="SimHei" w:cs="SimHei"/>
              <w:sz w:val="28"/>
              <w:szCs w:val="44"/>
            </w:rPr>
            <w:t>第四部分 名词解释</w:t>
          </w:r>
          <w:r>
            <w:rPr>
              <w:sz w:val="28"/>
              <w:szCs w:val="36"/>
            </w:rPr>
            <w:tab/>
          </w:r>
          <w:r>
            <w:rPr>
              <w:sz w:val="28"/>
              <w:szCs w:val="36"/>
            </w:rPr>
            <w:fldChar w:fldCharType="begin"/>
          </w:r>
          <w:r>
            <w:rPr>
              <w:sz w:val="28"/>
              <w:szCs w:val="36"/>
            </w:rPr>
            <w:instrText xml:space="preserve"> PAGEREF _Toc10607 \h </w:instrText>
          </w:r>
          <w:r>
            <w:rPr>
              <w:sz w:val="28"/>
              <w:szCs w:val="36"/>
            </w:rPr>
            <w:fldChar w:fldCharType="separate"/>
          </w:r>
          <w:r>
            <w:rPr>
              <w:sz w:val="28"/>
              <w:szCs w:val="36"/>
            </w:rPr>
            <w:t>16</w:t>
          </w:r>
          <w:r>
            <w:rPr>
              <w:sz w:val="28"/>
              <w:szCs w:val="36"/>
            </w:rPr>
            <w:fldChar w:fldCharType="end"/>
          </w:r>
          <w:r>
            <w:rPr>
              <w:rFonts w:hint="eastAsia" w:ascii="SimHei" w:hAnsi="SimSun" w:eastAsia="SimHei" w:cs="SimHei"/>
              <w:sz w:val="28"/>
              <w:szCs w:val="56"/>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_Toc26454 </w:instrText>
          </w:r>
          <w:r>
            <w:rPr>
              <w:rFonts w:hint="eastAsia" w:ascii="SimHei" w:hAnsi="SimSun" w:eastAsia="SimHei" w:cs="SimHei"/>
              <w:sz w:val="28"/>
              <w:szCs w:val="56"/>
            </w:rPr>
            <w:fldChar w:fldCharType="separate"/>
          </w:r>
          <w:r>
            <w:rPr>
              <w:rFonts w:hint="eastAsia" w:ascii="仿宋_GB2312" w:hAnsi="仿宋_GB2312" w:eastAsia="仿宋_GB2312"/>
              <w:sz w:val="28"/>
              <w:szCs w:val="36"/>
            </w:rPr>
            <w:t>一、财政拨款收入：指单位从同级财政部门取得的财政预算资金。</w:t>
          </w:r>
          <w:r>
            <w:rPr>
              <w:sz w:val="28"/>
              <w:szCs w:val="36"/>
            </w:rPr>
            <w:tab/>
          </w:r>
          <w:r>
            <w:rPr>
              <w:sz w:val="28"/>
              <w:szCs w:val="36"/>
            </w:rPr>
            <w:fldChar w:fldCharType="begin"/>
          </w:r>
          <w:r>
            <w:rPr>
              <w:sz w:val="28"/>
              <w:szCs w:val="36"/>
            </w:rPr>
            <w:instrText xml:space="preserve"> PAGEREF _Toc26454 \h </w:instrText>
          </w:r>
          <w:r>
            <w:rPr>
              <w:sz w:val="28"/>
              <w:szCs w:val="36"/>
            </w:rPr>
            <w:fldChar w:fldCharType="separate"/>
          </w:r>
          <w:r>
            <w:rPr>
              <w:sz w:val="28"/>
              <w:szCs w:val="36"/>
            </w:rPr>
            <w:t>16</w:t>
          </w:r>
          <w:r>
            <w:rPr>
              <w:sz w:val="28"/>
              <w:szCs w:val="36"/>
            </w:rPr>
            <w:fldChar w:fldCharType="end"/>
          </w:r>
          <w:r>
            <w:rPr>
              <w:rFonts w:hint="eastAsia" w:ascii="SimHei" w:hAnsi="SimSun" w:eastAsia="SimHei" w:cs="SimHei"/>
              <w:sz w:val="28"/>
              <w:szCs w:val="5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0" w:leftChars="0" w:firstLine="0" w:firstLineChars="0"/>
            <w:textAlignment w:val="auto"/>
            <w:rPr>
              <w:sz w:val="28"/>
              <w:szCs w:val="36"/>
            </w:rPr>
          </w:pPr>
          <w:r>
            <w:rPr>
              <w:rFonts w:hint="eastAsia" w:ascii="SimHei" w:hAnsi="SimSun" w:eastAsia="SimHei" w:cs="SimHei"/>
              <w:sz w:val="28"/>
              <w:szCs w:val="56"/>
            </w:rPr>
            <w:fldChar w:fldCharType="begin"/>
          </w:r>
          <w:r>
            <w:rPr>
              <w:rFonts w:hint="eastAsia" w:ascii="SimHei" w:hAnsi="SimSun" w:eastAsia="SimHei" w:cs="SimHei"/>
              <w:sz w:val="28"/>
              <w:szCs w:val="56"/>
            </w:rPr>
            <w:instrText xml:space="preserve"> HYPERLINK \l _Toc27217 </w:instrText>
          </w:r>
          <w:r>
            <w:rPr>
              <w:rFonts w:hint="eastAsia" w:ascii="SimHei" w:hAnsi="SimSun" w:eastAsia="SimHei" w:cs="SimHei"/>
              <w:sz w:val="28"/>
              <w:szCs w:val="56"/>
            </w:rPr>
            <w:fldChar w:fldCharType="separate"/>
          </w:r>
          <w:r>
            <w:rPr>
              <w:rFonts w:hint="eastAsia" w:ascii="SimHei" w:hAnsi="SimSun" w:eastAsia="SimHei" w:cs="SimHei"/>
              <w:sz w:val="28"/>
              <w:szCs w:val="44"/>
              <w:lang w:eastAsia="zh-CN"/>
            </w:rPr>
            <w:t>第五部分</w:t>
          </w:r>
          <w:r>
            <w:rPr>
              <w:rFonts w:hint="eastAsia" w:ascii="SimHei" w:hAnsi="SimSun" w:eastAsia="SimHei" w:cs="SimHei"/>
              <w:sz w:val="28"/>
              <w:szCs w:val="44"/>
              <w:lang w:val="en-US" w:eastAsia="zh-CN"/>
            </w:rPr>
            <w:t xml:space="preserve">  附件</w:t>
          </w:r>
          <w:r>
            <w:rPr>
              <w:sz w:val="28"/>
              <w:szCs w:val="36"/>
            </w:rPr>
            <w:tab/>
          </w:r>
          <w:r>
            <w:rPr>
              <w:sz w:val="28"/>
              <w:szCs w:val="36"/>
            </w:rPr>
            <w:fldChar w:fldCharType="begin"/>
          </w:r>
          <w:r>
            <w:rPr>
              <w:sz w:val="28"/>
              <w:szCs w:val="36"/>
            </w:rPr>
            <w:instrText xml:space="preserve"> PAGEREF _Toc27217 \h </w:instrText>
          </w:r>
          <w:r>
            <w:rPr>
              <w:sz w:val="28"/>
              <w:szCs w:val="36"/>
            </w:rPr>
            <w:fldChar w:fldCharType="separate"/>
          </w:r>
          <w:r>
            <w:rPr>
              <w:sz w:val="28"/>
              <w:szCs w:val="36"/>
            </w:rPr>
            <w:t>17</w:t>
          </w:r>
          <w:r>
            <w:rPr>
              <w:sz w:val="28"/>
              <w:szCs w:val="36"/>
            </w:rPr>
            <w:fldChar w:fldCharType="end"/>
          </w:r>
          <w:r>
            <w:rPr>
              <w:rFonts w:hint="eastAsia" w:ascii="SimHei" w:hAnsi="SimSun" w:eastAsia="SimHei" w:cs="SimHei"/>
              <w:sz w:val="28"/>
              <w:szCs w:val="56"/>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2240" w:firstLineChars="800"/>
            <w:textAlignment w:val="auto"/>
            <w:rPr>
              <w:rFonts w:hint="eastAsia" w:ascii="SimHei" w:hAnsi="SimSun" w:eastAsia="SimHei" w:cs="SimHei"/>
              <w:sz w:val="32"/>
              <w:szCs w:val="32"/>
            </w:rPr>
          </w:pPr>
          <w:r>
            <w:rPr>
              <w:rFonts w:hint="eastAsia" w:ascii="SimHei" w:hAnsi="SimSun" w:eastAsia="SimHei" w:cs="SimHei"/>
              <w:sz w:val="28"/>
              <w:szCs w:val="56"/>
            </w:rPr>
            <w:fldChar w:fldCharType="end"/>
          </w:r>
        </w:p>
      </w:sdtContent>
    </w:sdt>
    <w:p>
      <w:pPr>
        <w:spacing w:line="360" w:lineRule="auto"/>
        <w:rPr>
          <w:rFonts w:hint="eastAsia" w:ascii="SimHei" w:hAnsi="SimSun" w:eastAsia="SimHei" w:cs="SimHei"/>
          <w:sz w:val="32"/>
          <w:szCs w:val="32"/>
        </w:rPr>
      </w:pPr>
    </w:p>
    <w:p>
      <w:pPr>
        <w:spacing w:line="360" w:lineRule="auto"/>
        <w:ind w:firstLine="2560" w:firstLineChars="800"/>
        <w:rPr>
          <w:rFonts w:hint="eastAsia" w:ascii="SimHei" w:hAnsi="SimSun" w:eastAsia="SimHei" w:cs="SimHei"/>
          <w:sz w:val="32"/>
          <w:szCs w:val="32"/>
        </w:rPr>
      </w:pPr>
    </w:p>
    <w:p>
      <w:pPr>
        <w:spacing w:line="360" w:lineRule="auto"/>
        <w:ind w:firstLine="2560" w:firstLineChars="800"/>
        <w:rPr>
          <w:rFonts w:ascii="SimHei" w:hAnsi="SimSun" w:eastAsia="SimHei" w:cs="SimHei"/>
          <w:sz w:val="32"/>
          <w:szCs w:val="32"/>
        </w:rPr>
      </w:pPr>
      <w:r>
        <w:rPr>
          <w:rFonts w:hint="eastAsia" w:ascii="SimHei" w:hAnsi="SimSun" w:eastAsia="SimHei" w:cs="SimHei"/>
          <w:sz w:val="32"/>
          <w:szCs w:val="32"/>
        </w:rPr>
        <w:t>大同市红十字会</w:t>
      </w:r>
    </w:p>
    <w:p>
      <w:pPr>
        <w:ind w:firstLine="1920" w:firstLineChars="600"/>
        <w:rPr>
          <w:rFonts w:ascii="SimHei" w:hAnsi="SimSun" w:eastAsia="SimHei" w:cs="SimHei"/>
          <w:sz w:val="32"/>
          <w:szCs w:val="32"/>
        </w:rPr>
      </w:pPr>
      <w:r>
        <w:rPr>
          <w:rFonts w:hint="eastAsia" w:ascii="SimHei" w:hAnsi="SimSun" w:eastAsia="SimHei" w:cs="SimHei"/>
          <w:sz w:val="32"/>
          <w:szCs w:val="32"/>
        </w:rPr>
        <w:t>2021年度部门决算分析报告</w:t>
      </w:r>
    </w:p>
    <w:p>
      <w:pPr>
        <w:ind w:firstLine="2560" w:firstLineChars="800"/>
        <w:outlineLvl w:val="0"/>
        <w:rPr>
          <w:rFonts w:ascii="SimHei" w:hAnsi="SimSun" w:eastAsia="SimHei" w:cs="SimHei"/>
          <w:sz w:val="32"/>
          <w:szCs w:val="32"/>
        </w:rPr>
      </w:pPr>
      <w:bookmarkStart w:id="0" w:name="_Toc13872"/>
      <w:r>
        <w:rPr>
          <w:rFonts w:hint="eastAsia" w:ascii="SimHei" w:hAnsi="SimSun" w:eastAsia="SimHei" w:cs="SimHei"/>
          <w:sz w:val="32"/>
          <w:szCs w:val="32"/>
        </w:rPr>
        <w:t>第一部分  概况</w:t>
      </w:r>
      <w:bookmarkEnd w:id="0"/>
    </w:p>
    <w:p>
      <w:pPr>
        <w:jc w:val="left"/>
        <w:outlineLvl w:val="1"/>
        <w:rPr>
          <w:rFonts w:ascii="SimHei" w:hAnsi="SimSun" w:eastAsia="SimHei" w:cs="SimHei"/>
          <w:b/>
          <w:bCs/>
          <w:sz w:val="32"/>
          <w:szCs w:val="32"/>
        </w:rPr>
      </w:pPr>
      <w:bookmarkStart w:id="1" w:name="_Toc16448"/>
      <w:r>
        <w:rPr>
          <w:rFonts w:hint="eastAsia" w:ascii="SimSun" w:hAnsi="SimSun" w:eastAsia="SimSun" w:cs="SimSun"/>
          <w:b/>
          <w:bCs/>
          <w:sz w:val="32"/>
          <w:szCs w:val="32"/>
        </w:rPr>
        <w:t>一、本部门职责</w:t>
      </w:r>
      <w:bookmarkEnd w:id="1"/>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依照《中华人民共和国红十字会法》履行以下职责：开展救援、救灾的相关工作，建立红十字应急救援体系。在战争、武装冲突和自然灾害、事故灾难、公共卫生事件等突发事件中，对伤病人员和其它受害者提供紧急救援和人道救助；开展应急救护培训，普及应急救护、防灾避险和卫生健康知识，组织志愿者参与现场救护；参与推动无偿献血、遗体和人体器官、造血干细胞捐献工作；组织开展红十字志愿服务、红十字青少年工作；参加国际人道主义救援工作；宣传国际红十字和红新月会的基本原则和日内瓦公约及其附加议定书；依照国际红十字和红新月运动的基本原则，完成人民政府委托事宜；依照日内瓦公约及其附加议定书2021的有关规定开展工作；协助人民政府开展与其职责相关的其它人道服务活动。</w:t>
      </w:r>
    </w:p>
    <w:p>
      <w:pPr>
        <w:jc w:val="left"/>
        <w:outlineLvl w:val="1"/>
        <w:rPr>
          <w:rFonts w:ascii="SimSun" w:hAnsi="SimSun" w:eastAsia="SimSun" w:cs="SimSun"/>
          <w:b/>
          <w:bCs/>
          <w:sz w:val="32"/>
          <w:szCs w:val="32"/>
        </w:rPr>
      </w:pPr>
      <w:bookmarkStart w:id="2" w:name="_Toc6651"/>
      <w:r>
        <w:rPr>
          <w:rFonts w:hint="eastAsia" w:ascii="SimSun" w:hAnsi="SimSun" w:eastAsia="SimSun" w:cs="SimSun"/>
          <w:b/>
          <w:bCs/>
          <w:sz w:val="32"/>
          <w:szCs w:val="32"/>
        </w:rPr>
        <w:t>二、机构设置情况</w:t>
      </w:r>
      <w:bookmarkEnd w:id="2"/>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大同市红十字会属于一类公益事业单位，无下属单位。内设办公室、组训赈济部、宣传青少部三个科室。为正处建制，核定编制7人，2021年年末在职职工实有人数6人，退休职工5人。</w:t>
      </w:r>
    </w:p>
    <w:p>
      <w:pPr>
        <w:spacing w:line="360" w:lineRule="auto"/>
        <w:rPr>
          <w:rFonts w:ascii="仿宋_GB2312" w:hAnsi="Calibri" w:eastAsia="仿宋_GB2312" w:cs="仿宋_GB2312"/>
          <w:sz w:val="32"/>
          <w:szCs w:val="32"/>
        </w:rPr>
      </w:pPr>
    </w:p>
    <w:p>
      <w:pPr>
        <w:numPr>
          <w:ilvl w:val="0"/>
          <w:numId w:val="1"/>
        </w:numPr>
        <w:jc w:val="center"/>
        <w:outlineLvl w:val="0"/>
        <w:rPr>
          <w:rFonts w:ascii="SimHei" w:hAnsi="SimSun" w:eastAsia="SimHei" w:cs="SimHei"/>
          <w:sz w:val="32"/>
          <w:szCs w:val="32"/>
        </w:rPr>
      </w:pPr>
      <w:r>
        <w:rPr>
          <w:rFonts w:hint="eastAsia" w:ascii="SimHei" w:hAnsi="SimSun" w:eastAsia="SimHei" w:cs="SimHei"/>
          <w:sz w:val="32"/>
          <w:szCs w:val="32"/>
        </w:rPr>
        <w:t xml:space="preserve"> </w:t>
      </w:r>
      <w:bookmarkStart w:id="3" w:name="_Toc32441"/>
      <w:r>
        <w:rPr>
          <w:rFonts w:hint="eastAsia" w:ascii="SimHei" w:hAnsi="SimSun" w:eastAsia="SimHei" w:cs="SimHei"/>
          <w:sz w:val="32"/>
          <w:szCs w:val="32"/>
        </w:rPr>
        <w:t>2021年度部门决算报表</w:t>
      </w:r>
      <w:bookmarkEnd w:id="3"/>
    </w:p>
    <w:p>
      <w:pPr>
        <w:pStyle w:val="2"/>
        <w:ind w:left="420" w:firstLine="420"/>
        <w:jc w:val="left"/>
      </w:pPr>
    </w:p>
    <w:p>
      <w:pPr>
        <w:pStyle w:val="2"/>
        <w:ind w:left="0" w:leftChars="0" w:firstLine="0" w:firstLineChars="0"/>
      </w:pPr>
    </w:p>
    <w:p>
      <w:pPr>
        <w:pStyle w:val="4"/>
        <w:numPr>
          <w:ilvl w:val="0"/>
          <w:numId w:val="2"/>
        </w:numPr>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收入支出决算总表</w:t>
      </w:r>
      <w:r>
        <w:rPr>
          <w:rFonts w:hint="eastAsia" w:ascii="仿宋_GB2312" w:hAnsi="Calibri" w:eastAsia="仿宋_GB2312" w:cs="仿宋_GB2312"/>
          <w:kern w:val="2"/>
          <w:sz w:val="32"/>
          <w:szCs w:val="32"/>
          <w:lang w:val="en-US" w:eastAsia="zh-CN"/>
        </w:rPr>
        <w:t>(见附件）</w:t>
      </w:r>
    </w:p>
    <w:p>
      <w:pPr>
        <w:numPr>
          <w:ilvl w:val="0"/>
          <w:numId w:val="2"/>
        </w:numPr>
        <w:rPr>
          <w:rFonts w:ascii="仿宋_GB2312" w:hAnsi="Calibri" w:eastAsia="仿宋_GB2312" w:cs="仿宋_GB2312"/>
          <w:sz w:val="32"/>
          <w:szCs w:val="32"/>
        </w:rPr>
      </w:pPr>
      <w:r>
        <w:rPr>
          <w:rFonts w:hint="eastAsia" w:ascii="仿宋_GB2312" w:hAnsi="Calibri" w:eastAsia="仿宋_GB2312" w:cs="仿宋_GB2312"/>
          <w:sz w:val="32"/>
          <w:szCs w:val="32"/>
        </w:rPr>
        <w:t>收入决算表</w:t>
      </w:r>
      <w:r>
        <w:rPr>
          <w:rFonts w:hint="eastAsia" w:ascii="仿宋_GB2312" w:hAnsi="Calibri" w:eastAsia="仿宋_GB2312" w:cs="仿宋_GB2312"/>
          <w:kern w:val="2"/>
          <w:sz w:val="32"/>
          <w:szCs w:val="32"/>
          <w:lang w:val="en-US" w:eastAsia="zh-CN"/>
        </w:rPr>
        <w:t>(见附件）</w:t>
      </w:r>
    </w:p>
    <w:p>
      <w:pPr>
        <w:pStyle w:val="2"/>
        <w:numPr>
          <w:ilvl w:val="0"/>
          <w:numId w:val="2"/>
        </w:numPr>
        <w:ind w:left="0" w:leftChars="0" w:firstLine="0" w:firstLineChars="0"/>
        <w:rPr>
          <w:rFonts w:ascii="仿宋_GB2312" w:hAnsi="Calibri" w:eastAsia="仿宋_GB2312" w:cs="仿宋_GB2312"/>
          <w:sz w:val="32"/>
          <w:szCs w:val="32"/>
        </w:rPr>
      </w:pPr>
      <w:r>
        <w:rPr>
          <w:rFonts w:hint="eastAsia" w:ascii="仿宋_GB2312" w:hAnsi="Calibri" w:eastAsia="仿宋_GB2312" w:cs="仿宋_GB2312"/>
          <w:sz w:val="32"/>
          <w:szCs w:val="32"/>
        </w:rPr>
        <w:t>支出决算表</w:t>
      </w:r>
      <w:r>
        <w:rPr>
          <w:rFonts w:hint="eastAsia" w:ascii="仿宋_GB2312" w:hAnsi="Calibri" w:eastAsia="仿宋_GB2312" w:cs="仿宋_GB2312"/>
          <w:kern w:val="2"/>
          <w:sz w:val="32"/>
          <w:szCs w:val="32"/>
          <w:lang w:val="en-US" w:eastAsia="zh-CN"/>
        </w:rPr>
        <w:t>(见附件）</w:t>
      </w:r>
    </w:p>
    <w:p>
      <w:pPr>
        <w:pStyle w:val="4"/>
        <w:numPr>
          <w:ilvl w:val="0"/>
          <w:numId w:val="2"/>
        </w:numPr>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财政拨款收入支出决算总表</w:t>
      </w:r>
      <w:r>
        <w:rPr>
          <w:rFonts w:hint="eastAsia" w:ascii="仿宋_GB2312" w:hAnsi="Calibri" w:eastAsia="仿宋_GB2312" w:cs="仿宋_GB2312"/>
          <w:kern w:val="2"/>
          <w:sz w:val="32"/>
          <w:szCs w:val="32"/>
          <w:lang w:val="en-US" w:eastAsia="zh-CN"/>
        </w:rPr>
        <w:t>(见附件）</w:t>
      </w:r>
    </w:p>
    <w:p>
      <w:pPr>
        <w:numPr>
          <w:ilvl w:val="0"/>
          <w:numId w:val="2"/>
        </w:numPr>
        <w:rPr>
          <w:rFonts w:ascii="仿宋_GB2312" w:hAnsi="Calibri" w:eastAsia="仿宋_GB2312" w:cs="仿宋_GB2312"/>
          <w:sz w:val="32"/>
          <w:szCs w:val="32"/>
        </w:rPr>
      </w:pPr>
      <w:r>
        <w:rPr>
          <w:rFonts w:hint="eastAsia" w:ascii="仿宋_GB2312" w:hAnsi="Calibri" w:eastAsia="仿宋_GB2312" w:cs="仿宋_GB2312"/>
          <w:sz w:val="32"/>
          <w:szCs w:val="32"/>
        </w:rPr>
        <w:t>一般公共预算财政拨款支出决算表（一）</w:t>
      </w:r>
      <w:r>
        <w:rPr>
          <w:rFonts w:hint="eastAsia" w:ascii="仿宋_GB2312" w:hAnsi="Calibri" w:eastAsia="仿宋_GB2312" w:cs="仿宋_GB2312"/>
          <w:kern w:val="2"/>
          <w:sz w:val="32"/>
          <w:szCs w:val="32"/>
          <w:lang w:val="en-US" w:eastAsia="zh-CN"/>
        </w:rPr>
        <w:t>(见附件）</w:t>
      </w:r>
    </w:p>
    <w:p>
      <w:pPr>
        <w:pStyle w:val="2"/>
        <w:numPr>
          <w:ilvl w:val="0"/>
          <w:numId w:val="2"/>
        </w:numPr>
        <w:ind w:left="0" w:leftChars="0" w:firstLine="0" w:firstLineChars="0"/>
        <w:jc w:val="left"/>
        <w:rPr>
          <w:rFonts w:ascii="仿宋_GB2312" w:hAnsi="Calibri" w:eastAsia="仿宋_GB2312" w:cs="仿宋_GB2312"/>
          <w:sz w:val="32"/>
          <w:szCs w:val="32"/>
        </w:rPr>
      </w:pPr>
      <w:r>
        <w:rPr>
          <w:rFonts w:hint="eastAsia" w:ascii="仿宋_GB2312" w:hAnsi="Calibri" w:eastAsia="仿宋_GB2312" w:cs="仿宋_GB2312"/>
          <w:sz w:val="32"/>
          <w:szCs w:val="32"/>
        </w:rPr>
        <w:t>一般公共预算财政拨款支出决算表（二）</w:t>
      </w:r>
      <w:r>
        <w:rPr>
          <w:rFonts w:hint="eastAsia" w:ascii="仿宋_GB2312" w:hAnsi="Calibri" w:eastAsia="仿宋_GB2312" w:cs="仿宋_GB2312"/>
          <w:kern w:val="2"/>
          <w:sz w:val="32"/>
          <w:szCs w:val="32"/>
          <w:lang w:val="en-US" w:eastAsia="zh-CN"/>
        </w:rPr>
        <w:t>(见附件）</w:t>
      </w:r>
    </w:p>
    <w:p>
      <w:pPr>
        <w:pStyle w:val="4"/>
        <w:numPr>
          <w:ilvl w:val="0"/>
          <w:numId w:val="2"/>
        </w:numPr>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一般公共预算财政拨款“三公”经费支出决算表</w:t>
      </w:r>
      <w:r>
        <w:rPr>
          <w:rFonts w:hint="eastAsia" w:ascii="仿宋_GB2312" w:hAnsi="Calibri" w:eastAsia="仿宋_GB2312" w:cs="仿宋_GB2312"/>
          <w:kern w:val="2"/>
          <w:sz w:val="32"/>
          <w:szCs w:val="32"/>
          <w:lang w:val="en-US" w:eastAsia="zh-CN"/>
        </w:rPr>
        <w:t>(见附件）</w:t>
      </w:r>
    </w:p>
    <w:p>
      <w:pPr>
        <w:numPr>
          <w:ilvl w:val="0"/>
          <w:numId w:val="2"/>
        </w:numPr>
        <w:rPr>
          <w:rFonts w:ascii="仿宋_GB2312" w:hAnsi="Calibri" w:eastAsia="仿宋_GB2312" w:cs="仿宋_GB2312"/>
          <w:sz w:val="32"/>
          <w:szCs w:val="32"/>
        </w:rPr>
      </w:pPr>
      <w:r>
        <w:rPr>
          <w:rFonts w:hint="eastAsia" w:ascii="仿宋_GB2312" w:hAnsi="Calibri" w:eastAsia="仿宋_GB2312" w:cs="仿宋_GB2312"/>
          <w:sz w:val="32"/>
          <w:szCs w:val="32"/>
        </w:rPr>
        <w:t>政府性基金预算财政拨款收入支出决算表</w:t>
      </w:r>
      <w:r>
        <w:rPr>
          <w:rFonts w:hint="eastAsia" w:ascii="仿宋_GB2312" w:hAnsi="Calibri" w:eastAsia="仿宋_GB2312" w:cs="仿宋_GB2312"/>
          <w:kern w:val="2"/>
          <w:sz w:val="32"/>
          <w:szCs w:val="32"/>
          <w:lang w:val="en-US" w:eastAsia="zh-CN"/>
        </w:rPr>
        <w:t>(见附件）</w:t>
      </w:r>
    </w:p>
    <w:p>
      <w:pPr>
        <w:pStyle w:val="2"/>
        <w:numPr>
          <w:ilvl w:val="0"/>
          <w:numId w:val="2"/>
        </w:numPr>
        <w:ind w:left="0" w:leftChars="0" w:firstLine="0" w:firstLineChars="0"/>
        <w:rPr>
          <w:rFonts w:ascii="仿宋_GB2312" w:hAnsi="Calibri" w:eastAsia="仿宋_GB2312" w:cs="仿宋_GB2312"/>
          <w:sz w:val="32"/>
          <w:szCs w:val="32"/>
        </w:rPr>
      </w:pPr>
      <w:r>
        <w:rPr>
          <w:rFonts w:hint="eastAsia" w:ascii="仿宋_GB2312" w:hAnsi="Calibri" w:eastAsia="仿宋_GB2312" w:cs="仿宋_GB2312"/>
          <w:sz w:val="32"/>
          <w:szCs w:val="32"/>
        </w:rPr>
        <w:t>国有资本经营预算财政拨款支出决算表</w:t>
      </w:r>
      <w:r>
        <w:rPr>
          <w:rFonts w:hint="eastAsia" w:ascii="仿宋_GB2312" w:hAnsi="Calibri" w:eastAsia="仿宋_GB2312" w:cs="仿宋_GB2312"/>
          <w:kern w:val="2"/>
          <w:sz w:val="32"/>
          <w:szCs w:val="32"/>
          <w:lang w:val="en-US" w:eastAsia="zh-CN"/>
        </w:rPr>
        <w:t>(见附件）</w:t>
      </w:r>
    </w:p>
    <w:p>
      <w:pPr>
        <w:pStyle w:val="4"/>
        <w:numPr>
          <w:ilvl w:val="0"/>
          <w:numId w:val="2"/>
        </w:numPr>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部门决算公开相关信息统计表</w:t>
      </w:r>
      <w:r>
        <w:rPr>
          <w:rFonts w:hint="eastAsia" w:ascii="仿宋_GB2312" w:hAnsi="Calibri" w:eastAsia="仿宋_GB2312" w:cs="仿宋_GB2312"/>
          <w:kern w:val="2"/>
          <w:sz w:val="32"/>
          <w:szCs w:val="32"/>
          <w:lang w:val="en-US" w:eastAsia="zh-CN"/>
        </w:rPr>
        <w:t>(见附件）</w:t>
      </w:r>
    </w:p>
    <w:p/>
    <w:p/>
    <w:p>
      <w:pPr>
        <w:rPr>
          <w:rFonts w:ascii="仿宋_GB2312" w:hAnsi="Calibri" w:eastAsia="仿宋_GB2312" w:cs="仿宋_GB2312"/>
          <w:sz w:val="32"/>
          <w:szCs w:val="32"/>
        </w:rPr>
      </w:pPr>
    </w:p>
    <w:p>
      <w:pPr>
        <w:pStyle w:val="2"/>
        <w:ind w:left="420" w:firstLine="640"/>
        <w:rPr>
          <w:rFonts w:ascii="仿宋_GB2312" w:hAnsi="Calibri" w:eastAsia="仿宋_GB2312" w:cs="仿宋_GB2312"/>
          <w:sz w:val="32"/>
          <w:szCs w:val="32"/>
        </w:rPr>
      </w:pPr>
    </w:p>
    <w:p>
      <w:pPr>
        <w:pStyle w:val="4"/>
      </w:pPr>
    </w:p>
    <w:p>
      <w:pPr>
        <w:sectPr>
          <w:footerReference r:id="rId3" w:type="default"/>
          <w:pgSz w:w="11906" w:h="16838"/>
          <w:pgMar w:top="1440" w:right="1800" w:bottom="1440" w:left="1800" w:header="851" w:footer="992" w:gutter="0"/>
          <w:cols w:space="425" w:num="1"/>
          <w:docGrid w:type="lines" w:linePitch="312" w:charSpace="0"/>
        </w:sectPr>
      </w:pPr>
    </w:p>
    <w:p>
      <w:pPr>
        <w:pStyle w:val="7"/>
        <w:numPr>
          <w:ilvl w:val="0"/>
          <w:numId w:val="3"/>
        </w:numPr>
        <w:jc w:val="center"/>
        <w:outlineLvl w:val="0"/>
        <w:rPr>
          <w:rFonts w:ascii="SimHei" w:hAnsi="SimSun" w:eastAsia="SimHei" w:cs="SimHei"/>
          <w:b w:val="0"/>
          <w:szCs w:val="32"/>
        </w:rPr>
      </w:pPr>
      <w:bookmarkStart w:id="4" w:name="_Toc11679"/>
      <w:r>
        <w:rPr>
          <w:rFonts w:hint="eastAsia" w:ascii="SimHei" w:hAnsi="SimSun" w:eastAsia="SimHei" w:cs="SimHei"/>
          <w:b w:val="0"/>
          <w:szCs w:val="32"/>
        </w:rPr>
        <w:t>2021年度部门决算情况说明</w:t>
      </w:r>
      <w:bookmarkEnd w:id="4"/>
    </w:p>
    <w:p>
      <w:pPr>
        <w:jc w:val="left"/>
        <w:rPr>
          <w:rFonts w:asciiTheme="majorEastAsia" w:hAnsiTheme="majorEastAsia" w:eastAsiaTheme="majorEastAsia" w:cstheme="majorEastAsia"/>
          <w:sz w:val="32"/>
          <w:szCs w:val="32"/>
        </w:rPr>
      </w:pPr>
    </w:p>
    <w:p>
      <w:pPr>
        <w:numPr>
          <w:ilvl w:val="0"/>
          <w:numId w:val="4"/>
        </w:numPr>
        <w:jc w:val="left"/>
        <w:outlineLvl w:val="1"/>
        <w:rPr>
          <w:rFonts w:asciiTheme="majorEastAsia" w:hAnsiTheme="majorEastAsia" w:eastAsiaTheme="majorEastAsia" w:cstheme="majorEastAsia"/>
          <w:b/>
          <w:bCs/>
          <w:sz w:val="32"/>
          <w:szCs w:val="32"/>
        </w:rPr>
      </w:pPr>
      <w:bookmarkStart w:id="5" w:name="_Toc12475"/>
      <w:r>
        <w:rPr>
          <w:rFonts w:hint="eastAsia" w:asciiTheme="majorEastAsia" w:hAnsiTheme="majorEastAsia" w:eastAsiaTheme="majorEastAsia" w:cstheme="majorEastAsia"/>
          <w:b/>
          <w:bCs/>
          <w:sz w:val="32"/>
          <w:szCs w:val="32"/>
        </w:rPr>
        <w:t>收入支出决算总体情况说明</w:t>
      </w:r>
      <w:bookmarkEnd w:id="5"/>
    </w:p>
    <w:p>
      <w:pPr>
        <w:ind w:firstLine="640" w:firstLineChars="200"/>
        <w:rPr>
          <w:rFonts w:ascii="仿宋_GB2312" w:hAnsi="仿宋_GB2312" w:eastAsia="仿宋_GB2312"/>
          <w:sz w:val="32"/>
        </w:rPr>
      </w:pPr>
      <w:r>
        <w:rPr>
          <w:rFonts w:hint="eastAsia" w:ascii="仿宋_GB2312" w:hAnsi="仿宋_GB2312" w:eastAsia="仿宋_GB2312"/>
          <w:sz w:val="32"/>
        </w:rPr>
        <w:t>2021年度本年收入</w:t>
      </w:r>
      <w:r>
        <w:rPr>
          <w:rFonts w:hint="eastAsia" w:ascii="仿宋_GB2312" w:hAnsi="仿宋_GB2312" w:eastAsia="仿宋_GB2312"/>
          <w:sz w:val="32"/>
          <w:lang w:val="en-US" w:eastAsia="zh-CN"/>
        </w:rPr>
        <w:t>331.38</w:t>
      </w:r>
      <w:r>
        <w:rPr>
          <w:rFonts w:hint="eastAsia" w:ascii="仿宋_GB2312" w:hAnsi="仿宋_GB2312" w:eastAsia="仿宋_GB2312"/>
          <w:sz w:val="32"/>
        </w:rPr>
        <w:t>万元，本年支出</w:t>
      </w:r>
      <w:r>
        <w:rPr>
          <w:rFonts w:hint="eastAsia" w:ascii="仿宋_GB2312" w:hAnsi="仿宋_GB2312" w:eastAsia="仿宋_GB2312"/>
          <w:sz w:val="32"/>
          <w:lang w:val="en-US" w:eastAsia="zh-CN"/>
        </w:rPr>
        <w:t>331.38</w:t>
      </w:r>
      <w:r>
        <w:rPr>
          <w:rFonts w:hint="eastAsia" w:ascii="仿宋_GB2312" w:hAnsi="仿宋_GB2312" w:eastAsia="仿宋_GB2312"/>
          <w:sz w:val="32"/>
        </w:rPr>
        <w:t>万元，与上年度相比，收入总计增加</w:t>
      </w:r>
      <w:r>
        <w:rPr>
          <w:rFonts w:hint="eastAsia" w:ascii="仿宋_GB2312" w:hAnsi="仿宋_GB2312" w:eastAsia="仿宋_GB2312"/>
          <w:sz w:val="32"/>
          <w:lang w:val="en-US" w:eastAsia="zh-CN"/>
        </w:rPr>
        <w:t>88</w:t>
      </w:r>
      <w:r>
        <w:rPr>
          <w:rFonts w:hint="eastAsia" w:ascii="仿宋_GB2312" w:hAnsi="仿宋_GB2312" w:eastAsia="仿宋_GB2312"/>
          <w:sz w:val="32"/>
        </w:rPr>
        <w:t>万元，上升</w:t>
      </w:r>
      <w:r>
        <w:rPr>
          <w:rFonts w:hint="eastAsia" w:ascii="仿宋_GB2312" w:hAnsi="仿宋_GB2312" w:eastAsia="仿宋_GB2312"/>
          <w:sz w:val="32"/>
          <w:lang w:val="en-US" w:eastAsia="zh-CN"/>
        </w:rPr>
        <w:t>36.15</w:t>
      </w:r>
      <w:r>
        <w:rPr>
          <w:rFonts w:hint="eastAsia" w:ascii="仿宋_GB2312" w:hAnsi="仿宋_GB2312" w:eastAsia="仿宋_GB2312"/>
          <w:sz w:val="32"/>
        </w:rPr>
        <w:t>%。支出总计增加88万元，上升36</w:t>
      </w:r>
      <w:r>
        <w:rPr>
          <w:rFonts w:hint="eastAsia" w:ascii="仿宋_GB2312" w:hAnsi="仿宋_GB2312" w:eastAsia="仿宋_GB2312"/>
          <w:sz w:val="32"/>
          <w:lang w:val="en-US" w:eastAsia="zh-CN"/>
        </w:rPr>
        <w:t>.15</w:t>
      </w:r>
      <w:r>
        <w:rPr>
          <w:rFonts w:hint="eastAsia" w:ascii="仿宋_GB2312" w:hAnsi="仿宋_GB2312" w:eastAsia="仿宋_GB2312"/>
          <w:sz w:val="32"/>
        </w:rPr>
        <w:t>%。主要原因是2021年度新增“博爱一日捐：园丁大病救助”项目，导致总收入、总支出大幅度上升。</w:t>
      </w:r>
    </w:p>
    <w:p>
      <w:pPr>
        <w:numPr>
          <w:ilvl w:val="0"/>
          <w:numId w:val="4"/>
        </w:numPr>
        <w:jc w:val="left"/>
        <w:outlineLvl w:val="1"/>
        <w:rPr>
          <w:rFonts w:asciiTheme="majorEastAsia" w:hAnsiTheme="majorEastAsia" w:eastAsiaTheme="majorEastAsia" w:cstheme="majorEastAsia"/>
          <w:b/>
          <w:bCs/>
          <w:sz w:val="32"/>
          <w:szCs w:val="32"/>
        </w:rPr>
      </w:pPr>
      <w:bookmarkStart w:id="6" w:name="_Toc17000"/>
      <w:r>
        <w:rPr>
          <w:rFonts w:hint="eastAsia" w:asciiTheme="majorEastAsia" w:hAnsiTheme="majorEastAsia" w:eastAsiaTheme="majorEastAsia" w:cstheme="majorEastAsia"/>
          <w:b/>
          <w:bCs/>
          <w:sz w:val="32"/>
          <w:szCs w:val="32"/>
        </w:rPr>
        <w:t>收入决算情况说明</w:t>
      </w:r>
      <w:bookmarkEnd w:id="6"/>
    </w:p>
    <w:p>
      <w:pPr>
        <w:ind w:firstLine="642"/>
        <w:jc w:val="left"/>
        <w:rPr>
          <w:rFonts w:ascii="仿宋_GB2312" w:hAnsi="仿宋_GB2312" w:eastAsia="仿宋_GB2312"/>
          <w:sz w:val="32"/>
        </w:rPr>
      </w:pPr>
      <w:r>
        <w:rPr>
          <w:rFonts w:hint="eastAsia" w:ascii="仿宋_GB2312" w:hAnsi="仿宋_GB2312" w:eastAsia="仿宋_GB2312"/>
          <w:sz w:val="32"/>
        </w:rPr>
        <w:t>2021年度收入合计329.9万元，其中：财政拨款收入329.89万元，占比99.99%；</w:t>
      </w:r>
      <w:r>
        <w:rPr>
          <w:rFonts w:ascii="FangSong" w:hAnsi="FangSong" w:eastAsia="FangSong" w:cs="FangSong"/>
          <w:i w:val="0"/>
          <w:iCs w:val="0"/>
          <w:caps w:val="0"/>
          <w:color w:val="000000"/>
          <w:spacing w:val="0"/>
          <w:sz w:val="32"/>
          <w:szCs w:val="32"/>
          <w:shd w:val="clear" w:fill="FFFFFF"/>
        </w:rPr>
        <w:t>上级补助收入</w:t>
      </w:r>
      <w:r>
        <w:rPr>
          <w:rFonts w:hint="eastAsia" w:ascii="Microsoft YaHei" w:hAnsi="Microsoft YaHei" w:eastAsia="Microsoft YaHei" w:cs="Microsoft YaHei"/>
          <w:i w:val="0"/>
          <w:iCs w:val="0"/>
          <w:caps w:val="0"/>
          <w:color w:val="000000"/>
          <w:spacing w:val="0"/>
          <w:sz w:val="21"/>
          <w:szCs w:val="21"/>
        </w:rPr>
        <w:t>0</w:t>
      </w:r>
      <w:r>
        <w:rPr>
          <w:rFonts w:hint="eastAsia" w:ascii="FangSong" w:hAnsi="FangSong" w:eastAsia="FangSong" w:cs="FangSong"/>
          <w:i w:val="0"/>
          <w:iCs w:val="0"/>
          <w:caps w:val="0"/>
          <w:color w:val="000000"/>
          <w:spacing w:val="0"/>
          <w:sz w:val="32"/>
          <w:szCs w:val="32"/>
          <w:shd w:val="clear" w:fill="FFFFFF"/>
        </w:rPr>
        <w:t>万元，占比</w:t>
      </w:r>
      <w:r>
        <w:rPr>
          <w:rFonts w:hint="eastAsia" w:ascii="Microsoft YaHei" w:hAnsi="Microsoft YaHei" w:eastAsia="Microsoft YaHei" w:cs="Microsoft YaHei"/>
          <w:i w:val="0"/>
          <w:iCs w:val="0"/>
          <w:caps w:val="0"/>
          <w:color w:val="000000"/>
          <w:spacing w:val="0"/>
          <w:sz w:val="21"/>
          <w:szCs w:val="21"/>
        </w:rPr>
        <w:t>0%</w:t>
      </w:r>
      <w:r>
        <w:rPr>
          <w:rFonts w:hint="eastAsia" w:ascii="FangSong" w:hAnsi="FangSong" w:eastAsia="FangSong" w:cs="FangSong"/>
          <w:i w:val="0"/>
          <w:iCs w:val="0"/>
          <w:caps w:val="0"/>
          <w:color w:val="000000"/>
          <w:spacing w:val="0"/>
          <w:sz w:val="32"/>
          <w:szCs w:val="32"/>
          <w:shd w:val="clear" w:fill="FFFFFF"/>
        </w:rPr>
        <w:t>；事业收入</w:t>
      </w:r>
      <w:r>
        <w:rPr>
          <w:rFonts w:hint="eastAsia" w:ascii="Microsoft YaHei" w:hAnsi="Microsoft YaHei" w:eastAsia="Microsoft YaHei" w:cs="Microsoft YaHei"/>
          <w:i w:val="0"/>
          <w:iCs w:val="0"/>
          <w:caps w:val="0"/>
          <w:color w:val="000000"/>
          <w:spacing w:val="0"/>
          <w:sz w:val="21"/>
          <w:szCs w:val="21"/>
        </w:rPr>
        <w:t>0</w:t>
      </w:r>
      <w:r>
        <w:rPr>
          <w:rFonts w:hint="eastAsia" w:ascii="FangSong" w:hAnsi="FangSong" w:eastAsia="FangSong" w:cs="FangSong"/>
          <w:i w:val="0"/>
          <w:iCs w:val="0"/>
          <w:caps w:val="0"/>
          <w:color w:val="000000"/>
          <w:spacing w:val="0"/>
          <w:sz w:val="32"/>
          <w:szCs w:val="32"/>
          <w:shd w:val="clear" w:fill="FFFFFF"/>
        </w:rPr>
        <w:t>万元，占比</w:t>
      </w:r>
      <w:r>
        <w:rPr>
          <w:rFonts w:hint="eastAsia" w:ascii="Microsoft YaHei" w:hAnsi="Microsoft YaHei" w:eastAsia="Microsoft YaHei" w:cs="Microsoft YaHei"/>
          <w:i w:val="0"/>
          <w:iCs w:val="0"/>
          <w:caps w:val="0"/>
          <w:color w:val="000000"/>
          <w:spacing w:val="0"/>
          <w:sz w:val="21"/>
          <w:szCs w:val="21"/>
        </w:rPr>
        <w:t>0%</w:t>
      </w:r>
      <w:r>
        <w:rPr>
          <w:rFonts w:hint="eastAsia" w:ascii="FangSong" w:hAnsi="FangSong" w:eastAsia="FangSong" w:cs="FangSong"/>
          <w:i w:val="0"/>
          <w:iCs w:val="0"/>
          <w:caps w:val="0"/>
          <w:color w:val="000000"/>
          <w:spacing w:val="0"/>
          <w:sz w:val="32"/>
          <w:szCs w:val="32"/>
          <w:shd w:val="clear" w:fill="FFFFFF"/>
        </w:rPr>
        <w:t>；经营收入</w:t>
      </w:r>
      <w:r>
        <w:rPr>
          <w:rFonts w:hint="eastAsia" w:ascii="Microsoft YaHei" w:hAnsi="Microsoft YaHei" w:eastAsia="Microsoft YaHei" w:cs="Microsoft YaHei"/>
          <w:i w:val="0"/>
          <w:iCs w:val="0"/>
          <w:caps w:val="0"/>
          <w:color w:val="000000"/>
          <w:spacing w:val="0"/>
          <w:sz w:val="21"/>
          <w:szCs w:val="21"/>
        </w:rPr>
        <w:t>0</w:t>
      </w:r>
      <w:r>
        <w:rPr>
          <w:rFonts w:hint="eastAsia" w:ascii="FangSong" w:hAnsi="FangSong" w:eastAsia="FangSong" w:cs="FangSong"/>
          <w:i w:val="0"/>
          <w:iCs w:val="0"/>
          <w:caps w:val="0"/>
          <w:color w:val="000000"/>
          <w:spacing w:val="0"/>
          <w:sz w:val="32"/>
          <w:szCs w:val="32"/>
          <w:shd w:val="clear" w:fill="FFFFFF"/>
        </w:rPr>
        <w:t>万元，占比</w:t>
      </w:r>
      <w:r>
        <w:rPr>
          <w:rFonts w:hint="eastAsia" w:ascii="Microsoft YaHei" w:hAnsi="Microsoft YaHei" w:eastAsia="Microsoft YaHei" w:cs="Microsoft YaHei"/>
          <w:i w:val="0"/>
          <w:iCs w:val="0"/>
          <w:caps w:val="0"/>
          <w:color w:val="000000"/>
          <w:spacing w:val="0"/>
          <w:sz w:val="21"/>
          <w:szCs w:val="21"/>
        </w:rPr>
        <w:t>0%</w:t>
      </w:r>
      <w:r>
        <w:rPr>
          <w:rFonts w:hint="eastAsia" w:ascii="FangSong" w:hAnsi="FangSong" w:eastAsia="FangSong" w:cs="FangSong"/>
          <w:i w:val="0"/>
          <w:iCs w:val="0"/>
          <w:caps w:val="0"/>
          <w:color w:val="000000"/>
          <w:spacing w:val="0"/>
          <w:sz w:val="32"/>
          <w:szCs w:val="32"/>
          <w:shd w:val="clear" w:fill="FFFFFF"/>
        </w:rPr>
        <w:t>；附属单位上缴收入</w:t>
      </w:r>
      <w:r>
        <w:rPr>
          <w:rFonts w:hint="eastAsia" w:ascii="Microsoft YaHei" w:hAnsi="Microsoft YaHei" w:eastAsia="Microsoft YaHei" w:cs="Microsoft YaHei"/>
          <w:i w:val="0"/>
          <w:iCs w:val="0"/>
          <w:caps w:val="0"/>
          <w:color w:val="000000"/>
          <w:spacing w:val="0"/>
          <w:sz w:val="21"/>
          <w:szCs w:val="21"/>
        </w:rPr>
        <w:t>0</w:t>
      </w:r>
      <w:r>
        <w:rPr>
          <w:rFonts w:hint="eastAsia" w:ascii="FangSong" w:hAnsi="FangSong" w:eastAsia="FangSong" w:cs="FangSong"/>
          <w:i w:val="0"/>
          <w:iCs w:val="0"/>
          <w:caps w:val="0"/>
          <w:color w:val="000000"/>
          <w:spacing w:val="0"/>
          <w:sz w:val="32"/>
          <w:szCs w:val="32"/>
          <w:shd w:val="clear" w:fill="FFFFFF"/>
        </w:rPr>
        <w:t>万元，占比</w:t>
      </w:r>
      <w:r>
        <w:rPr>
          <w:rFonts w:hint="eastAsia" w:ascii="Microsoft YaHei" w:hAnsi="Microsoft YaHei" w:eastAsia="Microsoft YaHei" w:cs="Microsoft YaHei"/>
          <w:i w:val="0"/>
          <w:iCs w:val="0"/>
          <w:caps w:val="0"/>
          <w:color w:val="000000"/>
          <w:spacing w:val="0"/>
          <w:sz w:val="21"/>
          <w:szCs w:val="21"/>
        </w:rPr>
        <w:t>0%</w:t>
      </w:r>
      <w:r>
        <w:rPr>
          <w:rFonts w:hint="eastAsia" w:ascii="FangSong" w:hAnsi="FangSong" w:eastAsia="FangSong" w:cs="FangSong"/>
          <w:i w:val="0"/>
          <w:iCs w:val="0"/>
          <w:caps w:val="0"/>
          <w:color w:val="000000"/>
          <w:spacing w:val="0"/>
          <w:sz w:val="32"/>
          <w:szCs w:val="32"/>
          <w:shd w:val="clear" w:fill="FFFFFF"/>
        </w:rPr>
        <w:t>；</w:t>
      </w:r>
      <w:r>
        <w:rPr>
          <w:rFonts w:hint="eastAsia" w:ascii="仿宋_GB2312" w:hAnsi="仿宋_GB2312" w:eastAsia="仿宋_GB2312"/>
          <w:sz w:val="32"/>
        </w:rPr>
        <w:t>其他收入（利息收入）</w:t>
      </w:r>
      <w:r>
        <w:rPr>
          <w:rFonts w:hint="eastAsia" w:ascii="仿宋_GB2312" w:hAnsi="仿宋_GB2312" w:eastAsia="仿宋_GB2312"/>
          <w:sz w:val="32"/>
          <w:lang w:val="en-US" w:eastAsia="zh-CN"/>
        </w:rPr>
        <w:t>0.01万元</w:t>
      </w:r>
      <w:r>
        <w:rPr>
          <w:rFonts w:hint="eastAsia" w:ascii="仿宋_GB2312" w:hAnsi="仿宋_GB2312" w:eastAsia="仿宋_GB2312"/>
          <w:sz w:val="32"/>
        </w:rPr>
        <w:t>，占比0.01%。</w:t>
      </w:r>
    </w:p>
    <w:p>
      <w:pPr>
        <w:numPr>
          <w:ilvl w:val="0"/>
          <w:numId w:val="4"/>
        </w:numPr>
        <w:jc w:val="left"/>
        <w:outlineLvl w:val="1"/>
        <w:rPr>
          <w:rFonts w:asciiTheme="majorEastAsia" w:hAnsiTheme="majorEastAsia" w:eastAsiaTheme="majorEastAsia" w:cstheme="majorEastAsia"/>
          <w:sz w:val="32"/>
          <w:szCs w:val="32"/>
        </w:rPr>
      </w:pPr>
      <w:bookmarkStart w:id="7" w:name="_Toc7442"/>
      <w:r>
        <w:rPr>
          <w:rFonts w:hint="eastAsia" w:asciiTheme="majorEastAsia" w:hAnsiTheme="majorEastAsia" w:eastAsiaTheme="majorEastAsia" w:cstheme="majorEastAsia"/>
          <w:b/>
          <w:bCs/>
          <w:sz w:val="32"/>
          <w:szCs w:val="32"/>
        </w:rPr>
        <w:t>支出决算情况说明</w:t>
      </w:r>
      <w:bookmarkEnd w:id="7"/>
    </w:p>
    <w:p>
      <w:pPr>
        <w:ind w:firstLine="640"/>
        <w:jc w:val="left"/>
        <w:rPr>
          <w:rFonts w:hint="eastAsia" w:ascii="仿宋_GB2312" w:hAnsi="仿宋_GB2312" w:eastAsia="仿宋_GB2312"/>
          <w:sz w:val="32"/>
          <w:lang w:eastAsia="zh-CN"/>
        </w:rPr>
      </w:pPr>
      <w:r>
        <w:rPr>
          <w:rFonts w:hint="eastAsia" w:ascii="仿宋_GB2312" w:hAnsi="仿宋_GB2312" w:eastAsia="仿宋_GB2312"/>
          <w:sz w:val="32"/>
        </w:rPr>
        <w:t>2021年度支出合计330.4万元，其中：基本支出88.86万元，占比26.9%；项目支出241.54万元，占比73.1%</w:t>
      </w:r>
      <w:r>
        <w:rPr>
          <w:rFonts w:hint="eastAsia" w:ascii="仿宋_GB2312" w:hAnsi="仿宋_GB2312" w:eastAsia="仿宋_GB2312"/>
          <w:sz w:val="32"/>
          <w:lang w:eastAsia="zh-CN"/>
        </w:rPr>
        <w:t>；</w:t>
      </w:r>
      <w:r>
        <w:rPr>
          <w:rFonts w:hint="eastAsia" w:ascii="仿宋_GB2312" w:hAnsi="仿宋_GB2312" w:eastAsia="仿宋_GB2312"/>
          <w:sz w:val="32"/>
        </w:rPr>
        <w:t>上缴上级支出0万元，占比0%</w:t>
      </w:r>
      <w:r>
        <w:rPr>
          <w:rFonts w:hint="eastAsia" w:ascii="仿宋_GB2312" w:hAnsi="仿宋_GB2312" w:eastAsia="仿宋_GB2312"/>
          <w:sz w:val="32"/>
          <w:lang w:eastAsia="zh-CN"/>
        </w:rPr>
        <w:t>；</w:t>
      </w:r>
      <w:r>
        <w:rPr>
          <w:rFonts w:hint="eastAsia" w:ascii="仿宋_GB2312" w:hAnsi="仿宋_GB2312" w:eastAsia="仿宋_GB2312"/>
          <w:sz w:val="32"/>
        </w:rPr>
        <w:t>经营支出0万元，占比0%</w:t>
      </w:r>
      <w:r>
        <w:rPr>
          <w:rFonts w:hint="eastAsia" w:ascii="仿宋_GB2312" w:hAnsi="仿宋_GB2312" w:eastAsia="仿宋_GB2312"/>
          <w:sz w:val="32"/>
          <w:lang w:eastAsia="zh-CN"/>
        </w:rPr>
        <w:t>；</w:t>
      </w:r>
      <w:r>
        <w:rPr>
          <w:rFonts w:hint="eastAsia" w:ascii="仿宋_GB2312" w:hAnsi="仿宋_GB2312" w:eastAsia="仿宋_GB2312"/>
          <w:sz w:val="32"/>
        </w:rPr>
        <w:t>对附属单位补助支出0万元，占比0%</w:t>
      </w:r>
      <w:r>
        <w:rPr>
          <w:rFonts w:hint="eastAsia" w:ascii="仿宋_GB2312" w:hAnsi="仿宋_GB2312" w:eastAsia="仿宋_GB2312"/>
          <w:sz w:val="32"/>
          <w:lang w:eastAsia="zh-CN"/>
        </w:rPr>
        <w:t>。</w:t>
      </w:r>
    </w:p>
    <w:p>
      <w:pPr>
        <w:numPr>
          <w:ilvl w:val="0"/>
          <w:numId w:val="4"/>
        </w:numPr>
        <w:jc w:val="left"/>
        <w:outlineLvl w:val="1"/>
        <w:rPr>
          <w:rFonts w:asciiTheme="majorEastAsia" w:hAnsiTheme="majorEastAsia" w:eastAsiaTheme="majorEastAsia" w:cstheme="majorEastAsia"/>
          <w:b/>
          <w:bCs/>
          <w:sz w:val="32"/>
          <w:szCs w:val="32"/>
        </w:rPr>
      </w:pPr>
      <w:bookmarkStart w:id="8" w:name="_Toc31736"/>
      <w:r>
        <w:rPr>
          <w:rFonts w:hint="eastAsia" w:asciiTheme="majorEastAsia" w:hAnsiTheme="majorEastAsia" w:eastAsiaTheme="majorEastAsia" w:cstheme="majorEastAsia"/>
          <w:b/>
          <w:bCs/>
          <w:sz w:val="32"/>
          <w:szCs w:val="32"/>
        </w:rPr>
        <w:t>财政拨款收入支出决算总体情况说明</w:t>
      </w:r>
      <w:bookmarkEnd w:id="8"/>
    </w:p>
    <w:p>
      <w:pPr>
        <w:ind w:firstLine="642"/>
        <w:jc w:val="left"/>
        <w:rPr>
          <w:rFonts w:ascii="仿宋_GB2312" w:hAnsi="仿宋_GB2312" w:eastAsia="仿宋_GB2312"/>
          <w:sz w:val="32"/>
        </w:rPr>
      </w:pPr>
      <w:r>
        <w:rPr>
          <w:rFonts w:hint="eastAsia" w:ascii="仿宋_GB2312" w:hAnsi="仿宋_GB2312" w:eastAsia="仿宋_GB2312"/>
          <w:sz w:val="32"/>
        </w:rPr>
        <w:t>2021年度财政拨款收入总计</w:t>
      </w:r>
      <w:r>
        <w:rPr>
          <w:rFonts w:hint="eastAsia" w:ascii="仿宋_GB2312" w:hAnsi="仿宋_GB2312" w:eastAsia="仿宋_GB2312"/>
          <w:sz w:val="32"/>
          <w:lang w:val="en-US" w:eastAsia="zh-CN"/>
        </w:rPr>
        <w:t>331.25</w:t>
      </w:r>
      <w:r>
        <w:rPr>
          <w:rFonts w:hint="eastAsia" w:ascii="仿宋_GB2312" w:hAnsi="仿宋_GB2312" w:eastAsia="仿宋_GB2312"/>
          <w:sz w:val="32"/>
        </w:rPr>
        <w:t>万元，支出总计</w:t>
      </w:r>
      <w:r>
        <w:rPr>
          <w:rFonts w:hint="eastAsia" w:ascii="仿宋_GB2312" w:hAnsi="仿宋_GB2312" w:eastAsia="仿宋_GB2312"/>
          <w:sz w:val="32"/>
          <w:lang w:val="en-US" w:eastAsia="zh-CN"/>
        </w:rPr>
        <w:t>331.25</w:t>
      </w:r>
      <w:r>
        <w:rPr>
          <w:rFonts w:hint="eastAsia" w:ascii="仿宋_GB2312" w:hAnsi="仿宋_GB2312" w:eastAsia="仿宋_GB2312"/>
          <w:sz w:val="32"/>
        </w:rPr>
        <w:t>万元。与上</w:t>
      </w:r>
      <w:r>
        <w:rPr>
          <w:rFonts w:hint="eastAsia" w:ascii="仿宋_GB2312" w:hAnsi="仿宋_GB2312" w:eastAsia="仿宋_GB2312"/>
          <w:sz w:val="32"/>
          <w:lang w:eastAsia="zh-CN"/>
        </w:rPr>
        <w:t>年</w:t>
      </w:r>
      <w:r>
        <w:rPr>
          <w:rFonts w:hint="eastAsia" w:ascii="仿宋_GB2312" w:hAnsi="仿宋_GB2312" w:eastAsia="仿宋_GB2312"/>
          <w:sz w:val="32"/>
        </w:rPr>
        <w:t>相比，财政拨款收入总计增加</w:t>
      </w:r>
      <w:r>
        <w:rPr>
          <w:rFonts w:hint="eastAsia" w:ascii="仿宋_GB2312" w:hAnsi="仿宋_GB2312" w:eastAsia="仿宋_GB2312"/>
          <w:sz w:val="32"/>
          <w:lang w:val="en-US" w:eastAsia="zh-CN"/>
        </w:rPr>
        <w:t>87.99</w:t>
      </w:r>
      <w:r>
        <w:rPr>
          <w:rFonts w:hint="eastAsia" w:ascii="仿宋_GB2312" w:hAnsi="仿宋_GB2312" w:eastAsia="仿宋_GB2312"/>
          <w:sz w:val="32"/>
        </w:rPr>
        <w:t>万元，上升</w:t>
      </w:r>
      <w:r>
        <w:rPr>
          <w:rFonts w:hint="eastAsia" w:ascii="仿宋_GB2312" w:hAnsi="仿宋_GB2312" w:eastAsia="仿宋_GB2312"/>
          <w:sz w:val="32"/>
          <w:lang w:val="en-US" w:eastAsia="zh-CN"/>
        </w:rPr>
        <w:t>36.17</w:t>
      </w:r>
      <w:r>
        <w:rPr>
          <w:rFonts w:hint="eastAsia" w:ascii="仿宋_GB2312" w:hAnsi="仿宋_GB2312" w:eastAsia="仿宋_GB2312"/>
          <w:sz w:val="32"/>
        </w:rPr>
        <w:t>%，财政拨款支出总计增加</w:t>
      </w:r>
      <w:r>
        <w:rPr>
          <w:rFonts w:hint="eastAsia" w:ascii="仿宋_GB2312" w:hAnsi="仿宋_GB2312" w:eastAsia="仿宋_GB2312"/>
          <w:sz w:val="32"/>
          <w:lang w:val="en-US" w:eastAsia="zh-CN"/>
        </w:rPr>
        <w:t>87.99</w:t>
      </w:r>
      <w:r>
        <w:rPr>
          <w:rFonts w:hint="eastAsia" w:ascii="仿宋_GB2312" w:hAnsi="仿宋_GB2312" w:eastAsia="仿宋_GB2312"/>
          <w:sz w:val="32"/>
        </w:rPr>
        <w:t>万元，上升</w:t>
      </w:r>
      <w:r>
        <w:rPr>
          <w:rFonts w:hint="eastAsia" w:ascii="仿宋_GB2312" w:hAnsi="仿宋_GB2312" w:eastAsia="仿宋_GB2312"/>
          <w:sz w:val="32"/>
          <w:lang w:val="en-US" w:eastAsia="zh-CN"/>
        </w:rPr>
        <w:t>36.17</w:t>
      </w:r>
      <w:r>
        <w:rPr>
          <w:rFonts w:hint="eastAsia" w:ascii="仿宋_GB2312" w:hAnsi="仿宋_GB2312" w:eastAsia="仿宋_GB2312"/>
          <w:sz w:val="32"/>
        </w:rPr>
        <w:t>%。主要原因是2021年度新增“博爱一日捐：园丁大病救助”项目导致。</w:t>
      </w:r>
    </w:p>
    <w:p>
      <w:pPr>
        <w:numPr>
          <w:ilvl w:val="0"/>
          <w:numId w:val="4"/>
        </w:numPr>
        <w:jc w:val="left"/>
        <w:outlineLvl w:val="1"/>
        <w:rPr>
          <w:rFonts w:asciiTheme="majorEastAsia" w:hAnsiTheme="majorEastAsia" w:eastAsiaTheme="majorEastAsia" w:cstheme="majorEastAsia"/>
          <w:b/>
          <w:bCs/>
          <w:sz w:val="32"/>
          <w:szCs w:val="32"/>
        </w:rPr>
      </w:pPr>
      <w:bookmarkStart w:id="9" w:name="_Toc30922"/>
      <w:r>
        <w:rPr>
          <w:rFonts w:hint="eastAsia" w:asciiTheme="majorEastAsia" w:hAnsiTheme="majorEastAsia" w:eastAsiaTheme="majorEastAsia" w:cstheme="majorEastAsia"/>
          <w:b/>
          <w:bCs/>
          <w:sz w:val="32"/>
          <w:szCs w:val="32"/>
        </w:rPr>
        <w:t>一般公共预算财政拨款支出决算情况说明</w:t>
      </w:r>
      <w:bookmarkEnd w:id="9"/>
    </w:p>
    <w:p>
      <w:pPr>
        <w:ind w:left="642"/>
        <w:jc w:val="left"/>
        <w:outlineLvl w:val="2"/>
        <w:rPr>
          <w:rFonts w:ascii="仿宋_GB2312" w:hAnsi="仿宋_GB2312" w:eastAsia="仿宋_GB2312"/>
          <w:b/>
          <w:sz w:val="32"/>
        </w:rPr>
      </w:pPr>
      <w:bookmarkStart w:id="10" w:name="_Toc17205"/>
      <w:r>
        <w:rPr>
          <w:rFonts w:hint="eastAsia" w:asciiTheme="majorEastAsia" w:hAnsiTheme="majorEastAsia" w:eastAsiaTheme="majorEastAsia" w:cstheme="majorEastAsia"/>
          <w:b/>
          <w:bCs/>
          <w:sz w:val="32"/>
          <w:szCs w:val="32"/>
        </w:rPr>
        <w:t>（</w:t>
      </w:r>
      <w:r>
        <w:rPr>
          <w:rFonts w:hint="eastAsia" w:ascii="仿宋_GB2312" w:hAnsi="仿宋_GB2312" w:eastAsia="仿宋_GB2312"/>
          <w:b/>
          <w:sz w:val="32"/>
        </w:rPr>
        <w:t>一）一般公共预算财政拨款支出决算总体情况</w:t>
      </w:r>
      <w:bookmarkEnd w:id="10"/>
    </w:p>
    <w:p>
      <w:pPr>
        <w:ind w:firstLine="640" w:firstLineChars="200"/>
        <w:jc w:val="left"/>
        <w:rPr>
          <w:rFonts w:ascii="仿宋_GB2312" w:hAnsi="仿宋_GB2312" w:eastAsia="仿宋_GB2312"/>
          <w:sz w:val="32"/>
        </w:rPr>
      </w:pPr>
      <w:r>
        <w:rPr>
          <w:rFonts w:hint="eastAsia" w:ascii="仿宋_GB2312" w:hAnsi="仿宋_GB2312" w:eastAsia="仿宋_GB2312"/>
          <w:sz w:val="32"/>
        </w:rPr>
        <w:t>2021年度财政拨款支出</w:t>
      </w:r>
      <w:r>
        <w:rPr>
          <w:rFonts w:hint="eastAsia" w:ascii="仿宋_GB2312" w:hAnsi="仿宋_GB2312" w:eastAsia="仿宋_GB2312"/>
          <w:sz w:val="32"/>
          <w:lang w:val="en-US" w:eastAsia="zh-CN"/>
        </w:rPr>
        <w:t>316.36</w:t>
      </w:r>
      <w:r>
        <w:rPr>
          <w:rFonts w:hint="eastAsia" w:ascii="仿宋_GB2312" w:hAnsi="仿宋_GB2312" w:eastAsia="仿宋_GB2312"/>
          <w:sz w:val="32"/>
        </w:rPr>
        <w:t>万元，占本年支出合计的</w:t>
      </w:r>
      <w:r>
        <w:rPr>
          <w:rFonts w:hint="eastAsia" w:ascii="仿宋_GB2312" w:hAnsi="仿宋_GB2312" w:eastAsia="仿宋_GB2312"/>
          <w:sz w:val="32"/>
          <w:lang w:val="en-US" w:eastAsia="zh-CN"/>
        </w:rPr>
        <w:t>95.75</w:t>
      </w:r>
      <w:r>
        <w:rPr>
          <w:rFonts w:hint="eastAsia" w:ascii="仿宋_GB2312" w:hAnsi="仿宋_GB2312" w:eastAsia="仿宋_GB2312"/>
          <w:sz w:val="32"/>
        </w:rPr>
        <w:t>%。与上年相比，</w:t>
      </w:r>
      <w:r>
        <w:rPr>
          <w:rFonts w:hint="eastAsia" w:ascii="仿宋_GB2312" w:hAnsi="仿宋_GB2312" w:eastAsia="仿宋_GB2312"/>
          <w:sz w:val="32"/>
          <w:lang w:eastAsia="zh-CN"/>
        </w:rPr>
        <w:t>一般公共预算</w:t>
      </w:r>
      <w:r>
        <w:rPr>
          <w:rFonts w:hint="eastAsia" w:ascii="仿宋_GB2312" w:hAnsi="仿宋_GB2312" w:eastAsia="仿宋_GB2312"/>
          <w:sz w:val="32"/>
        </w:rPr>
        <w:t>财政拨款支出增加8</w:t>
      </w:r>
      <w:r>
        <w:rPr>
          <w:rFonts w:hint="eastAsia" w:ascii="仿宋_GB2312" w:hAnsi="仿宋_GB2312" w:eastAsia="仿宋_GB2312"/>
          <w:sz w:val="32"/>
          <w:lang w:val="en-US" w:eastAsia="zh-CN"/>
        </w:rPr>
        <w:t>4.96万元</w:t>
      </w:r>
      <w:r>
        <w:rPr>
          <w:rFonts w:hint="eastAsia" w:ascii="仿宋_GB2312" w:hAnsi="仿宋_GB2312" w:eastAsia="仿宋_GB2312"/>
          <w:sz w:val="32"/>
        </w:rPr>
        <w:t>，上升36.</w:t>
      </w:r>
      <w:r>
        <w:rPr>
          <w:rFonts w:hint="eastAsia" w:ascii="仿宋_GB2312" w:hAnsi="仿宋_GB2312" w:eastAsia="仿宋_GB2312"/>
          <w:sz w:val="32"/>
          <w:lang w:val="en-US" w:eastAsia="zh-CN"/>
        </w:rPr>
        <w:t>72</w:t>
      </w:r>
      <w:r>
        <w:rPr>
          <w:rFonts w:hint="eastAsia" w:ascii="仿宋_GB2312" w:hAnsi="仿宋_GB2312" w:eastAsia="仿宋_GB2312"/>
          <w:sz w:val="32"/>
        </w:rPr>
        <w:t>%。原因是2021年度新增“博爱一日捐：园丁大病救助”项目导致。其中，</w:t>
      </w:r>
      <w:r>
        <w:rPr>
          <w:rFonts w:hint="eastAsia" w:ascii="仿宋_GB2312" w:hAnsi="仿宋_GB2312" w:eastAsia="仿宋_GB2312"/>
          <w:sz w:val="32"/>
          <w:lang w:eastAsia="zh-CN"/>
        </w:rPr>
        <w:t>基本支出</w:t>
      </w:r>
      <w:r>
        <w:rPr>
          <w:rFonts w:hint="eastAsia" w:ascii="仿宋_GB2312" w:hAnsi="仿宋_GB2312" w:eastAsia="仿宋_GB2312"/>
          <w:sz w:val="32"/>
          <w:lang w:val="en-US" w:eastAsia="zh-CN"/>
        </w:rPr>
        <w:t>88.83</w:t>
      </w:r>
      <w:r>
        <w:rPr>
          <w:rFonts w:hint="eastAsia" w:ascii="仿宋_GB2312" w:hAnsi="仿宋_GB2312" w:eastAsia="仿宋_GB2312"/>
          <w:sz w:val="32"/>
        </w:rPr>
        <w:t>万元，占比</w:t>
      </w:r>
      <w:r>
        <w:rPr>
          <w:rFonts w:hint="eastAsia" w:ascii="仿宋_GB2312" w:hAnsi="仿宋_GB2312" w:eastAsia="仿宋_GB2312"/>
          <w:sz w:val="32"/>
          <w:lang w:val="en-US" w:eastAsia="zh-CN"/>
        </w:rPr>
        <w:t>28.1</w:t>
      </w:r>
      <w:r>
        <w:rPr>
          <w:rFonts w:hint="eastAsia" w:ascii="仿宋_GB2312" w:hAnsi="仿宋_GB2312" w:eastAsia="仿宋_GB2312"/>
          <w:sz w:val="32"/>
        </w:rPr>
        <w:t>%，</w:t>
      </w:r>
      <w:r>
        <w:rPr>
          <w:rFonts w:hint="eastAsia" w:ascii="仿宋_GB2312" w:hAnsi="仿宋_GB2312" w:eastAsia="仿宋_GB2312"/>
          <w:sz w:val="32"/>
          <w:lang w:eastAsia="zh-CN"/>
        </w:rPr>
        <w:t>项目支出</w:t>
      </w:r>
      <w:r>
        <w:rPr>
          <w:rFonts w:hint="eastAsia" w:ascii="仿宋_GB2312" w:hAnsi="仿宋_GB2312" w:eastAsia="仿宋_GB2312"/>
          <w:sz w:val="32"/>
          <w:lang w:val="en-US" w:eastAsia="zh-CN"/>
        </w:rPr>
        <w:t>227.54</w:t>
      </w:r>
      <w:r>
        <w:rPr>
          <w:rFonts w:hint="eastAsia" w:ascii="仿宋_GB2312" w:hAnsi="仿宋_GB2312" w:eastAsia="仿宋_GB2312"/>
          <w:sz w:val="32"/>
        </w:rPr>
        <w:t>万元，占比</w:t>
      </w:r>
      <w:r>
        <w:rPr>
          <w:rFonts w:hint="eastAsia" w:ascii="仿宋_GB2312" w:hAnsi="仿宋_GB2312" w:eastAsia="仿宋_GB2312"/>
          <w:sz w:val="32"/>
          <w:lang w:val="en-US" w:eastAsia="zh-CN"/>
        </w:rPr>
        <w:t>71.9</w:t>
      </w:r>
      <w:r>
        <w:rPr>
          <w:rFonts w:hint="eastAsia" w:ascii="仿宋_GB2312" w:hAnsi="仿宋_GB2312" w:eastAsia="仿宋_GB2312"/>
          <w:sz w:val="32"/>
        </w:rPr>
        <w:t>%。</w:t>
      </w:r>
    </w:p>
    <w:p>
      <w:pPr>
        <w:numPr>
          <w:ilvl w:val="0"/>
          <w:numId w:val="5"/>
        </w:numPr>
        <w:ind w:firstLine="643" w:firstLineChars="200"/>
        <w:outlineLvl w:val="2"/>
        <w:rPr>
          <w:rFonts w:ascii="仿宋_GB2312" w:hAnsi="仿宋_GB2312" w:eastAsia="仿宋_GB2312"/>
          <w:b/>
          <w:sz w:val="32"/>
        </w:rPr>
      </w:pPr>
      <w:bookmarkStart w:id="11" w:name="_Toc14591"/>
      <w:r>
        <w:rPr>
          <w:rFonts w:hint="eastAsia" w:ascii="仿宋_GB2312" w:hAnsi="仿宋_GB2312" w:eastAsia="仿宋_GB2312"/>
          <w:b/>
          <w:sz w:val="32"/>
        </w:rPr>
        <w:t>一般公共预算财政拨款支出决算结构情况</w:t>
      </w:r>
      <w:bookmarkEnd w:id="11"/>
    </w:p>
    <w:p>
      <w:pPr>
        <w:ind w:firstLine="640" w:firstLineChars="200"/>
        <w:rPr>
          <w:rFonts w:ascii="FangSong" w:hAnsi="FangSong" w:eastAsia="FangSong" w:cs="FangSong"/>
          <w:sz w:val="32"/>
          <w:szCs w:val="32"/>
        </w:rPr>
      </w:pPr>
      <w:r>
        <w:rPr>
          <w:rFonts w:hint="eastAsia" w:ascii="仿宋_GB2312" w:hAnsi="仿宋_GB2312" w:eastAsia="仿宋_GB2312"/>
          <w:sz w:val="32"/>
        </w:rPr>
        <w:t>2021年度财政拨款支出</w:t>
      </w:r>
      <w:r>
        <w:rPr>
          <w:rFonts w:hint="eastAsia" w:ascii="仿宋_GB2312" w:hAnsi="仿宋_GB2312" w:eastAsia="仿宋_GB2312"/>
          <w:sz w:val="32"/>
          <w:lang w:val="en-US" w:eastAsia="zh-CN"/>
        </w:rPr>
        <w:t>316.36</w:t>
      </w:r>
      <w:r>
        <w:rPr>
          <w:rFonts w:hint="eastAsia" w:ascii="仿宋_GB2312" w:hAnsi="仿宋_GB2312" w:eastAsia="仿宋_GB2312"/>
          <w:sz w:val="32"/>
        </w:rPr>
        <w:t>万元，主要用于以下方面：社会和保障就业支出302.69万元，</w:t>
      </w:r>
      <w:r>
        <w:rPr>
          <w:rFonts w:hint="eastAsia" w:ascii="仿宋_GB2312" w:hAnsi="仿宋_GB2312" w:eastAsia="仿宋_GB2312"/>
          <w:sz w:val="32"/>
          <w:lang w:eastAsia="zh-CN"/>
        </w:rPr>
        <w:t>占比</w:t>
      </w:r>
      <w:r>
        <w:rPr>
          <w:rFonts w:hint="eastAsia" w:ascii="仿宋_GB2312" w:hAnsi="仿宋_GB2312" w:eastAsia="仿宋_GB2312"/>
          <w:sz w:val="32"/>
          <w:lang w:val="en-US" w:eastAsia="zh-CN"/>
        </w:rPr>
        <w:t>95.68%；</w:t>
      </w:r>
      <w:r>
        <w:rPr>
          <w:rFonts w:hint="eastAsia" w:ascii="仿宋_GB2312" w:hAnsi="仿宋_GB2312" w:eastAsia="仿宋_GB2312"/>
          <w:sz w:val="32"/>
        </w:rPr>
        <w:t>卫生健康支出3.24万元，</w:t>
      </w:r>
      <w:r>
        <w:rPr>
          <w:rFonts w:hint="eastAsia" w:ascii="仿宋_GB2312" w:hAnsi="仿宋_GB2312" w:eastAsia="仿宋_GB2312"/>
          <w:sz w:val="32"/>
          <w:lang w:eastAsia="zh-CN"/>
        </w:rPr>
        <w:t>占比</w:t>
      </w:r>
      <w:r>
        <w:rPr>
          <w:rFonts w:hint="eastAsia" w:ascii="仿宋_GB2312" w:hAnsi="仿宋_GB2312" w:eastAsia="仿宋_GB2312"/>
          <w:sz w:val="32"/>
          <w:lang w:val="en-US" w:eastAsia="zh-CN"/>
        </w:rPr>
        <w:t>1.02%；</w:t>
      </w:r>
      <w:r>
        <w:rPr>
          <w:rFonts w:hint="eastAsia" w:ascii="FangSong" w:hAnsi="FangSong" w:eastAsia="FangSong" w:cs="FangSong"/>
          <w:sz w:val="32"/>
          <w:szCs w:val="32"/>
        </w:rPr>
        <w:t>住房保障支出6.3万元，</w:t>
      </w:r>
      <w:r>
        <w:rPr>
          <w:rFonts w:hint="eastAsia" w:ascii="FangSong" w:hAnsi="FangSong" w:eastAsia="FangSong" w:cs="FangSong"/>
          <w:sz w:val="32"/>
          <w:szCs w:val="32"/>
          <w:lang w:eastAsia="zh-CN"/>
        </w:rPr>
        <w:t>占比</w:t>
      </w:r>
      <w:r>
        <w:rPr>
          <w:rFonts w:hint="eastAsia" w:ascii="FangSong" w:hAnsi="FangSong" w:eastAsia="FangSong" w:cs="FangSong"/>
          <w:sz w:val="32"/>
          <w:szCs w:val="32"/>
          <w:lang w:val="en-US" w:eastAsia="zh-CN"/>
        </w:rPr>
        <w:t>2%；</w:t>
      </w:r>
      <w:r>
        <w:rPr>
          <w:rFonts w:hint="eastAsia" w:ascii="FangSong" w:hAnsi="FangSong" w:eastAsia="FangSong" w:cs="FangSong"/>
          <w:sz w:val="32"/>
          <w:szCs w:val="32"/>
        </w:rPr>
        <w:t>其他支出</w:t>
      </w:r>
      <w:r>
        <w:rPr>
          <w:rFonts w:hint="eastAsia" w:ascii="FangSong" w:hAnsi="FangSong" w:eastAsia="FangSong" w:cs="FangSong"/>
          <w:sz w:val="32"/>
          <w:szCs w:val="32"/>
          <w:lang w:val="en-US" w:eastAsia="zh-CN"/>
        </w:rPr>
        <w:t>4.13</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w:t>
      </w:r>
      <w:r>
        <w:rPr>
          <w:rFonts w:hint="eastAsia" w:ascii="FangSong" w:hAnsi="FangSong" w:eastAsia="FangSong" w:cs="FangSong"/>
          <w:sz w:val="32"/>
          <w:szCs w:val="32"/>
          <w:lang w:val="en-US" w:eastAsia="zh-CN"/>
        </w:rPr>
        <w:t>1.3%</w:t>
      </w:r>
      <w:r>
        <w:rPr>
          <w:rFonts w:hint="eastAsia" w:ascii="FangSong" w:hAnsi="FangSong" w:eastAsia="FangSong" w:cs="FangSong"/>
          <w:sz w:val="32"/>
          <w:szCs w:val="32"/>
        </w:rPr>
        <w:t>。</w:t>
      </w:r>
    </w:p>
    <w:p>
      <w:pPr>
        <w:pStyle w:val="2"/>
        <w:numPr>
          <w:ilvl w:val="0"/>
          <w:numId w:val="5"/>
        </w:numPr>
        <w:ind w:left="0" w:leftChars="0" w:firstLine="640"/>
        <w:outlineLvl w:val="2"/>
        <w:rPr>
          <w:rFonts w:ascii="仿宋_GB2312" w:hAnsi="仿宋_GB2312" w:eastAsia="仿宋_GB2312"/>
          <w:b/>
          <w:sz w:val="32"/>
        </w:rPr>
      </w:pPr>
      <w:bookmarkStart w:id="12" w:name="_Toc20851"/>
      <w:r>
        <w:rPr>
          <w:rFonts w:hint="eastAsia" w:ascii="仿宋_GB2312" w:hAnsi="仿宋_GB2312" w:eastAsia="仿宋_GB2312"/>
          <w:b/>
          <w:sz w:val="32"/>
        </w:rPr>
        <w:t>财政拨款支出决算具体情况</w:t>
      </w:r>
      <w:bookmarkEnd w:id="12"/>
    </w:p>
    <w:p>
      <w:pPr>
        <w:ind w:firstLine="640" w:firstLineChars="200"/>
        <w:rPr>
          <w:rFonts w:ascii="仿宋_GB2312" w:hAnsi="仿宋_GB2312" w:eastAsia="仿宋_GB2312"/>
          <w:sz w:val="32"/>
        </w:rPr>
      </w:pPr>
      <w:r>
        <w:rPr>
          <w:rFonts w:hint="eastAsia" w:ascii="仿宋_GB2312" w:hAnsi="仿宋_GB2312" w:eastAsia="仿宋_GB2312"/>
          <w:sz w:val="32"/>
        </w:rPr>
        <w:t>2021年度财政拨款支出年初预算</w:t>
      </w:r>
      <w:r>
        <w:rPr>
          <w:rFonts w:hint="eastAsia" w:ascii="仿宋_GB2312" w:hAnsi="仿宋_GB2312" w:eastAsia="仿宋_GB2312"/>
          <w:sz w:val="32"/>
          <w:lang w:val="en-US" w:eastAsia="zh-CN"/>
        </w:rPr>
        <w:t>309.36</w:t>
      </w:r>
      <w:r>
        <w:rPr>
          <w:rFonts w:hint="eastAsia" w:ascii="仿宋_GB2312" w:hAnsi="仿宋_GB2312" w:eastAsia="仿宋_GB2312"/>
          <w:sz w:val="32"/>
        </w:rPr>
        <w:t>万元，支出决算</w:t>
      </w:r>
      <w:r>
        <w:rPr>
          <w:rFonts w:hint="eastAsia" w:ascii="仿宋_GB2312" w:hAnsi="仿宋_GB2312" w:eastAsia="仿宋_GB2312"/>
          <w:sz w:val="32"/>
          <w:lang w:val="en-US" w:eastAsia="zh-CN"/>
        </w:rPr>
        <w:t>316.36</w:t>
      </w:r>
      <w:r>
        <w:rPr>
          <w:rFonts w:hint="eastAsia" w:ascii="仿宋_GB2312" w:hAnsi="仿宋_GB2312" w:eastAsia="仿宋_GB2312"/>
          <w:sz w:val="32"/>
        </w:rPr>
        <w:t>万元，完成年初预算的100%。其中：</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一般公共预算财政拨款支出年初预算</w:t>
      </w:r>
      <w:r>
        <w:rPr>
          <w:rFonts w:hint="eastAsia" w:ascii="仿宋_GB2312" w:hAnsi="仿宋_GB2312" w:eastAsia="仿宋_GB2312"/>
          <w:sz w:val="32"/>
          <w:lang w:val="en-US" w:eastAsia="zh-CN"/>
        </w:rPr>
        <w:t>309.36</w:t>
      </w:r>
      <w:r>
        <w:rPr>
          <w:rFonts w:hint="eastAsia" w:ascii="仿宋_GB2312" w:hAnsi="仿宋_GB2312" w:eastAsia="仿宋_GB2312"/>
          <w:sz w:val="32"/>
        </w:rPr>
        <w:t>万元，支出决算316.36万元，完成年初预算的</w:t>
      </w:r>
      <w:r>
        <w:rPr>
          <w:rFonts w:hint="eastAsia" w:ascii="仿宋_GB2312" w:hAnsi="仿宋_GB2312" w:eastAsia="仿宋_GB2312"/>
          <w:sz w:val="32"/>
          <w:lang w:val="en-US" w:eastAsia="zh-CN"/>
        </w:rPr>
        <w:t>100</w:t>
      </w:r>
      <w:r>
        <w:rPr>
          <w:rFonts w:hint="eastAsia" w:ascii="仿宋_GB2312" w:hAnsi="仿宋_GB2312" w:eastAsia="仿宋_GB2312"/>
          <w:sz w:val="32"/>
        </w:rPr>
        <w:t>%</w:t>
      </w:r>
      <w:r>
        <w:rPr>
          <w:rFonts w:hint="eastAsia" w:ascii="仿宋_GB2312" w:hAnsi="仿宋_GB2312" w:eastAsia="仿宋_GB2312"/>
          <w:sz w:val="32"/>
          <w:lang w:eastAsia="zh-CN"/>
        </w:rPr>
        <w:t>。</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社会保障和就业支出年初预算</w:t>
      </w:r>
      <w:r>
        <w:rPr>
          <w:rFonts w:hint="eastAsia" w:ascii="仿宋_GB2312" w:hAnsi="仿宋_GB2312" w:eastAsia="仿宋_GB2312"/>
          <w:sz w:val="32"/>
          <w:lang w:val="en-US" w:eastAsia="zh-CN"/>
        </w:rPr>
        <w:t>298.76</w:t>
      </w:r>
      <w:r>
        <w:rPr>
          <w:rFonts w:hint="eastAsia" w:ascii="仿宋_GB2312" w:hAnsi="仿宋_GB2312" w:eastAsia="仿宋_GB2312"/>
          <w:sz w:val="32"/>
        </w:rPr>
        <w:t>万元，支出决算</w:t>
      </w:r>
      <w:r>
        <w:rPr>
          <w:rFonts w:hint="eastAsia" w:ascii="仿宋_GB2312" w:hAnsi="仿宋_GB2312" w:eastAsia="仿宋_GB2312"/>
          <w:sz w:val="32"/>
          <w:lang w:val="en-US" w:eastAsia="zh-CN"/>
        </w:rPr>
        <w:t>302.69</w:t>
      </w:r>
      <w:r>
        <w:rPr>
          <w:rFonts w:hint="eastAsia" w:ascii="仿宋_GB2312" w:hAnsi="仿宋_GB2312" w:eastAsia="仿宋_GB2312"/>
          <w:sz w:val="32"/>
        </w:rPr>
        <w:t>万元，完成年初预算的1</w:t>
      </w:r>
      <w:r>
        <w:rPr>
          <w:rFonts w:hint="eastAsia" w:ascii="仿宋_GB2312" w:hAnsi="仿宋_GB2312" w:eastAsia="仿宋_GB2312"/>
          <w:sz w:val="32"/>
          <w:lang w:val="en-US" w:eastAsia="zh-CN"/>
        </w:rPr>
        <w:t>01.32</w:t>
      </w:r>
      <w:r>
        <w:rPr>
          <w:rFonts w:hint="eastAsia" w:ascii="仿宋_GB2312" w:hAnsi="仿宋_GB2312" w:eastAsia="仿宋_GB2312"/>
          <w:sz w:val="32"/>
        </w:rPr>
        <w:t>％，用于支付在职人员养老保险、职业年金等社会保险缴费以及支付单位退休人员的退休费</w:t>
      </w:r>
      <w:r>
        <w:rPr>
          <w:rFonts w:hint="eastAsia" w:ascii="仿宋_GB2312" w:hAnsi="仿宋_GB2312" w:eastAsia="仿宋_GB2312"/>
          <w:sz w:val="32"/>
          <w:lang w:eastAsia="zh-CN"/>
        </w:rPr>
        <w:t>、对个人和家庭的补助支出的救济费</w:t>
      </w:r>
      <w:r>
        <w:rPr>
          <w:rFonts w:hint="eastAsia" w:ascii="仿宋_GB2312" w:hAnsi="仿宋_GB2312" w:eastAsia="仿宋_GB2312"/>
          <w:sz w:val="32"/>
        </w:rPr>
        <w:t>等。</w:t>
      </w:r>
      <w:r>
        <w:rPr>
          <w:rFonts w:hint="eastAsia" w:ascii="仿宋_GB2312" w:hAnsi="仿宋_GB2312" w:eastAsia="仿宋_GB2312"/>
          <w:sz w:val="32"/>
          <w:lang w:eastAsia="zh-CN"/>
        </w:rPr>
        <w:t>较上年决算增加</w:t>
      </w:r>
      <w:r>
        <w:rPr>
          <w:rFonts w:hint="eastAsia" w:ascii="仿宋_GB2312" w:hAnsi="仿宋_GB2312" w:eastAsia="仿宋_GB2312"/>
          <w:sz w:val="32"/>
          <w:lang w:val="en-US" w:eastAsia="zh-CN"/>
        </w:rPr>
        <w:t>97.77万元，</w:t>
      </w:r>
      <w:r>
        <w:rPr>
          <w:rFonts w:hint="eastAsia" w:ascii="仿宋_GB2312" w:hAnsi="仿宋_GB2312" w:eastAsia="仿宋_GB2312"/>
          <w:sz w:val="32"/>
        </w:rPr>
        <w:t>主要原因是</w:t>
      </w:r>
      <w:r>
        <w:rPr>
          <w:rFonts w:hint="eastAsia" w:ascii="仿宋_GB2312" w:hAnsi="仿宋_GB2312" w:eastAsia="仿宋_GB2312"/>
          <w:sz w:val="32"/>
          <w:lang w:val="en-US" w:eastAsia="zh-CN"/>
        </w:rPr>
        <w:t>2021年新增“博爱一日捐：园丁大病救助”项目导致</w:t>
      </w:r>
      <w:r>
        <w:rPr>
          <w:rFonts w:hint="eastAsia" w:ascii="仿宋_GB2312" w:hAnsi="仿宋_GB2312" w:eastAsia="仿宋_GB2312"/>
          <w:sz w:val="32"/>
          <w:lang w:eastAsia="zh-CN"/>
        </w:rPr>
        <w:t>。</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卫生健康支出年初预算3.55万元，支出决算3.24万元，完成年初预算的91.3％，用于支付在职人员医疗保险。较上年决算减少7.05万元，主要原因是2020年度新增突发公共卫生事件应急处理项目经费，2021年减少此项目经费导致。</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住房保障支出年初预算7.05万元，支出决算6.3万元，完成年初预算的89.36%，用于住房改革方面支出。较上年决算增加0.15万元，增长2.4%，主要原因是在职人员变动，住房公积金增加。</w:t>
      </w:r>
    </w:p>
    <w:p>
      <w:pPr>
        <w:pStyle w:val="2"/>
        <w:ind w:left="0" w:leftChars="0" w:firstLine="640" w:firstLineChars="200"/>
        <w:rPr>
          <w:rFonts w:hint="eastAsia"/>
          <w:lang w:val="en-US" w:eastAsia="zh-CN"/>
        </w:rPr>
      </w:pPr>
      <w:r>
        <w:rPr>
          <w:rFonts w:hint="eastAsia" w:ascii="仿宋_GB2312" w:hAnsi="仿宋_GB2312" w:eastAsia="仿宋_GB2312" w:cstheme="minorBidi"/>
          <w:kern w:val="2"/>
          <w:sz w:val="32"/>
          <w:szCs w:val="24"/>
          <w:lang w:val="en-US" w:eastAsia="zh-CN" w:bidi="ar-SA"/>
        </w:rPr>
        <w:t>其他支出支出决算4.13万元，为年中调整预算，用于电脑设备购置费支出，较上年决算减少8.2万元，下降66.5%，主要原因是电脑设备购置数量减少，支出减少。</w:t>
      </w:r>
    </w:p>
    <w:p>
      <w:pPr>
        <w:jc w:val="left"/>
        <w:outlineLvl w:val="1"/>
        <w:rPr>
          <w:rFonts w:asciiTheme="majorEastAsia" w:hAnsiTheme="majorEastAsia" w:eastAsiaTheme="majorEastAsia" w:cstheme="majorEastAsia"/>
          <w:b/>
          <w:bCs/>
          <w:sz w:val="32"/>
          <w:szCs w:val="32"/>
        </w:rPr>
      </w:pPr>
      <w:bookmarkStart w:id="13" w:name="_Toc28620"/>
      <w:r>
        <w:rPr>
          <w:rFonts w:hint="eastAsia" w:asciiTheme="majorEastAsia" w:hAnsiTheme="majorEastAsia" w:eastAsiaTheme="majorEastAsia" w:cstheme="majorEastAsia"/>
          <w:b/>
          <w:bCs/>
          <w:sz w:val="32"/>
          <w:szCs w:val="32"/>
        </w:rPr>
        <w:t>六、一般公共预算财政拨款基本支出决算情况说明</w:t>
      </w:r>
      <w:bookmarkEnd w:id="13"/>
    </w:p>
    <w:p>
      <w:pPr>
        <w:ind w:firstLine="640" w:firstLineChars="200"/>
        <w:rPr>
          <w:rFonts w:hint="default" w:ascii="仿宋_GB2312" w:hAnsi="仿宋_GB2312" w:eastAsia="仿宋_GB2312"/>
          <w:sz w:val="32"/>
          <w:lang w:val="en-US"/>
        </w:rPr>
      </w:pPr>
      <w:r>
        <w:rPr>
          <w:rFonts w:hint="eastAsia" w:ascii="仿宋_GB2312" w:hAnsi="仿宋_GB2312" w:eastAsia="仿宋_GB2312"/>
          <w:sz w:val="32"/>
        </w:rPr>
        <w:t>2021年度财政拨款基本支出88.8</w:t>
      </w:r>
      <w:r>
        <w:rPr>
          <w:rFonts w:hint="eastAsia" w:ascii="仿宋_GB2312" w:hAnsi="仿宋_GB2312" w:eastAsia="仿宋_GB2312"/>
          <w:sz w:val="32"/>
          <w:lang w:val="en-US" w:eastAsia="zh-CN"/>
        </w:rPr>
        <w:t>3</w:t>
      </w:r>
      <w:r>
        <w:rPr>
          <w:rFonts w:hint="eastAsia" w:ascii="仿宋_GB2312" w:hAnsi="仿宋_GB2312" w:eastAsia="仿宋_GB2312"/>
          <w:sz w:val="32"/>
        </w:rPr>
        <w:t>万元，其中：人员经费78.7</w:t>
      </w:r>
      <w:r>
        <w:rPr>
          <w:rFonts w:hint="eastAsia" w:ascii="仿宋_GB2312" w:hAnsi="仿宋_GB2312" w:eastAsia="仿宋_GB2312"/>
          <w:sz w:val="32"/>
          <w:lang w:val="en-US" w:eastAsia="zh-CN"/>
        </w:rPr>
        <w:t>7</w:t>
      </w:r>
      <w:r>
        <w:rPr>
          <w:rFonts w:hint="eastAsia" w:ascii="仿宋_GB2312" w:hAnsi="仿宋_GB2312" w:eastAsia="仿宋_GB2312"/>
          <w:sz w:val="32"/>
        </w:rPr>
        <w:t>万元，主要包括：</w:t>
      </w:r>
      <w:r>
        <w:rPr>
          <w:rFonts w:hint="eastAsia" w:ascii="仿宋_GB2312" w:hAnsi="仿宋_GB2312" w:eastAsia="仿宋_GB2312"/>
          <w:sz w:val="32"/>
          <w:lang w:eastAsia="zh-CN"/>
        </w:rPr>
        <w:t>工资和福利支出</w:t>
      </w:r>
      <w:r>
        <w:rPr>
          <w:rFonts w:hint="eastAsia" w:ascii="仿宋_GB2312" w:hAnsi="仿宋_GB2312" w:eastAsia="仿宋_GB2312"/>
          <w:sz w:val="32"/>
          <w:lang w:val="en-US" w:eastAsia="zh-CN"/>
        </w:rPr>
        <w:t>69.64万元；对个人和家庭的补助支出9.13万元。公用经费支出10.06万元，主要包括：商品和服务支出9.56万元；资本性支出0.5万元。</w:t>
      </w:r>
    </w:p>
    <w:p>
      <w:pPr>
        <w:jc w:val="left"/>
        <w:outlineLvl w:val="1"/>
        <w:rPr>
          <w:rFonts w:hint="eastAsia" w:asciiTheme="majorEastAsia" w:hAnsiTheme="majorEastAsia" w:eastAsiaTheme="majorEastAsia" w:cstheme="majorEastAsia"/>
          <w:b/>
          <w:bCs/>
          <w:sz w:val="32"/>
          <w:szCs w:val="32"/>
        </w:rPr>
      </w:pPr>
      <w:bookmarkStart w:id="14" w:name="_Toc7699"/>
      <w:r>
        <w:rPr>
          <w:rFonts w:hint="eastAsia" w:asciiTheme="majorEastAsia" w:hAnsiTheme="majorEastAsia" w:eastAsiaTheme="majorEastAsia" w:cstheme="majorEastAsia"/>
          <w:b/>
          <w:bCs/>
          <w:sz w:val="32"/>
          <w:szCs w:val="32"/>
          <w:lang w:eastAsia="zh-CN"/>
        </w:rPr>
        <w:t>七、</w:t>
      </w:r>
      <w:r>
        <w:rPr>
          <w:rFonts w:hint="eastAsia" w:asciiTheme="majorEastAsia" w:hAnsiTheme="majorEastAsia" w:eastAsiaTheme="majorEastAsia" w:cstheme="majorEastAsia"/>
          <w:b/>
          <w:bCs/>
          <w:sz w:val="32"/>
          <w:szCs w:val="32"/>
        </w:rPr>
        <w:t>一般公共预算财政拨款三公经费支出决算情况说明</w:t>
      </w:r>
      <w:bookmarkEnd w:id="14"/>
    </w:p>
    <w:p>
      <w:pPr>
        <w:ind w:firstLine="643" w:firstLineChars="200"/>
        <w:outlineLvl w:val="2"/>
        <w:rPr>
          <w:rFonts w:ascii="仿宋_GB2312" w:hAnsi="仿宋_GB2312" w:eastAsia="仿宋_GB2312"/>
          <w:b/>
          <w:bCs/>
          <w:sz w:val="32"/>
        </w:rPr>
      </w:pPr>
      <w:bookmarkStart w:id="15" w:name="_Toc30206"/>
      <w:r>
        <w:rPr>
          <w:rFonts w:hint="eastAsia" w:ascii="仿宋_GB2312" w:hAnsi="仿宋_GB2312" w:eastAsia="仿宋_GB2312"/>
          <w:b/>
          <w:bCs/>
          <w:sz w:val="32"/>
        </w:rPr>
        <w:t>（一）“三公”经费财政拨款支出决算总体情况说明：</w:t>
      </w:r>
      <w:bookmarkEnd w:id="15"/>
    </w:p>
    <w:p>
      <w:pPr>
        <w:ind w:firstLine="640" w:firstLineChars="200"/>
        <w:rPr>
          <w:rFonts w:ascii="仿宋_GB2312" w:hAnsi="仿宋_GB2312" w:eastAsia="仿宋_GB2312"/>
          <w:sz w:val="32"/>
        </w:rPr>
      </w:pPr>
      <w:r>
        <w:rPr>
          <w:rFonts w:hint="eastAsia" w:ascii="仿宋_GB2312" w:hAnsi="仿宋_GB2312" w:eastAsia="仿宋_GB2312"/>
          <w:sz w:val="32"/>
        </w:rPr>
        <w:t>大同市红十字会2021年度无三公经费支出，与上年度一致。</w:t>
      </w:r>
    </w:p>
    <w:p>
      <w:pPr>
        <w:ind w:firstLine="643" w:firstLineChars="200"/>
        <w:outlineLvl w:val="2"/>
        <w:rPr>
          <w:rFonts w:ascii="仿宋_GB2312" w:hAnsi="仿宋_GB2312" w:eastAsia="仿宋_GB2312"/>
          <w:b/>
          <w:bCs/>
          <w:sz w:val="32"/>
        </w:rPr>
      </w:pPr>
      <w:bookmarkStart w:id="16" w:name="_Toc2539"/>
      <w:r>
        <w:rPr>
          <w:rFonts w:hint="eastAsia" w:ascii="仿宋_GB2312" w:hAnsi="仿宋_GB2312" w:eastAsia="仿宋_GB2312"/>
          <w:b/>
          <w:bCs/>
          <w:sz w:val="32"/>
        </w:rPr>
        <w:t>（二）“三公”经费财政拨款支出决算具体情况说明：</w:t>
      </w:r>
      <w:bookmarkEnd w:id="16"/>
    </w:p>
    <w:p>
      <w:pPr>
        <w:ind w:firstLine="640" w:firstLineChars="200"/>
        <w:rPr>
          <w:rFonts w:ascii="仿宋_GB2312" w:hAnsi="仿宋_GB2312" w:eastAsia="仿宋_GB2312"/>
          <w:sz w:val="32"/>
        </w:rPr>
      </w:pPr>
      <w:r>
        <w:rPr>
          <w:rFonts w:hint="eastAsia" w:ascii="仿宋_GB2312" w:hAnsi="仿宋_GB2312" w:eastAsia="仿宋_GB2312"/>
          <w:sz w:val="32"/>
        </w:rPr>
        <w:t>2021年公务接待费、因公出国(境)费用、公务用车购置费均为0，公务用车购置数为0，2021年末车辆保有量0辆。</w:t>
      </w:r>
    </w:p>
    <w:p>
      <w:pPr>
        <w:ind w:firstLine="640" w:firstLineChars="200"/>
        <w:rPr>
          <w:rFonts w:hint="eastAsia" w:ascii="仿宋_GB2312" w:hAnsi="仿宋_GB2312" w:eastAsia="仿宋_GB2312"/>
          <w:sz w:val="32"/>
        </w:rPr>
      </w:pPr>
      <w:r>
        <w:rPr>
          <w:rFonts w:hint="eastAsia" w:ascii="仿宋_GB2312" w:hAnsi="仿宋_GB2312" w:eastAsia="仿宋_GB2312"/>
          <w:sz w:val="32"/>
        </w:rPr>
        <w:t>2021年未发生因公出国(境)费和公务接待费，所以因公出国(境)团组数及人数、因公接待的批次及人数为0。</w:t>
      </w:r>
    </w:p>
    <w:p>
      <w:pPr>
        <w:outlineLvl w:val="1"/>
        <w:rPr>
          <w:rFonts w:hint="eastAsia" w:ascii="仿宋_GB2312" w:hAnsi="仿宋_GB2312" w:eastAsia="仿宋_GB2312"/>
          <w:b/>
          <w:bCs/>
          <w:sz w:val="32"/>
        </w:rPr>
      </w:pPr>
      <w:bookmarkStart w:id="17" w:name="_Toc28488"/>
      <w:r>
        <w:rPr>
          <w:rFonts w:hint="eastAsia" w:asciiTheme="majorEastAsia" w:hAnsiTheme="majorEastAsia" w:eastAsiaTheme="majorEastAsia" w:cstheme="majorEastAsia"/>
          <w:b/>
          <w:bCs/>
          <w:sz w:val="32"/>
          <w:szCs w:val="32"/>
          <w:lang w:eastAsia="zh-CN"/>
        </w:rPr>
        <w:t>八、政府性基金预算财政拨款收入支出决算情况说明</w:t>
      </w:r>
      <w:bookmarkEnd w:id="17"/>
    </w:p>
    <w:p>
      <w:pPr>
        <w:ind w:firstLine="640" w:firstLineChars="200"/>
        <w:rPr>
          <w:rFonts w:hint="default" w:ascii="仿宋_GB2312" w:hAnsi="仿宋_GB2312" w:eastAsia="仿宋_GB2312"/>
          <w:sz w:val="32"/>
        </w:rPr>
      </w:pPr>
      <w:r>
        <w:rPr>
          <w:rFonts w:hint="eastAsia" w:ascii="仿宋_GB2312" w:hAnsi="仿宋_GB2312" w:eastAsia="仿宋_GB2312"/>
          <w:sz w:val="32"/>
        </w:rPr>
        <w:t>2021年度政府性基金预算财政拨款收入</w:t>
      </w:r>
      <w:r>
        <w:rPr>
          <w:rFonts w:hint="eastAsia" w:ascii="仿宋_GB2312" w:hAnsi="仿宋_GB2312" w:eastAsia="仿宋_GB2312"/>
          <w:sz w:val="32"/>
          <w:lang w:val="en-US" w:eastAsia="zh-CN"/>
        </w:rPr>
        <w:t>14</w:t>
      </w:r>
      <w:r>
        <w:rPr>
          <w:rFonts w:hint="eastAsia" w:ascii="仿宋_GB2312" w:hAnsi="仿宋_GB2312" w:eastAsia="仿宋_GB2312"/>
          <w:sz w:val="32"/>
        </w:rPr>
        <w:t>万元、支出</w:t>
      </w:r>
      <w:r>
        <w:rPr>
          <w:rFonts w:hint="eastAsia" w:ascii="仿宋_GB2312" w:hAnsi="仿宋_GB2312" w:eastAsia="仿宋_GB2312"/>
          <w:sz w:val="32"/>
          <w:lang w:val="en-US" w:eastAsia="zh-CN"/>
        </w:rPr>
        <w:t>14</w:t>
      </w:r>
      <w:r>
        <w:rPr>
          <w:rFonts w:hint="eastAsia" w:ascii="仿宋_GB2312" w:hAnsi="仿宋_GB2312" w:eastAsia="仿宋_GB2312"/>
          <w:sz w:val="32"/>
        </w:rPr>
        <w:t>万元。与上年相比，政府性基金预算财政拨款收入增加</w:t>
      </w:r>
      <w:r>
        <w:rPr>
          <w:rFonts w:hint="eastAsia" w:ascii="仿宋_GB2312" w:hAnsi="仿宋_GB2312" w:eastAsia="仿宋_GB2312"/>
          <w:sz w:val="32"/>
          <w:lang w:val="en-US" w:eastAsia="zh-CN"/>
        </w:rPr>
        <w:t>3.5</w:t>
      </w:r>
      <w:r>
        <w:rPr>
          <w:rFonts w:hint="eastAsia" w:ascii="仿宋_GB2312" w:hAnsi="仿宋_GB2312" w:eastAsia="仿宋_GB2312"/>
          <w:sz w:val="32"/>
        </w:rPr>
        <w:t>万元，增长</w:t>
      </w:r>
      <w:r>
        <w:rPr>
          <w:rFonts w:hint="eastAsia" w:ascii="仿宋_GB2312" w:hAnsi="仿宋_GB2312" w:eastAsia="仿宋_GB2312"/>
          <w:sz w:val="32"/>
          <w:lang w:val="en-US" w:eastAsia="zh-CN"/>
        </w:rPr>
        <w:t>33.3</w:t>
      </w:r>
      <w:r>
        <w:rPr>
          <w:rFonts w:hint="eastAsia" w:ascii="仿宋_GB2312" w:hAnsi="仿宋_GB2312" w:eastAsia="仿宋_GB2312"/>
          <w:sz w:val="32"/>
        </w:rPr>
        <w:t>%，政府性基金预算财政拨款支出增加</w:t>
      </w:r>
      <w:r>
        <w:rPr>
          <w:rFonts w:hint="eastAsia" w:ascii="仿宋_GB2312" w:hAnsi="仿宋_GB2312" w:eastAsia="仿宋_GB2312"/>
          <w:sz w:val="32"/>
          <w:lang w:val="en-US" w:eastAsia="zh-CN"/>
        </w:rPr>
        <w:t>3.5</w:t>
      </w:r>
      <w:r>
        <w:rPr>
          <w:rFonts w:hint="eastAsia" w:ascii="仿宋_GB2312" w:hAnsi="仿宋_GB2312" w:eastAsia="仿宋_GB2312"/>
          <w:sz w:val="32"/>
        </w:rPr>
        <w:t>万元，增长</w:t>
      </w:r>
      <w:r>
        <w:rPr>
          <w:rFonts w:hint="eastAsia" w:ascii="仿宋_GB2312" w:hAnsi="仿宋_GB2312" w:eastAsia="仿宋_GB2312"/>
          <w:sz w:val="32"/>
          <w:lang w:val="en-US" w:eastAsia="zh-CN"/>
        </w:rPr>
        <w:t>33.3</w:t>
      </w:r>
      <w:r>
        <w:rPr>
          <w:rFonts w:hint="eastAsia" w:ascii="仿宋_GB2312" w:hAnsi="仿宋_GB2312" w:eastAsia="仿宋_GB2312"/>
          <w:sz w:val="32"/>
        </w:rPr>
        <w:t>%。主要原因是根据工作实际安排，年中新增</w:t>
      </w:r>
      <w:r>
        <w:rPr>
          <w:rFonts w:hint="eastAsia" w:ascii="仿宋_GB2312" w:hAnsi="仿宋_GB2312" w:eastAsia="仿宋_GB2312"/>
          <w:sz w:val="32"/>
          <w:lang w:eastAsia="zh-CN"/>
        </w:rPr>
        <w:t>用于红十字事业的采票公益金</w:t>
      </w:r>
      <w:r>
        <w:rPr>
          <w:rFonts w:hint="eastAsia" w:ascii="仿宋_GB2312" w:hAnsi="仿宋_GB2312" w:eastAsia="仿宋_GB2312"/>
          <w:sz w:val="32"/>
        </w:rPr>
        <w:t>项目经费。</w:t>
      </w:r>
    </w:p>
    <w:p>
      <w:pPr>
        <w:ind w:firstLine="640" w:firstLineChars="200"/>
      </w:pPr>
      <w:r>
        <w:rPr>
          <w:rFonts w:hint="eastAsia" w:ascii="仿宋_GB2312" w:hAnsi="仿宋_GB2312" w:eastAsia="仿宋_GB2312"/>
          <w:sz w:val="32"/>
        </w:rPr>
        <w:t>2021年度政府性基金预算财政拨款支出</w:t>
      </w:r>
      <w:r>
        <w:rPr>
          <w:rFonts w:hint="eastAsia" w:ascii="仿宋_GB2312" w:hAnsi="仿宋_GB2312" w:eastAsia="仿宋_GB2312"/>
          <w:sz w:val="32"/>
          <w:lang w:val="en-US" w:eastAsia="zh-CN"/>
        </w:rPr>
        <w:t>14</w:t>
      </w:r>
      <w:r>
        <w:rPr>
          <w:rFonts w:hint="eastAsia" w:ascii="仿宋_GB2312" w:hAnsi="仿宋_GB2312" w:eastAsia="仿宋_GB2312"/>
          <w:sz w:val="32"/>
        </w:rPr>
        <w:t>万元，全部用于</w:t>
      </w:r>
      <w:r>
        <w:rPr>
          <w:rFonts w:hint="eastAsia" w:ascii="仿宋_GB2312" w:hAnsi="仿宋_GB2312" w:eastAsia="仿宋_GB2312"/>
          <w:sz w:val="32"/>
          <w:lang w:eastAsia="zh-CN"/>
        </w:rPr>
        <w:t>红十字事业的采票公益金</w:t>
      </w:r>
      <w:r>
        <w:rPr>
          <w:rFonts w:hint="eastAsia" w:ascii="仿宋_GB2312" w:hAnsi="仿宋_GB2312" w:eastAsia="仿宋_GB2312"/>
          <w:sz w:val="32"/>
        </w:rPr>
        <w:t>支出</w:t>
      </w:r>
      <w:r>
        <w:rPr>
          <w:rFonts w:hint="eastAsia" w:ascii="仿宋_GB2312" w:hAnsi="仿宋_GB2312" w:eastAsia="仿宋_GB2312"/>
          <w:sz w:val="32"/>
          <w:lang w:eastAsia="zh-CN"/>
        </w:rPr>
        <w:t>，</w:t>
      </w:r>
      <w:r>
        <w:rPr>
          <w:rFonts w:hint="eastAsia" w:ascii="仿宋_GB2312" w:hAnsi="仿宋_GB2312" w:eastAsia="仿宋_GB2312"/>
          <w:sz w:val="32"/>
        </w:rPr>
        <w:t>占100%。</w:t>
      </w:r>
    </w:p>
    <w:p>
      <w:pPr>
        <w:jc w:val="left"/>
        <w:outlineLvl w:val="1"/>
        <w:rPr>
          <w:rFonts w:asciiTheme="majorEastAsia" w:hAnsiTheme="majorEastAsia" w:eastAsiaTheme="majorEastAsia" w:cstheme="majorEastAsia"/>
          <w:b/>
          <w:bCs/>
          <w:sz w:val="32"/>
          <w:szCs w:val="32"/>
        </w:rPr>
      </w:pPr>
      <w:bookmarkStart w:id="18" w:name="_Toc16186"/>
      <w:r>
        <w:rPr>
          <w:rFonts w:hint="eastAsia" w:asciiTheme="majorEastAsia" w:hAnsiTheme="majorEastAsia" w:eastAsiaTheme="majorEastAsia" w:cstheme="majorEastAsia"/>
          <w:b/>
          <w:bCs/>
          <w:sz w:val="32"/>
          <w:szCs w:val="32"/>
          <w:lang w:eastAsia="zh-CN"/>
        </w:rPr>
        <w:t>九</w:t>
      </w:r>
      <w:r>
        <w:rPr>
          <w:rFonts w:hint="eastAsia" w:asciiTheme="majorEastAsia" w:hAnsiTheme="majorEastAsia" w:eastAsiaTheme="majorEastAsia" w:cstheme="majorEastAsia"/>
          <w:b/>
          <w:bCs/>
          <w:sz w:val="32"/>
          <w:szCs w:val="32"/>
        </w:rPr>
        <w:t>、其他重要事项情况说明</w:t>
      </w:r>
      <w:bookmarkEnd w:id="18"/>
    </w:p>
    <w:p>
      <w:pPr>
        <w:ind w:firstLine="643" w:firstLineChars="200"/>
        <w:outlineLvl w:val="2"/>
        <w:rPr>
          <w:rFonts w:ascii="仿宋_GB2312" w:hAnsi="仿宋_GB2312" w:eastAsia="仿宋_GB2312"/>
          <w:b/>
          <w:sz w:val="32"/>
        </w:rPr>
      </w:pPr>
      <w:bookmarkStart w:id="19" w:name="_Toc25847"/>
      <w:r>
        <w:rPr>
          <w:rFonts w:hint="eastAsia" w:ascii="仿宋_GB2312" w:hAnsi="仿宋_GB2312" w:eastAsia="仿宋_GB2312"/>
          <w:b/>
          <w:sz w:val="32"/>
        </w:rPr>
        <w:t>（一）机关运行经费支出说明</w:t>
      </w:r>
      <w:bookmarkEnd w:id="19"/>
    </w:p>
    <w:p>
      <w:pPr>
        <w:ind w:firstLine="640" w:firstLineChars="200"/>
        <w:rPr>
          <w:rFonts w:ascii="仿宋_GB2312" w:hAnsi="仿宋_GB2312" w:eastAsia="仿宋_GB2312"/>
          <w:sz w:val="32"/>
        </w:rPr>
      </w:pPr>
      <w:r>
        <w:rPr>
          <w:rFonts w:hint="eastAsia" w:ascii="仿宋_GB2312" w:hAnsi="仿宋_GB2312" w:eastAsia="仿宋_GB2312"/>
          <w:sz w:val="32"/>
        </w:rPr>
        <w:t>2021年运行经费支出10.05万元，主要为保障单位正常运行，开展日常工作的各项支出。其中：办公费1.11万元、邮电费0.015万元、差旅费0.49万元、工会经费0.51万元、福利费1.77万元、其他交通费5.66万元，资本性本出0.5万元。</w:t>
      </w:r>
    </w:p>
    <w:p>
      <w:pPr>
        <w:ind w:firstLine="321" w:firstLineChars="100"/>
        <w:outlineLvl w:val="2"/>
        <w:rPr>
          <w:rFonts w:ascii="仿宋_GB2312" w:hAnsi="仿宋_GB2312" w:eastAsia="仿宋_GB2312"/>
          <w:b/>
          <w:sz w:val="32"/>
        </w:rPr>
      </w:pPr>
      <w:bookmarkStart w:id="20" w:name="_Toc12790"/>
      <w:r>
        <w:rPr>
          <w:rFonts w:hint="eastAsia" w:ascii="仿宋_GB2312" w:hAnsi="仿宋_GB2312" w:eastAsia="仿宋_GB2312"/>
          <w:b/>
          <w:sz w:val="32"/>
        </w:rPr>
        <w:t>（二）政府采购情况说明</w:t>
      </w:r>
      <w:bookmarkEnd w:id="20"/>
    </w:p>
    <w:p>
      <w:pPr>
        <w:pStyle w:val="2"/>
        <w:ind w:left="0" w:leftChars="0" w:firstLine="640"/>
        <w:rPr>
          <w:rFonts w:ascii="仿宋_GB2312" w:hAnsi="仿宋_GB2312" w:eastAsia="仿宋_GB2312"/>
          <w:sz w:val="32"/>
        </w:rPr>
      </w:pPr>
      <w:r>
        <w:rPr>
          <w:rFonts w:hint="eastAsia" w:ascii="FangSong" w:hAnsi="FangSong" w:eastAsia="FangSong" w:cs="FangSong"/>
          <w:sz w:val="32"/>
          <w:szCs w:val="32"/>
        </w:rPr>
        <w:t>2</w:t>
      </w:r>
      <w:r>
        <w:rPr>
          <w:rFonts w:hint="eastAsia" w:ascii="仿宋_GB2312" w:hAnsi="仿宋_GB2312" w:eastAsia="仿宋_GB2312"/>
          <w:sz w:val="32"/>
        </w:rPr>
        <w:t>021年度政府采购支出总额4.05万元，其中：政府采购货物支出2.35万元，政府采购服务支出1.71万元。</w:t>
      </w:r>
    </w:p>
    <w:p>
      <w:pPr>
        <w:ind w:left="420" w:leftChars="200"/>
        <w:outlineLvl w:val="2"/>
        <w:rPr>
          <w:rFonts w:ascii="仿宋_GB2312" w:hAnsi="仿宋_GB2312" w:eastAsia="仿宋_GB2312"/>
          <w:b/>
          <w:sz w:val="32"/>
        </w:rPr>
      </w:pPr>
      <w:bookmarkStart w:id="21" w:name="_Toc21379"/>
      <w:r>
        <w:rPr>
          <w:rFonts w:hint="eastAsia" w:ascii="仿宋_GB2312" w:hAnsi="仿宋_GB2312" w:eastAsia="仿宋_GB2312"/>
          <w:b/>
          <w:sz w:val="32"/>
        </w:rPr>
        <w:t>（三）国有资产占有情况说明</w:t>
      </w:r>
      <w:bookmarkEnd w:id="21"/>
    </w:p>
    <w:p>
      <w:pPr>
        <w:ind w:firstLine="640" w:firstLineChars="200"/>
        <w:rPr>
          <w:rFonts w:hint="default" w:eastAsia="仿宋_GB2312"/>
          <w:lang w:val="en-US" w:eastAsia="zh-CN"/>
        </w:rPr>
      </w:pPr>
      <w:r>
        <w:rPr>
          <w:rFonts w:hint="eastAsia" w:ascii="FangSong" w:hAnsi="FangSong" w:eastAsia="FangSong" w:cs="FangSong"/>
          <w:sz w:val="32"/>
          <w:szCs w:val="32"/>
        </w:rPr>
        <w:t>截</w:t>
      </w:r>
      <w:r>
        <w:rPr>
          <w:rFonts w:hint="eastAsia" w:ascii="仿宋_GB2312" w:hAnsi="仿宋_GB2312" w:eastAsia="仿宋_GB2312"/>
          <w:sz w:val="32"/>
        </w:rPr>
        <w:t>至2021年12月31日，</w:t>
      </w:r>
      <w:r>
        <w:rPr>
          <w:rFonts w:hint="eastAsia" w:ascii="仿宋_GB2312" w:hAnsi="仿宋_GB2312" w:eastAsia="仿宋_GB2312"/>
          <w:sz w:val="32"/>
          <w:lang w:eastAsia="zh-CN"/>
        </w:rPr>
        <w:t>大同市红十字会</w:t>
      </w:r>
      <w:r>
        <w:rPr>
          <w:rFonts w:hint="eastAsia" w:ascii="仿宋_GB2312" w:hAnsi="仿宋_GB2312" w:eastAsia="仿宋_GB2312"/>
          <w:sz w:val="32"/>
        </w:rPr>
        <w:t>总资产69.07万元，其中：流动资产10.41万元，占总资产的15%；非流动资产58.66万元，占总资产的85%。</w:t>
      </w:r>
      <w:r>
        <w:rPr>
          <w:rFonts w:hint="eastAsia" w:ascii="仿宋_GB2312" w:hAnsi="仿宋_GB2312" w:eastAsia="仿宋_GB2312"/>
          <w:sz w:val="32"/>
          <w:lang w:eastAsia="zh-CN"/>
        </w:rPr>
        <w:t>本部门无房屋建筑物，共有车辆</w:t>
      </w:r>
      <w:r>
        <w:rPr>
          <w:rFonts w:hint="eastAsia" w:ascii="仿宋_GB2312" w:hAnsi="仿宋_GB2312" w:eastAsia="仿宋_GB2312"/>
          <w:sz w:val="32"/>
          <w:lang w:val="en-US" w:eastAsia="zh-CN"/>
        </w:rPr>
        <w:t>0辆。其中：副部（省）级及以上领导用车0辆、主要领导干部用车0辆、机要通信用车0辆、应急保障用车0辆、执法执勤用车0辆、特种专业技术用车0辆、离退休干部用车0车辆、其他用车0辆。</w:t>
      </w:r>
      <w:bookmarkStart w:id="26" w:name="_GoBack"/>
      <w:bookmarkEnd w:id="26"/>
    </w:p>
    <w:p>
      <w:pPr>
        <w:ind w:left="420" w:leftChars="200"/>
        <w:outlineLvl w:val="2"/>
        <w:rPr>
          <w:rFonts w:ascii="仿宋_GB2312" w:hAnsi="仿宋_GB2312" w:eastAsia="仿宋_GB2312"/>
          <w:b/>
          <w:sz w:val="32"/>
        </w:rPr>
      </w:pPr>
      <w:bookmarkStart w:id="22" w:name="_Toc19373"/>
      <w:r>
        <w:rPr>
          <w:rFonts w:hint="eastAsia" w:ascii="仿宋_GB2312" w:hAnsi="仿宋_GB2312" w:eastAsia="仿宋_GB2312"/>
          <w:b/>
          <w:sz w:val="32"/>
        </w:rPr>
        <w:t>（四）预算绩效情况说明</w:t>
      </w:r>
      <w:bookmarkEnd w:id="22"/>
    </w:p>
    <w:p>
      <w:pPr>
        <w:ind w:firstLine="640" w:firstLineChars="200"/>
        <w:rPr>
          <w:rFonts w:ascii="仿宋_GB2312" w:hAnsi="仿宋_GB2312" w:eastAsia="仿宋_GB2312"/>
          <w:sz w:val="32"/>
        </w:rPr>
      </w:pPr>
      <w:r>
        <w:rPr>
          <w:rFonts w:hint="eastAsia" w:ascii="FangSong" w:hAnsi="FangSong" w:eastAsia="FangSong" w:cs="FangSong"/>
          <w:sz w:val="32"/>
          <w:szCs w:val="32"/>
        </w:rPr>
        <w:t>1</w:t>
      </w:r>
      <w:r>
        <w:rPr>
          <w:rFonts w:hint="eastAsia" w:ascii="仿宋_GB2312" w:hAnsi="仿宋_GB2312" w:eastAsia="仿宋_GB2312"/>
          <w:sz w:val="32"/>
        </w:rPr>
        <w:t>、根据预算绩效管理要求，我单位组织对2021年度市财政预算安排的专项资金类5个项目支出全面开展绩效自评，涉及预算资金241.5万元，占一般公共预算项目支出总额的100%。组织对2021年度提前下达的中央彩票公益金1个政府性基金预算项目支出开展绩效自评，共涉及预算资金14万元，占政府性基金预算项目支出总额的100%。</w:t>
      </w:r>
    </w:p>
    <w:p>
      <w:pPr>
        <w:pStyle w:val="2"/>
        <w:ind w:left="420" w:firstLine="640"/>
        <w:rPr>
          <w:rFonts w:ascii="仿宋_GB2312" w:hAnsi="仿宋_GB2312" w:eastAsia="仿宋_GB2312"/>
          <w:sz w:val="32"/>
        </w:rPr>
      </w:pPr>
      <w:r>
        <w:rPr>
          <w:rFonts w:hint="eastAsia" w:ascii="仿宋_GB2312" w:hAnsi="仿宋_GB2312" w:eastAsia="仿宋_GB2312"/>
          <w:sz w:val="32"/>
        </w:rPr>
        <w:t>2、绩效自评结果</w:t>
      </w:r>
    </w:p>
    <w:p>
      <w:pPr>
        <w:pStyle w:val="2"/>
        <w:ind w:left="420" w:firstLine="640"/>
        <w:rPr>
          <w:rFonts w:eastAsia="FangSong"/>
        </w:rPr>
      </w:pPr>
      <w:r>
        <w:rPr>
          <w:rFonts w:ascii="仿宋_GB2312" w:hAnsi="仿宋_GB2312" w:eastAsia="仿宋_GB2312"/>
          <w:sz w:val="32"/>
        </w:rPr>
        <w:t>博爱一日捐,造血干细胞及应急救助培训等工作经费</w:t>
      </w:r>
      <w:r>
        <w:rPr>
          <w:rFonts w:hint="eastAsia" w:ascii="仿宋_GB2312" w:hAnsi="仿宋_GB2312" w:eastAsia="仿宋_GB2312"/>
          <w:sz w:val="32"/>
        </w:rPr>
        <w:t>根据年初设定的绩效目标，项目自评得分为98分，全年预算数24.44万元，执行数23.91万元，完成预算的99.1%。项目绩效完成情况：举办应急救护演练4期30人，举办初级救护员培训12次200人，全年进行应急救护服务。</w:t>
      </w:r>
      <w:r>
        <w:rPr>
          <w:rFonts w:hint="eastAsia" w:ascii="FangSong" w:hAnsi="FangSong" w:eastAsia="FangSong" w:cs="FangSong"/>
          <w:sz w:val="32"/>
          <w:szCs w:val="32"/>
        </w:rPr>
        <w:t>发现的主要问题及原因：受疫情防控和经费限制，无法大规模开展群众性应急救护普及培训工作。下一步改进措施主动联系宣传部门、联系各类媒体，通过多种途径加大对博爱一日捐</w:t>
      </w:r>
      <w:r>
        <w:rPr>
          <w:rFonts w:ascii="FangSong" w:hAnsi="FangSong" w:eastAsia="FangSong" w:cs="FangSong"/>
          <w:sz w:val="32"/>
          <w:szCs w:val="32"/>
        </w:rPr>
        <w:t>造血干细胞及应急救助培训</w:t>
      </w:r>
      <w:r>
        <w:rPr>
          <w:rFonts w:hint="eastAsia" w:ascii="FangSong" w:hAnsi="FangSong" w:eastAsia="FangSong" w:cs="FangSong"/>
          <w:sz w:val="32"/>
          <w:szCs w:val="32"/>
        </w:rPr>
        <w:t>的宣传力度，进一步提质扩面服务文明城市建设。</w:t>
      </w:r>
    </w:p>
    <w:p>
      <w:pPr>
        <w:widowControl/>
        <w:spacing w:line="320" w:lineRule="exact"/>
        <w:jc w:val="left"/>
        <w:rPr>
          <w:rFonts w:ascii="SimHei" w:hAnsi="SimHei" w:eastAsia="SimHei" w:cs="SimHei"/>
          <w:b/>
          <w:bCs/>
          <w:kern w:val="0"/>
          <w:sz w:val="32"/>
          <w:szCs w:val="32"/>
        </w:rPr>
      </w:pPr>
    </w:p>
    <w:tbl>
      <w:tblPr>
        <w:tblStyle w:val="16"/>
        <w:tblW w:w="8920" w:type="dxa"/>
        <w:jc w:val="center"/>
        <w:tblLayout w:type="fixed"/>
        <w:tblCellMar>
          <w:top w:w="0" w:type="dxa"/>
          <w:left w:w="108" w:type="dxa"/>
          <w:bottom w:w="0" w:type="dxa"/>
          <w:right w:w="108" w:type="dxa"/>
        </w:tblCellMar>
      </w:tblPr>
      <w:tblGrid>
        <w:gridCol w:w="577"/>
        <w:gridCol w:w="548"/>
        <w:gridCol w:w="479"/>
        <w:gridCol w:w="721"/>
        <w:gridCol w:w="1024"/>
        <w:gridCol w:w="1114"/>
        <w:gridCol w:w="1114"/>
        <w:gridCol w:w="1114"/>
        <w:gridCol w:w="599"/>
        <w:gridCol w:w="97"/>
        <w:gridCol w:w="490"/>
        <w:gridCol w:w="346"/>
        <w:gridCol w:w="697"/>
      </w:tblGrid>
      <w:tr>
        <w:tblPrEx>
          <w:tblCellMar>
            <w:top w:w="0" w:type="dxa"/>
            <w:left w:w="108" w:type="dxa"/>
            <w:bottom w:w="0" w:type="dxa"/>
            <w:right w:w="108" w:type="dxa"/>
          </w:tblCellMar>
        </w:tblPrEx>
        <w:trPr>
          <w:trHeight w:val="532" w:hRule="exact"/>
          <w:jc w:val="center"/>
        </w:trPr>
        <w:tc>
          <w:tcPr>
            <w:tcW w:w="8920" w:type="dxa"/>
            <w:gridSpan w:val="13"/>
            <w:tcBorders>
              <w:top w:val="nil"/>
              <w:left w:val="nil"/>
              <w:bottom w:val="nil"/>
              <w:right w:val="nil"/>
            </w:tcBorders>
            <w:noWrap/>
            <w:vAlign w:val="center"/>
          </w:tcPr>
          <w:p>
            <w:pPr>
              <w:widowControl/>
              <w:spacing w:line="320" w:lineRule="exact"/>
              <w:jc w:val="center"/>
              <w:rPr>
                <w:rFonts w:ascii="SimSun" w:hAnsi="SimSun" w:eastAsia="SimSun" w:cs="SimSun"/>
                <w:b/>
                <w:bCs/>
                <w:kern w:val="0"/>
                <w:sz w:val="32"/>
                <w:szCs w:val="32"/>
              </w:rPr>
            </w:pPr>
            <w:r>
              <w:rPr>
                <w:rFonts w:hint="eastAsia" w:ascii="华文中宋" w:hAnsi="华文中宋" w:eastAsia="华文中宋" w:cs="华文中宋"/>
                <w:b/>
                <w:bCs/>
                <w:kern w:val="0"/>
                <w:sz w:val="32"/>
                <w:szCs w:val="32"/>
              </w:rPr>
              <w:t>项目支出绩效自评表</w:t>
            </w:r>
          </w:p>
        </w:tc>
      </w:tr>
      <w:tr>
        <w:tblPrEx>
          <w:tblCellMar>
            <w:top w:w="0" w:type="dxa"/>
            <w:left w:w="108" w:type="dxa"/>
            <w:bottom w:w="0" w:type="dxa"/>
            <w:right w:w="108" w:type="dxa"/>
          </w:tblCellMar>
        </w:tblPrEx>
        <w:trPr>
          <w:trHeight w:val="313" w:hRule="atLeast"/>
          <w:jc w:val="center"/>
        </w:trPr>
        <w:tc>
          <w:tcPr>
            <w:tcW w:w="8920" w:type="dxa"/>
            <w:gridSpan w:val="13"/>
            <w:tcBorders>
              <w:top w:val="nil"/>
              <w:left w:val="nil"/>
              <w:bottom w:val="nil"/>
              <w:right w:val="nil"/>
            </w:tcBorders>
            <w:noWrap/>
          </w:tcPr>
          <w:p>
            <w:pPr>
              <w:widowControl/>
              <w:rPr>
                <w:rFonts w:ascii="SimSun" w:hAnsi="SimSun" w:eastAsia="SimSun" w:cs="SimSun"/>
                <w:kern w:val="0"/>
                <w:sz w:val="22"/>
                <w:szCs w:val="22"/>
              </w:rPr>
            </w:pPr>
            <w:r>
              <w:rPr>
                <w:rFonts w:hint="eastAsia" w:ascii="SimSun" w:hAnsi="SimSun" w:eastAsia="SimSun" w:cs="SimSun"/>
                <w:kern w:val="0"/>
                <w:sz w:val="22"/>
                <w:szCs w:val="22"/>
              </w:rPr>
              <w:t>填列单位（公章）：（ 2021   年度）</w:t>
            </w:r>
          </w:p>
        </w:tc>
      </w:tr>
      <w:tr>
        <w:tblPrEx>
          <w:tblCellMar>
            <w:top w:w="0" w:type="dxa"/>
            <w:left w:w="108" w:type="dxa"/>
            <w:bottom w:w="0" w:type="dxa"/>
            <w:right w:w="108" w:type="dxa"/>
          </w:tblCellMar>
        </w:tblPrEx>
        <w:trPr>
          <w:trHeight w:val="322" w:hRule="exact"/>
          <w:jc w:val="center"/>
        </w:trPr>
        <w:tc>
          <w:tcPr>
            <w:tcW w:w="112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项目名称</w:t>
            </w:r>
          </w:p>
        </w:tc>
        <w:tc>
          <w:tcPr>
            <w:tcW w:w="7795" w:type="dxa"/>
            <w:gridSpan w:val="11"/>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ascii="SimSun" w:hAnsi="SimSun" w:eastAsia="SimSun" w:cs="SimSun"/>
                <w:kern w:val="0"/>
                <w:sz w:val="18"/>
                <w:szCs w:val="18"/>
              </w:rPr>
              <w:t>博爱一日捐,造血干细胞及应急救助培训等工作经费</w:t>
            </w:r>
          </w:p>
        </w:tc>
      </w:tr>
      <w:tr>
        <w:tblPrEx>
          <w:tblCellMar>
            <w:top w:w="0" w:type="dxa"/>
            <w:left w:w="108" w:type="dxa"/>
            <w:bottom w:w="0" w:type="dxa"/>
            <w:right w:w="108" w:type="dxa"/>
          </w:tblCellMar>
        </w:tblPrEx>
        <w:trPr>
          <w:trHeight w:val="382" w:hRule="exact"/>
          <w:jc w:val="center"/>
        </w:trPr>
        <w:tc>
          <w:tcPr>
            <w:tcW w:w="112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大同市红十字会</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实施单位</w:t>
            </w:r>
          </w:p>
        </w:tc>
        <w:tc>
          <w:tcPr>
            <w:tcW w:w="2229"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大同市红十字会</w:t>
            </w:r>
          </w:p>
        </w:tc>
      </w:tr>
      <w:tr>
        <w:tblPrEx>
          <w:tblCellMar>
            <w:top w:w="0" w:type="dxa"/>
            <w:left w:w="108" w:type="dxa"/>
            <w:bottom w:w="0" w:type="dxa"/>
            <w:right w:w="108" w:type="dxa"/>
          </w:tblCellMar>
        </w:tblPrEx>
        <w:trPr>
          <w:trHeight w:val="301" w:hRule="exact"/>
          <w:jc w:val="center"/>
        </w:trPr>
        <w:tc>
          <w:tcPr>
            <w:tcW w:w="1125"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项目资金</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（万元）</w:t>
            </w:r>
          </w:p>
        </w:tc>
        <w:tc>
          <w:tcPr>
            <w:tcW w:w="2224"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年初预算数</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全年预算数</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全年执行数</w:t>
            </w:r>
          </w:p>
        </w:tc>
        <w:tc>
          <w:tcPr>
            <w:tcW w:w="69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执行率</w:t>
            </w:r>
          </w:p>
        </w:tc>
        <w:tc>
          <w:tcPr>
            <w:tcW w:w="697"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得分</w:t>
            </w:r>
          </w:p>
        </w:tc>
      </w:tr>
      <w:tr>
        <w:tblPrEx>
          <w:tblCellMar>
            <w:top w:w="0" w:type="dxa"/>
            <w:left w:w="108" w:type="dxa"/>
            <w:bottom w:w="0" w:type="dxa"/>
            <w:right w:w="108" w:type="dxa"/>
          </w:tblCellMar>
        </w:tblPrEx>
        <w:trPr>
          <w:trHeight w:val="301" w:hRule="exact"/>
          <w:jc w:val="center"/>
        </w:trPr>
        <w:tc>
          <w:tcPr>
            <w:tcW w:w="112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224" w:type="dxa"/>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SimSun" w:hAnsi="SimSun" w:eastAsia="SimSun" w:cs="SimSun"/>
                <w:kern w:val="0"/>
                <w:sz w:val="18"/>
                <w:szCs w:val="18"/>
              </w:rPr>
            </w:pPr>
            <w:r>
              <w:rPr>
                <w:rFonts w:hint="eastAsia" w:ascii="SimSun" w:hAnsi="SimSun" w:eastAsia="SimSun" w:cs="SimSun"/>
                <w:kern w:val="0"/>
                <w:sz w:val="18"/>
                <w:szCs w:val="18"/>
              </w:rPr>
              <w:t>年度资金总额</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24.44</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24.44</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23.91</w:t>
            </w:r>
          </w:p>
        </w:tc>
        <w:tc>
          <w:tcPr>
            <w:tcW w:w="69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836"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99.1</w:t>
            </w:r>
          </w:p>
        </w:tc>
        <w:tc>
          <w:tcPr>
            <w:tcW w:w="697"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w:t>
            </w:r>
          </w:p>
        </w:tc>
      </w:tr>
      <w:tr>
        <w:tblPrEx>
          <w:tblCellMar>
            <w:top w:w="0" w:type="dxa"/>
            <w:left w:w="108" w:type="dxa"/>
            <w:bottom w:w="0" w:type="dxa"/>
            <w:right w:w="108" w:type="dxa"/>
          </w:tblCellMar>
        </w:tblPrEx>
        <w:trPr>
          <w:trHeight w:val="301" w:hRule="exact"/>
          <w:jc w:val="center"/>
        </w:trPr>
        <w:tc>
          <w:tcPr>
            <w:tcW w:w="112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224"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其中：当年财政拨款</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24.44</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24.44</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23.91</w:t>
            </w:r>
          </w:p>
        </w:tc>
        <w:tc>
          <w:tcPr>
            <w:tcW w:w="69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c>
          <w:tcPr>
            <w:tcW w:w="836"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99.1</w:t>
            </w:r>
          </w:p>
        </w:tc>
        <w:tc>
          <w:tcPr>
            <w:tcW w:w="697"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r>
      <w:tr>
        <w:tblPrEx>
          <w:tblCellMar>
            <w:top w:w="0" w:type="dxa"/>
            <w:left w:w="108" w:type="dxa"/>
            <w:bottom w:w="0" w:type="dxa"/>
            <w:right w:w="108" w:type="dxa"/>
          </w:tblCellMar>
        </w:tblPrEx>
        <w:trPr>
          <w:trHeight w:val="301" w:hRule="exact"/>
          <w:jc w:val="center"/>
        </w:trPr>
        <w:tc>
          <w:tcPr>
            <w:tcW w:w="112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224"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 xml:space="preserve">      上年结转资金</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69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c>
          <w:tcPr>
            <w:tcW w:w="836"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697"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r>
      <w:tr>
        <w:tblPrEx>
          <w:tblCellMar>
            <w:top w:w="0" w:type="dxa"/>
            <w:left w:w="108" w:type="dxa"/>
            <w:bottom w:w="0" w:type="dxa"/>
            <w:right w:w="108" w:type="dxa"/>
          </w:tblCellMar>
        </w:tblPrEx>
        <w:trPr>
          <w:trHeight w:val="301" w:hRule="exact"/>
          <w:jc w:val="center"/>
        </w:trPr>
        <w:tc>
          <w:tcPr>
            <w:tcW w:w="112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224"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 xml:space="preserve">  其他资金</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69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c>
          <w:tcPr>
            <w:tcW w:w="836"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697"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r>
      <w:tr>
        <w:tblPrEx>
          <w:tblCellMar>
            <w:top w:w="0" w:type="dxa"/>
            <w:left w:w="108" w:type="dxa"/>
            <w:bottom w:w="0" w:type="dxa"/>
            <w:right w:w="108" w:type="dxa"/>
          </w:tblCellMar>
        </w:tblPrEx>
        <w:trPr>
          <w:trHeight w:val="301" w:hRule="exact"/>
          <w:jc w:val="center"/>
        </w:trPr>
        <w:tc>
          <w:tcPr>
            <w:tcW w:w="577"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年度总体目标</w:t>
            </w:r>
          </w:p>
        </w:tc>
        <w:tc>
          <w:tcPr>
            <w:tcW w:w="500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预期目标</w:t>
            </w:r>
          </w:p>
        </w:tc>
        <w:tc>
          <w:tcPr>
            <w:tcW w:w="3343"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实际完成情况</w:t>
            </w:r>
          </w:p>
        </w:tc>
      </w:tr>
      <w:tr>
        <w:tblPrEx>
          <w:tblCellMar>
            <w:top w:w="0" w:type="dxa"/>
            <w:left w:w="108" w:type="dxa"/>
            <w:bottom w:w="0" w:type="dxa"/>
            <w:right w:w="108" w:type="dxa"/>
          </w:tblCellMar>
        </w:tblPrEx>
        <w:trPr>
          <w:trHeight w:val="600" w:hRule="exact"/>
          <w:jc w:val="center"/>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00" w:type="dxa"/>
            <w:gridSpan w:val="6"/>
            <w:tcBorders>
              <w:top w:val="single" w:color="auto" w:sz="4" w:space="0"/>
              <w:left w:val="nil"/>
              <w:bottom w:val="single" w:color="auto" w:sz="4" w:space="0"/>
              <w:right w:val="single" w:color="auto" w:sz="4" w:space="0"/>
            </w:tcBorders>
            <w:noWrap/>
            <w:vAlign w:val="center"/>
          </w:tcPr>
          <w:p>
            <w:pPr>
              <w:widowControl/>
              <w:spacing w:line="240" w:lineRule="exact"/>
              <w:ind w:firstLine="260" w:firstLineChars="200"/>
              <w:jc w:val="left"/>
              <w:rPr>
                <w:rFonts w:ascii="SimSun" w:hAnsi="SimSun" w:eastAsia="SimSun" w:cs="SimSun"/>
                <w:kern w:val="0"/>
                <w:sz w:val="18"/>
                <w:szCs w:val="18"/>
              </w:rPr>
            </w:pPr>
            <w:r>
              <w:rPr>
                <w:rFonts w:hint="eastAsia" w:ascii="SimSun" w:hAnsi="SimSun" w:eastAsia="SimSun" w:cs="SimSun"/>
                <w:kern w:val="0"/>
                <w:sz w:val="13"/>
                <w:szCs w:val="13"/>
              </w:rPr>
              <w:t>1</w:t>
            </w:r>
            <w:r>
              <w:rPr>
                <w:rFonts w:ascii="SimSun" w:hAnsi="SimSun" w:eastAsia="SimSun" w:cs="SimSun"/>
                <w:kern w:val="0"/>
                <w:sz w:val="13"/>
                <w:szCs w:val="13"/>
              </w:rPr>
              <w:t>、开展“博爱一日捐”的宣传组织发动实施</w:t>
            </w:r>
            <w:r>
              <w:rPr>
                <w:rFonts w:hint="eastAsia" w:ascii="SimSun" w:hAnsi="SimSun" w:eastAsia="SimSun" w:cs="SimSun"/>
                <w:kern w:val="0"/>
                <w:sz w:val="13"/>
                <w:szCs w:val="13"/>
              </w:rPr>
              <w:t>等</w:t>
            </w:r>
            <w:r>
              <w:rPr>
                <w:rFonts w:ascii="SimSun" w:hAnsi="SimSun" w:eastAsia="SimSun" w:cs="SimSun"/>
                <w:kern w:val="0"/>
                <w:sz w:val="13"/>
                <w:szCs w:val="13"/>
              </w:rPr>
              <w:t>；2、开展捐</w:t>
            </w:r>
            <w:r>
              <w:rPr>
                <w:rFonts w:hint="eastAsia" w:ascii="SimSun" w:hAnsi="SimSun" w:eastAsia="SimSun" w:cs="SimSun"/>
                <w:kern w:val="0"/>
                <w:sz w:val="13"/>
                <w:szCs w:val="13"/>
              </w:rPr>
              <w:t>献</w:t>
            </w:r>
            <w:r>
              <w:rPr>
                <w:rFonts w:ascii="SimSun" w:hAnsi="SimSun" w:eastAsia="SimSun" w:cs="SimSun"/>
                <w:kern w:val="0"/>
                <w:sz w:val="13"/>
                <w:szCs w:val="13"/>
              </w:rPr>
              <w:t>造血干细胞的宣传，动员，血样采集等工作；3、开展对突发自然灾害的救援</w:t>
            </w:r>
            <w:r>
              <w:rPr>
                <w:rFonts w:hint="eastAsia" w:ascii="SimSun" w:hAnsi="SimSun" w:eastAsia="SimSun" w:cs="SimSun"/>
                <w:kern w:val="0"/>
                <w:sz w:val="13"/>
                <w:szCs w:val="13"/>
              </w:rPr>
              <w:t>、培训</w:t>
            </w:r>
            <w:r>
              <w:rPr>
                <w:rFonts w:ascii="SimSun" w:hAnsi="SimSun" w:eastAsia="SimSun" w:cs="SimSun"/>
                <w:kern w:val="0"/>
                <w:sz w:val="13"/>
                <w:szCs w:val="13"/>
              </w:rPr>
              <w:t>工作。</w:t>
            </w:r>
          </w:p>
        </w:tc>
        <w:tc>
          <w:tcPr>
            <w:tcW w:w="3343" w:type="dxa"/>
            <w:gridSpan w:val="6"/>
            <w:tcBorders>
              <w:top w:val="single" w:color="auto" w:sz="4" w:space="0"/>
              <w:left w:val="nil"/>
              <w:bottom w:val="single" w:color="auto" w:sz="4" w:space="0"/>
              <w:right w:val="single" w:color="auto" w:sz="4" w:space="0"/>
            </w:tcBorders>
            <w:noWrap/>
            <w:vAlign w:val="center"/>
          </w:tcPr>
          <w:p>
            <w:pPr>
              <w:widowControl/>
              <w:spacing w:line="240" w:lineRule="exact"/>
              <w:ind w:firstLine="260" w:firstLineChars="200"/>
              <w:jc w:val="left"/>
              <w:rPr>
                <w:rFonts w:ascii="SimSun" w:hAnsi="SimSun" w:eastAsia="SimSun" w:cs="SimSun"/>
                <w:kern w:val="0"/>
                <w:sz w:val="18"/>
                <w:szCs w:val="18"/>
              </w:rPr>
            </w:pPr>
            <w:r>
              <w:rPr>
                <w:rFonts w:hint="eastAsia" w:ascii="SimSun" w:hAnsi="SimSun" w:eastAsia="SimSun" w:cs="SimSun"/>
                <w:kern w:val="0"/>
                <w:sz w:val="13"/>
                <w:szCs w:val="13"/>
              </w:rPr>
              <w:t>依照实施方案，完成博爱一日捐，造血干细胞及应急救助培训等工作，活动开展顺利。</w:t>
            </w:r>
          </w:p>
        </w:tc>
      </w:tr>
      <w:tr>
        <w:tblPrEx>
          <w:tblCellMar>
            <w:top w:w="0" w:type="dxa"/>
            <w:left w:w="108" w:type="dxa"/>
            <w:bottom w:w="0" w:type="dxa"/>
            <w:right w:w="108" w:type="dxa"/>
          </w:tblCellMar>
        </w:tblPrEx>
        <w:trPr>
          <w:trHeight w:val="536" w:hRule="exact"/>
          <w:jc w:val="center"/>
        </w:trPr>
        <w:tc>
          <w:tcPr>
            <w:tcW w:w="577" w:type="dxa"/>
            <w:vMerge w:val="restart"/>
            <w:tcBorders>
              <w:top w:val="nil"/>
              <w:left w:val="single" w:color="auto" w:sz="4" w:space="0"/>
              <w:right w:val="single" w:color="auto" w:sz="4" w:space="0"/>
            </w:tcBorders>
            <w:noWrap/>
            <w:vAlign w:val="center"/>
          </w:tcPr>
          <w:p>
            <w:pPr>
              <w:widowControl/>
              <w:spacing w:line="240" w:lineRule="exact"/>
              <w:rPr>
                <w:rFonts w:ascii="SimSun" w:hAnsi="SimSun" w:eastAsia="SimSun" w:cs="SimSun"/>
                <w:kern w:val="0"/>
                <w:sz w:val="18"/>
                <w:szCs w:val="18"/>
              </w:rPr>
            </w:pPr>
            <w:r>
              <w:rPr>
                <w:rFonts w:hint="eastAsia" w:ascii="SimSun" w:hAnsi="SimSun" w:eastAsia="SimSun" w:cs="SimSun"/>
                <w:kern w:val="0"/>
                <w:sz w:val="18"/>
                <w:szCs w:val="18"/>
              </w:rPr>
              <w:t>绩</w:t>
            </w:r>
          </w:p>
          <w:p>
            <w:pPr>
              <w:widowControl/>
              <w:spacing w:line="240" w:lineRule="exact"/>
              <w:rPr>
                <w:rFonts w:ascii="SimSun" w:hAnsi="SimSun" w:eastAsia="SimSun" w:cs="SimSun"/>
                <w:kern w:val="0"/>
                <w:sz w:val="18"/>
                <w:szCs w:val="18"/>
              </w:rPr>
            </w:pPr>
            <w:r>
              <w:rPr>
                <w:rFonts w:hint="eastAsia" w:ascii="SimSun" w:hAnsi="SimSun" w:eastAsia="SimSun" w:cs="SimSun"/>
                <w:kern w:val="0"/>
                <w:sz w:val="18"/>
                <w:szCs w:val="18"/>
              </w:rPr>
              <w:t>效</w:t>
            </w:r>
          </w:p>
          <w:p>
            <w:pPr>
              <w:widowControl/>
              <w:spacing w:line="240" w:lineRule="exact"/>
              <w:rPr>
                <w:rFonts w:ascii="SimSun" w:hAnsi="SimSun" w:eastAsia="SimSun" w:cs="SimSun"/>
                <w:kern w:val="0"/>
                <w:sz w:val="18"/>
                <w:szCs w:val="18"/>
              </w:rPr>
            </w:pPr>
            <w:r>
              <w:rPr>
                <w:rFonts w:hint="eastAsia" w:ascii="SimSun" w:hAnsi="SimSun" w:eastAsia="SimSun" w:cs="SimSun"/>
                <w:kern w:val="0"/>
                <w:sz w:val="18"/>
                <w:szCs w:val="18"/>
              </w:rPr>
              <w:t>指</w:t>
            </w:r>
          </w:p>
          <w:p>
            <w:pPr>
              <w:widowControl/>
              <w:spacing w:line="240" w:lineRule="exact"/>
              <w:rPr>
                <w:rFonts w:ascii="SimSun" w:hAnsi="SimSun" w:eastAsia="SimSun" w:cs="SimSun"/>
                <w:kern w:val="0"/>
                <w:sz w:val="18"/>
                <w:szCs w:val="18"/>
              </w:rPr>
            </w:pPr>
            <w:r>
              <w:rPr>
                <w:rFonts w:hint="eastAsia" w:ascii="SimSun" w:hAnsi="SimSun" w:eastAsia="SimSun" w:cs="SimSun"/>
                <w:kern w:val="0"/>
                <w:sz w:val="18"/>
                <w:szCs w:val="18"/>
              </w:rPr>
              <w:t>标</w:t>
            </w:r>
          </w:p>
        </w:tc>
        <w:tc>
          <w:tcPr>
            <w:tcW w:w="548"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一级指标</w:t>
            </w:r>
          </w:p>
        </w:tc>
        <w:tc>
          <w:tcPr>
            <w:tcW w:w="1200"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二级指标</w:t>
            </w: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三级指标</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年度</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指标值</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实际</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完成值</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分值</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得分</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偏差原因分析及改进措施</w:t>
            </w: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产出指标</w:t>
            </w:r>
          </w:p>
        </w:tc>
        <w:tc>
          <w:tcPr>
            <w:tcW w:w="1200" w:type="dxa"/>
            <w:gridSpan w:val="2"/>
            <w:vMerge w:val="restart"/>
            <w:tcBorders>
              <w:top w:val="nil"/>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数量指标</w:t>
            </w: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指标1：举办应急救护演练</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=4期/30人</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4期/30人</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指标2:举办初级救护员培训</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=12次、200人</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=12次、200人</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指标3：：应急救助救护服务</w:t>
            </w:r>
          </w:p>
        </w:tc>
        <w:tc>
          <w:tcPr>
            <w:tcW w:w="1114" w:type="dxa"/>
            <w:tcBorders>
              <w:top w:val="nil"/>
              <w:left w:val="nil"/>
              <w:bottom w:val="single" w:color="auto" w:sz="4" w:space="0"/>
              <w:right w:val="single" w:color="auto" w:sz="4" w:space="0"/>
            </w:tcBorders>
            <w:noWrap/>
            <w:vAlign w:val="center"/>
          </w:tcPr>
          <w:p>
            <w:pPr>
              <w:widowControl/>
              <w:spacing w:line="240" w:lineRule="exact"/>
              <w:rPr>
                <w:rFonts w:ascii="SimSun" w:hAnsi="SimSun" w:eastAsia="SimSun" w:cs="SimSun"/>
                <w:kern w:val="0"/>
                <w:sz w:val="10"/>
                <w:szCs w:val="10"/>
              </w:rPr>
            </w:pPr>
            <w:r>
              <w:rPr>
                <w:rFonts w:hint="eastAsia" w:ascii="SimSun" w:hAnsi="SimSun" w:eastAsia="SimSun" w:cs="SimSun"/>
                <w:kern w:val="0"/>
                <w:sz w:val="10"/>
                <w:szCs w:val="10"/>
              </w:rPr>
              <w:t>全年</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0"/>
                <w:szCs w:val="10"/>
              </w:rPr>
              <w:t>全年</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tc>
        <w:tc>
          <w:tcPr>
            <w:tcW w:w="548" w:type="dxa"/>
            <w:vMerge w:val="continue"/>
            <w:tcBorders>
              <w:top w:val="nil"/>
              <w:left w:val="single" w:color="auto" w:sz="4" w:space="0"/>
              <w:bottom w:val="single" w:color="auto" w:sz="4" w:space="0"/>
              <w:right w:val="single" w:color="auto" w:sz="4" w:space="0"/>
            </w:tcBorders>
            <w:noWrap/>
            <w:vAlign w:val="center"/>
          </w:tcPr>
          <w:p/>
        </w:tc>
        <w:tc>
          <w:tcPr>
            <w:tcW w:w="1200" w:type="dxa"/>
            <w:gridSpan w:val="2"/>
            <w:vMerge w:val="continue"/>
            <w:tcBorders>
              <w:left w:val="single" w:color="auto" w:sz="4" w:space="0"/>
              <w:bottom w:val="single" w:color="auto" w:sz="4" w:space="0"/>
              <w:right w:val="single" w:color="auto" w:sz="4" w:space="0"/>
            </w:tcBorders>
            <w:noWrap/>
            <w:vAlign w:val="center"/>
          </w:tcPr>
          <w:p/>
        </w:tc>
        <w:tc>
          <w:tcPr>
            <w:tcW w:w="2138" w:type="dxa"/>
            <w:gridSpan w:val="2"/>
            <w:tcBorders>
              <w:top w:val="single" w:color="auto" w:sz="4" w:space="0"/>
              <w:left w:val="nil"/>
              <w:bottom w:val="nil"/>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599" w:type="dxa"/>
            <w:tcBorders>
              <w:top w:val="nil"/>
              <w:left w:val="nil"/>
              <w:bottom w:val="single" w:color="auto" w:sz="4" w:space="0"/>
              <w:right w:val="single" w:color="auto" w:sz="4" w:space="0"/>
            </w:tcBorders>
            <w:noWrap/>
            <w:vAlign w:val="center"/>
          </w:tcPr>
          <w:p/>
        </w:tc>
        <w:tc>
          <w:tcPr>
            <w:tcW w:w="587" w:type="dxa"/>
            <w:gridSpan w:val="2"/>
            <w:tcBorders>
              <w:top w:val="nil"/>
              <w:left w:val="nil"/>
              <w:bottom w:val="single" w:color="auto" w:sz="4" w:space="0"/>
              <w:right w:val="single" w:color="auto" w:sz="4" w:space="0"/>
            </w:tcBorders>
            <w:noWrap/>
            <w:vAlign w:val="center"/>
          </w:tcPr>
          <w:p/>
        </w:tc>
        <w:tc>
          <w:tcPr>
            <w:tcW w:w="1043" w:type="dxa"/>
            <w:gridSpan w:val="2"/>
            <w:tcBorders>
              <w:top w:val="single" w:color="auto" w:sz="4" w:space="0"/>
              <w:left w:val="nil"/>
              <w:bottom w:val="nil"/>
              <w:right w:val="single" w:color="auto" w:sz="4" w:space="0"/>
            </w:tcBorders>
            <w:noWrap/>
            <w:vAlign w:val="center"/>
          </w:tc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restart"/>
            <w:tcBorders>
              <w:top w:val="nil"/>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质量指标</w:t>
            </w:r>
          </w:p>
        </w:tc>
        <w:tc>
          <w:tcPr>
            <w:tcW w:w="2138"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指标1：验收合格率</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100%</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99.9%</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4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890"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指标2：培训课程设置</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布局合理适合应急救护救助培训等工作</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布局合理适合应急救护救助培训等工作</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4</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指标3：师资力量</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强</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强</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指标4：培训环境</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良好</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良好</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指标5：培训合格率</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≧90%</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≧90%</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时效指标</w:t>
            </w: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指标1：项目按期完成率</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100%</w:t>
            </w:r>
          </w:p>
        </w:tc>
        <w:tc>
          <w:tcPr>
            <w:tcW w:w="1114" w:type="dxa"/>
            <w:tcBorders>
              <w:top w:val="nil"/>
              <w:left w:val="nil"/>
              <w:bottom w:val="single" w:color="auto" w:sz="4" w:space="0"/>
              <w:right w:val="single" w:color="auto" w:sz="4" w:space="0"/>
            </w:tcBorders>
            <w:noWrap/>
            <w:vAlign w:val="center"/>
          </w:tcPr>
          <w:p>
            <w:pPr>
              <w:widowControl/>
              <w:spacing w:line="240" w:lineRule="exact"/>
              <w:rPr>
                <w:rFonts w:ascii="SimSun" w:hAnsi="SimSun" w:eastAsia="SimSun" w:cs="SimSun"/>
                <w:kern w:val="0"/>
                <w:sz w:val="13"/>
                <w:szCs w:val="13"/>
              </w:rPr>
            </w:pPr>
            <w:r>
              <w:rPr>
                <w:rFonts w:hint="eastAsia" w:ascii="SimSun" w:hAnsi="SimSun" w:eastAsia="SimSun" w:cs="SimSun"/>
                <w:kern w:val="0"/>
                <w:sz w:val="13"/>
                <w:szCs w:val="13"/>
              </w:rPr>
              <w:t>100%</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tc>
        <w:tc>
          <w:tcPr>
            <w:tcW w:w="548" w:type="dxa"/>
            <w:vMerge w:val="continue"/>
            <w:tcBorders>
              <w:top w:val="nil"/>
              <w:left w:val="single" w:color="auto" w:sz="4" w:space="0"/>
              <w:bottom w:val="single" w:color="auto" w:sz="4" w:space="0"/>
              <w:right w:val="single" w:color="auto" w:sz="4" w:space="0"/>
            </w:tcBorders>
            <w:noWrap/>
            <w:vAlign w:val="center"/>
          </w:tcPr>
          <w:p/>
        </w:tc>
        <w:tc>
          <w:tcPr>
            <w:tcW w:w="1200" w:type="dxa"/>
            <w:gridSpan w:val="2"/>
            <w:vMerge w:val="continue"/>
            <w:tcBorders>
              <w:top w:val="nil"/>
              <w:left w:val="single" w:color="auto" w:sz="4" w:space="0"/>
              <w:bottom w:val="single" w:color="auto" w:sz="4" w:space="0"/>
              <w:right w:val="single" w:color="auto" w:sz="4" w:space="0"/>
            </w:tcBorders>
            <w:noWrap/>
            <w:vAlign w:val="center"/>
          </w:tcPr>
          <w:p/>
        </w:tc>
        <w:tc>
          <w:tcPr>
            <w:tcW w:w="2138" w:type="dxa"/>
            <w:gridSpan w:val="2"/>
            <w:tcBorders>
              <w:top w:val="single" w:color="auto" w:sz="4" w:space="0"/>
              <w:left w:val="nil"/>
              <w:bottom w:val="single" w:color="auto" w:sz="4" w:space="0"/>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599" w:type="dxa"/>
            <w:tcBorders>
              <w:top w:val="nil"/>
              <w:left w:val="nil"/>
              <w:bottom w:val="single" w:color="auto" w:sz="4" w:space="0"/>
              <w:right w:val="single" w:color="auto" w:sz="4" w:space="0"/>
            </w:tcBorders>
            <w:noWrap/>
            <w:vAlign w:val="center"/>
          </w:tcPr>
          <w:p/>
        </w:tc>
        <w:tc>
          <w:tcPr>
            <w:tcW w:w="587" w:type="dxa"/>
            <w:gridSpan w:val="2"/>
            <w:tcBorders>
              <w:top w:val="nil"/>
              <w:left w:val="nil"/>
              <w:bottom w:val="single" w:color="auto" w:sz="4" w:space="0"/>
              <w:right w:val="single" w:color="auto" w:sz="4" w:space="0"/>
            </w:tcBorders>
            <w:noWrap/>
            <w:vAlign w:val="center"/>
          </w:tcPr>
          <w:p/>
        </w:tc>
        <w:tc>
          <w:tcPr>
            <w:tcW w:w="1043" w:type="dxa"/>
            <w:gridSpan w:val="2"/>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254" w:hRule="exact"/>
          <w:jc w:val="center"/>
        </w:trPr>
        <w:tc>
          <w:tcPr>
            <w:tcW w:w="577" w:type="dxa"/>
            <w:vMerge w:val="continue"/>
            <w:tcBorders>
              <w:left w:val="single" w:color="auto" w:sz="4" w:space="0"/>
              <w:right w:val="single" w:color="auto" w:sz="4" w:space="0"/>
            </w:tcBorders>
            <w:noWrap/>
            <w:vAlign w:val="center"/>
          </w:tcPr>
          <w:p/>
        </w:tc>
        <w:tc>
          <w:tcPr>
            <w:tcW w:w="548" w:type="dxa"/>
            <w:vMerge w:val="continue"/>
            <w:tcBorders>
              <w:top w:val="nil"/>
              <w:left w:val="single" w:color="auto" w:sz="4" w:space="0"/>
              <w:bottom w:val="single" w:color="auto" w:sz="4" w:space="0"/>
              <w:right w:val="single" w:color="auto" w:sz="4" w:space="0"/>
            </w:tcBorders>
            <w:noWrap/>
            <w:vAlign w:val="center"/>
          </w:tcPr>
          <w:p/>
        </w:tc>
        <w:tc>
          <w:tcPr>
            <w:tcW w:w="1200" w:type="dxa"/>
            <w:gridSpan w:val="2"/>
            <w:vMerge w:val="continue"/>
            <w:tcBorders>
              <w:top w:val="nil"/>
              <w:left w:val="single" w:color="auto" w:sz="4" w:space="0"/>
              <w:bottom w:val="nil"/>
              <w:right w:val="single" w:color="auto" w:sz="4" w:space="0"/>
            </w:tcBorders>
            <w:noWrap/>
            <w:vAlign w:val="center"/>
          </w:tcPr>
          <w:p/>
        </w:tc>
        <w:tc>
          <w:tcPr>
            <w:tcW w:w="2138" w:type="dxa"/>
            <w:gridSpan w:val="2"/>
            <w:tcBorders>
              <w:top w:val="single" w:color="auto" w:sz="4" w:space="0"/>
              <w:left w:val="nil"/>
              <w:bottom w:val="nil"/>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599" w:type="dxa"/>
            <w:tcBorders>
              <w:top w:val="nil"/>
              <w:left w:val="nil"/>
              <w:bottom w:val="single" w:color="auto" w:sz="4" w:space="0"/>
              <w:right w:val="single" w:color="auto" w:sz="4" w:space="0"/>
            </w:tcBorders>
            <w:noWrap/>
            <w:vAlign w:val="center"/>
          </w:tcPr>
          <w:p/>
        </w:tc>
        <w:tc>
          <w:tcPr>
            <w:tcW w:w="587" w:type="dxa"/>
            <w:gridSpan w:val="2"/>
            <w:tcBorders>
              <w:top w:val="nil"/>
              <w:left w:val="nil"/>
              <w:bottom w:val="nil"/>
              <w:right w:val="single" w:color="auto" w:sz="4" w:space="0"/>
            </w:tcBorders>
            <w:noWrap/>
            <w:vAlign w:val="center"/>
          </w:tcPr>
          <w:p/>
        </w:tc>
        <w:tc>
          <w:tcPr>
            <w:tcW w:w="1043" w:type="dxa"/>
            <w:gridSpan w:val="2"/>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成本指标</w:t>
            </w:r>
          </w:p>
        </w:tc>
        <w:tc>
          <w:tcPr>
            <w:tcW w:w="2138"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指标1：项目成本控制范围</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24.44万元</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23.9万元</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04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指标2：</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tc>
        <w:tc>
          <w:tcPr>
            <w:tcW w:w="548" w:type="dxa"/>
            <w:vMerge w:val="continue"/>
            <w:tcBorders>
              <w:top w:val="nil"/>
              <w:left w:val="single" w:color="auto" w:sz="4" w:space="0"/>
              <w:bottom w:val="single" w:color="auto" w:sz="4" w:space="0"/>
              <w:right w:val="single" w:color="auto" w:sz="4" w:space="0"/>
            </w:tcBorders>
            <w:noWrap/>
            <w:vAlign w:val="center"/>
          </w:tcPr>
          <w:p/>
        </w:tc>
        <w:tc>
          <w:tcPr>
            <w:tcW w:w="1200" w:type="dxa"/>
            <w:gridSpan w:val="2"/>
            <w:vMerge w:val="continue"/>
            <w:tcBorders>
              <w:top w:val="nil"/>
              <w:left w:val="single" w:color="auto" w:sz="4" w:space="0"/>
              <w:bottom w:val="single" w:color="auto" w:sz="4" w:space="0"/>
              <w:right w:val="single" w:color="auto" w:sz="4" w:space="0"/>
            </w:tcBorders>
            <w:noWrap/>
            <w:vAlign w:val="center"/>
          </w:tcPr>
          <w:p/>
        </w:tc>
        <w:tc>
          <w:tcPr>
            <w:tcW w:w="2138" w:type="dxa"/>
            <w:gridSpan w:val="2"/>
            <w:tcBorders>
              <w:top w:val="single" w:color="auto" w:sz="4" w:space="0"/>
              <w:left w:val="nil"/>
              <w:bottom w:val="nil"/>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599" w:type="dxa"/>
            <w:tcBorders>
              <w:top w:val="nil"/>
              <w:left w:val="nil"/>
              <w:bottom w:val="single" w:color="auto" w:sz="4" w:space="0"/>
              <w:right w:val="single" w:color="auto" w:sz="4" w:space="0"/>
            </w:tcBorders>
            <w:noWrap/>
            <w:vAlign w:val="center"/>
          </w:tcPr>
          <w:p/>
        </w:tc>
        <w:tc>
          <w:tcPr>
            <w:tcW w:w="587" w:type="dxa"/>
            <w:gridSpan w:val="2"/>
            <w:tcBorders>
              <w:top w:val="nil"/>
              <w:left w:val="nil"/>
              <w:bottom w:val="nil"/>
              <w:right w:val="single" w:color="auto" w:sz="4" w:space="0"/>
            </w:tcBorders>
            <w:noWrap/>
            <w:vAlign w:val="center"/>
          </w:tcPr>
          <w:p/>
        </w:tc>
        <w:tc>
          <w:tcPr>
            <w:tcW w:w="1043" w:type="dxa"/>
            <w:gridSpan w:val="2"/>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效益指标</w:t>
            </w:r>
          </w:p>
        </w:tc>
        <w:tc>
          <w:tcPr>
            <w:tcW w:w="1200"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经济效益</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2138"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指标1：</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4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指标2：</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tc>
        <w:tc>
          <w:tcPr>
            <w:tcW w:w="548" w:type="dxa"/>
            <w:vMerge w:val="continue"/>
            <w:tcBorders>
              <w:top w:val="nil"/>
              <w:left w:val="single" w:color="auto" w:sz="4" w:space="0"/>
              <w:bottom w:val="single" w:color="auto" w:sz="4" w:space="0"/>
              <w:right w:val="single" w:color="auto" w:sz="4" w:space="0"/>
            </w:tcBorders>
            <w:noWrap/>
            <w:vAlign w:val="center"/>
          </w:tcPr>
          <w:p/>
        </w:tc>
        <w:tc>
          <w:tcPr>
            <w:tcW w:w="1200" w:type="dxa"/>
            <w:gridSpan w:val="2"/>
            <w:vMerge w:val="continue"/>
            <w:tcBorders>
              <w:top w:val="nil"/>
              <w:left w:val="single" w:color="auto" w:sz="4" w:space="0"/>
              <w:bottom w:val="single" w:color="auto" w:sz="4" w:space="0"/>
              <w:right w:val="single" w:color="auto" w:sz="4" w:space="0"/>
            </w:tcBorders>
            <w:noWrap/>
            <w:vAlign w:val="center"/>
          </w:tcPr>
          <w:p/>
        </w:tc>
        <w:tc>
          <w:tcPr>
            <w:tcW w:w="2138" w:type="dxa"/>
            <w:gridSpan w:val="2"/>
            <w:tcBorders>
              <w:top w:val="single" w:color="auto" w:sz="4" w:space="0"/>
              <w:left w:val="nil"/>
              <w:bottom w:val="nil"/>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599" w:type="dxa"/>
            <w:tcBorders>
              <w:top w:val="nil"/>
              <w:left w:val="nil"/>
              <w:bottom w:val="single" w:color="auto" w:sz="4" w:space="0"/>
              <w:right w:val="single" w:color="auto" w:sz="4" w:space="0"/>
            </w:tcBorders>
            <w:noWrap/>
            <w:vAlign w:val="center"/>
          </w:tcPr>
          <w:p/>
        </w:tc>
        <w:tc>
          <w:tcPr>
            <w:tcW w:w="587" w:type="dxa"/>
            <w:gridSpan w:val="2"/>
            <w:tcBorders>
              <w:top w:val="nil"/>
              <w:left w:val="nil"/>
              <w:bottom w:val="single" w:color="auto" w:sz="4" w:space="0"/>
              <w:right w:val="single" w:color="auto" w:sz="4" w:space="0"/>
            </w:tcBorders>
            <w:noWrap/>
            <w:vAlign w:val="center"/>
          </w:tcPr>
          <w:p/>
        </w:tc>
        <w:tc>
          <w:tcPr>
            <w:tcW w:w="1043" w:type="dxa"/>
            <w:gridSpan w:val="2"/>
            <w:tcBorders>
              <w:top w:val="single" w:color="auto" w:sz="4" w:space="0"/>
              <w:left w:val="nil"/>
              <w:bottom w:val="nil"/>
              <w:right w:val="single" w:color="auto" w:sz="4" w:space="0"/>
            </w:tcBorders>
            <w:noWrap/>
            <w:vAlign w:val="center"/>
          </w:tc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社会效益</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2138"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指标1：应急救护能力</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提高</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提高</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4</w:t>
            </w:r>
          </w:p>
        </w:tc>
        <w:tc>
          <w:tcPr>
            <w:tcW w:w="104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指标2：社会影响力/反响力</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提高/较好</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提高/较好</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w:t>
            </w:r>
          </w:p>
          <w:p>
            <w:pPr>
              <w:widowControl/>
              <w:spacing w:line="240" w:lineRule="exact"/>
              <w:jc w:val="left"/>
              <w:rPr>
                <w:rFonts w:ascii="SimSun" w:hAnsi="SimSun" w:eastAsia="SimSun" w:cs="SimSun"/>
                <w:kern w:val="0"/>
                <w:sz w:val="13"/>
                <w:szCs w:val="13"/>
              </w:rPr>
            </w:pPr>
          </w:p>
          <w:p>
            <w:pPr>
              <w:widowControl/>
              <w:spacing w:line="240" w:lineRule="exact"/>
              <w:jc w:val="left"/>
              <w:rPr>
                <w:rFonts w:ascii="SimSun" w:hAnsi="SimSun" w:eastAsia="SimSun" w:cs="SimSun"/>
                <w:kern w:val="0"/>
                <w:sz w:val="13"/>
                <w:szCs w:val="13"/>
              </w:rPr>
            </w:pPr>
          </w:p>
          <w:p>
            <w:pPr>
              <w:widowControl/>
              <w:spacing w:line="240" w:lineRule="exact"/>
              <w:jc w:val="left"/>
              <w:rPr>
                <w:rFonts w:ascii="SimSun" w:hAnsi="SimSun" w:eastAsia="SimSun" w:cs="SimSun"/>
                <w:kern w:val="0"/>
                <w:sz w:val="13"/>
                <w:szCs w:val="13"/>
              </w:rPr>
            </w:pPr>
          </w:p>
          <w:p>
            <w:pPr>
              <w:widowControl/>
              <w:spacing w:line="240" w:lineRule="exact"/>
              <w:jc w:val="left"/>
              <w:rPr>
                <w:rFonts w:ascii="SimSun" w:hAnsi="SimSun" w:eastAsia="SimSun" w:cs="SimSun"/>
                <w:kern w:val="0"/>
                <w:sz w:val="13"/>
                <w:szCs w:val="13"/>
              </w:rPr>
            </w:pPr>
          </w:p>
          <w:p>
            <w:pPr>
              <w:widowControl/>
              <w:spacing w:line="240" w:lineRule="exact"/>
              <w:jc w:val="left"/>
              <w:rPr>
                <w:rFonts w:ascii="SimSun" w:hAnsi="SimSun" w:eastAsia="SimSun" w:cs="SimSun"/>
                <w:kern w:val="0"/>
                <w:sz w:val="13"/>
                <w:szCs w:val="13"/>
              </w:rPr>
            </w:pPr>
          </w:p>
          <w:p>
            <w:pPr>
              <w:widowControl/>
              <w:spacing w:line="240" w:lineRule="exact"/>
              <w:jc w:val="left"/>
              <w:rPr>
                <w:rFonts w:ascii="SimSun" w:hAnsi="SimSun" w:eastAsia="SimSun" w:cs="SimSun"/>
                <w:kern w:val="0"/>
                <w:sz w:val="13"/>
                <w:szCs w:val="13"/>
              </w:rPr>
            </w:pPr>
          </w:p>
          <w:p>
            <w:pPr>
              <w:widowControl/>
              <w:spacing w:line="240" w:lineRule="exact"/>
              <w:jc w:val="left"/>
              <w:rPr>
                <w:rFonts w:ascii="SimSun" w:hAnsi="SimSun" w:eastAsia="SimSun" w:cs="SimSun"/>
                <w:kern w:val="0"/>
                <w:sz w:val="13"/>
                <w:szCs w:val="13"/>
              </w:rPr>
            </w:pPr>
          </w:p>
          <w:p>
            <w:pPr>
              <w:widowControl/>
              <w:spacing w:line="240" w:lineRule="exact"/>
              <w:jc w:val="left"/>
              <w:rPr>
                <w:rFonts w:ascii="SimSun" w:hAnsi="SimSun" w:eastAsia="SimSun" w:cs="SimSun"/>
                <w:kern w:val="0"/>
                <w:sz w:val="13"/>
                <w:szCs w:val="13"/>
              </w:rPr>
            </w:pPr>
          </w:p>
          <w:p>
            <w:pPr>
              <w:widowControl/>
              <w:spacing w:line="240" w:lineRule="exact"/>
              <w:jc w:val="left"/>
              <w:rPr>
                <w:rFonts w:ascii="SimSun" w:hAnsi="SimSun" w:eastAsia="SimSun" w:cs="SimSun"/>
                <w:kern w:val="0"/>
                <w:sz w:val="13"/>
                <w:szCs w:val="13"/>
              </w:rPr>
            </w:pPr>
          </w:p>
          <w:p>
            <w:pPr>
              <w:widowControl/>
              <w:spacing w:line="240" w:lineRule="exact"/>
              <w:jc w:val="left"/>
              <w:rPr>
                <w:rFonts w:ascii="SimSun" w:hAnsi="SimSun" w:eastAsia="SimSun" w:cs="SimSun"/>
                <w:kern w:val="0"/>
                <w:sz w:val="13"/>
                <w:szCs w:val="13"/>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生态效益</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指标1：</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指标2：</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tc>
        <w:tc>
          <w:tcPr>
            <w:tcW w:w="548" w:type="dxa"/>
            <w:vMerge w:val="continue"/>
            <w:tcBorders>
              <w:top w:val="nil"/>
              <w:left w:val="single" w:color="auto" w:sz="4" w:space="0"/>
              <w:bottom w:val="single" w:color="auto" w:sz="4" w:space="0"/>
              <w:right w:val="single" w:color="auto" w:sz="4" w:space="0"/>
            </w:tcBorders>
            <w:noWrap/>
            <w:vAlign w:val="center"/>
          </w:tcPr>
          <w:p/>
        </w:tc>
        <w:tc>
          <w:tcPr>
            <w:tcW w:w="1200" w:type="dxa"/>
            <w:gridSpan w:val="2"/>
            <w:vMerge w:val="continue"/>
            <w:tcBorders>
              <w:top w:val="nil"/>
              <w:left w:val="single" w:color="auto" w:sz="4" w:space="0"/>
              <w:bottom w:val="single" w:color="auto" w:sz="4" w:space="0"/>
              <w:right w:val="single" w:color="auto" w:sz="4" w:space="0"/>
            </w:tcBorders>
            <w:noWrap/>
            <w:vAlign w:val="center"/>
          </w:tcPr>
          <w:p/>
        </w:tc>
        <w:tc>
          <w:tcPr>
            <w:tcW w:w="2138" w:type="dxa"/>
            <w:gridSpan w:val="2"/>
            <w:tcBorders>
              <w:top w:val="single" w:color="auto" w:sz="4" w:space="0"/>
              <w:left w:val="nil"/>
              <w:bottom w:val="nil"/>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599" w:type="dxa"/>
            <w:tcBorders>
              <w:top w:val="nil"/>
              <w:left w:val="nil"/>
              <w:bottom w:val="single" w:color="auto" w:sz="4" w:space="0"/>
              <w:right w:val="single" w:color="auto" w:sz="4" w:space="0"/>
            </w:tcBorders>
            <w:noWrap/>
            <w:vAlign w:val="center"/>
          </w:tcPr>
          <w:p/>
        </w:tc>
        <w:tc>
          <w:tcPr>
            <w:tcW w:w="587" w:type="dxa"/>
            <w:gridSpan w:val="2"/>
            <w:tcBorders>
              <w:top w:val="nil"/>
              <w:left w:val="nil"/>
              <w:bottom w:val="single" w:color="auto" w:sz="4" w:space="0"/>
              <w:right w:val="single" w:color="auto" w:sz="4" w:space="0"/>
            </w:tcBorders>
            <w:noWrap/>
            <w:vAlign w:val="center"/>
          </w:tcPr>
          <w:p/>
        </w:tc>
        <w:tc>
          <w:tcPr>
            <w:tcW w:w="1043" w:type="dxa"/>
            <w:gridSpan w:val="2"/>
            <w:tcBorders>
              <w:top w:val="single" w:color="auto" w:sz="4" w:space="0"/>
              <w:left w:val="nil"/>
              <w:bottom w:val="nil"/>
              <w:right w:val="single" w:color="auto" w:sz="4" w:space="0"/>
            </w:tcBorders>
            <w:noWrap/>
            <w:vAlign w:val="center"/>
          </w:tc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可持续影响指标</w:t>
            </w:r>
          </w:p>
        </w:tc>
        <w:tc>
          <w:tcPr>
            <w:tcW w:w="2138"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指标1：突发事件的应急处理能力</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改善</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改善</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4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指标2：</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tc>
        <w:tc>
          <w:tcPr>
            <w:tcW w:w="548" w:type="dxa"/>
            <w:vMerge w:val="continue"/>
            <w:tcBorders>
              <w:top w:val="nil"/>
              <w:left w:val="single" w:color="auto" w:sz="4" w:space="0"/>
              <w:bottom w:val="single" w:color="auto" w:sz="4" w:space="0"/>
              <w:right w:val="single" w:color="auto" w:sz="4" w:space="0"/>
            </w:tcBorders>
            <w:noWrap/>
            <w:vAlign w:val="center"/>
          </w:tcPr>
          <w:p/>
        </w:tc>
        <w:tc>
          <w:tcPr>
            <w:tcW w:w="1200" w:type="dxa"/>
            <w:gridSpan w:val="2"/>
            <w:vMerge w:val="continue"/>
            <w:tcBorders>
              <w:top w:val="nil"/>
              <w:left w:val="single" w:color="auto" w:sz="4" w:space="0"/>
              <w:bottom w:val="single" w:color="auto" w:sz="4" w:space="0"/>
              <w:right w:val="single" w:color="auto" w:sz="4" w:space="0"/>
            </w:tcBorders>
            <w:noWrap/>
            <w:vAlign w:val="center"/>
          </w:tcPr>
          <w:p/>
        </w:tc>
        <w:tc>
          <w:tcPr>
            <w:tcW w:w="2138" w:type="dxa"/>
            <w:gridSpan w:val="2"/>
            <w:tcBorders>
              <w:top w:val="single" w:color="auto" w:sz="4" w:space="0"/>
              <w:left w:val="nil"/>
              <w:bottom w:val="nil"/>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1114" w:type="dxa"/>
            <w:tcBorders>
              <w:top w:val="nil"/>
              <w:left w:val="nil"/>
              <w:bottom w:val="single" w:color="auto" w:sz="4" w:space="0"/>
              <w:right w:val="single" w:color="auto" w:sz="4" w:space="0"/>
            </w:tcBorders>
            <w:noWrap/>
            <w:vAlign w:val="center"/>
          </w:tcPr>
          <w:p/>
        </w:tc>
        <w:tc>
          <w:tcPr>
            <w:tcW w:w="599" w:type="dxa"/>
            <w:tcBorders>
              <w:top w:val="nil"/>
              <w:left w:val="nil"/>
              <w:bottom w:val="single" w:color="auto" w:sz="4" w:space="0"/>
              <w:right w:val="single" w:color="auto" w:sz="4" w:space="0"/>
            </w:tcBorders>
            <w:noWrap/>
            <w:vAlign w:val="center"/>
          </w:tcPr>
          <w:p/>
        </w:tc>
        <w:tc>
          <w:tcPr>
            <w:tcW w:w="587" w:type="dxa"/>
            <w:gridSpan w:val="2"/>
            <w:tcBorders>
              <w:top w:val="nil"/>
              <w:left w:val="nil"/>
              <w:bottom w:val="single" w:color="auto" w:sz="4" w:space="0"/>
              <w:right w:val="single" w:color="auto" w:sz="4" w:space="0"/>
            </w:tcBorders>
            <w:noWrap/>
            <w:vAlign w:val="center"/>
          </w:tcPr>
          <w:p/>
        </w:tc>
        <w:tc>
          <w:tcPr>
            <w:tcW w:w="1043" w:type="dxa"/>
            <w:gridSpan w:val="2"/>
            <w:tcBorders>
              <w:top w:val="single" w:color="auto" w:sz="4" w:space="0"/>
              <w:left w:val="nil"/>
              <w:bottom w:val="nil"/>
              <w:right w:val="single" w:color="auto" w:sz="4" w:space="0"/>
            </w:tcBorders>
            <w:noWrap/>
            <w:vAlign w:val="center"/>
          </w:tc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restart"/>
            <w:tcBorders>
              <w:top w:val="nil"/>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满意度</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1200"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服务对象满意度指标</w:t>
            </w:r>
          </w:p>
        </w:tc>
        <w:tc>
          <w:tcPr>
            <w:tcW w:w="2138"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指标1：工作人员满意度</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≧90%</w:t>
            </w:r>
          </w:p>
        </w:tc>
        <w:tc>
          <w:tcPr>
            <w:tcW w:w="1114" w:type="dxa"/>
            <w:tcBorders>
              <w:top w:val="nil"/>
              <w:left w:val="nil"/>
              <w:bottom w:val="single" w:color="auto" w:sz="4" w:space="0"/>
              <w:right w:val="single" w:color="auto" w:sz="4" w:space="0"/>
            </w:tcBorders>
            <w:noWrap/>
            <w:vAlign w:val="center"/>
          </w:tcPr>
          <w:p>
            <w:pPr>
              <w:widowControl/>
              <w:spacing w:line="240" w:lineRule="exact"/>
              <w:rPr>
                <w:rFonts w:ascii="SimSun" w:hAnsi="SimSun" w:eastAsia="SimSun" w:cs="SimSun"/>
                <w:kern w:val="0"/>
                <w:sz w:val="18"/>
                <w:szCs w:val="18"/>
              </w:rPr>
            </w:pPr>
            <w:r>
              <w:rPr>
                <w:rFonts w:hint="eastAsia" w:ascii="SimSun" w:hAnsi="SimSun" w:eastAsia="SimSun" w:cs="SimSun"/>
                <w:kern w:val="0"/>
                <w:sz w:val="18"/>
                <w:szCs w:val="18"/>
              </w:rPr>
              <w:t>≧90%</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4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指标2：学员满意度</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≧90%</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≧90%</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8"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200"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3"/>
                <w:szCs w:val="13"/>
              </w:rPr>
            </w:pPr>
            <w:r>
              <w:rPr>
                <w:rFonts w:hint="eastAsia" w:ascii="SimSun" w:hAnsi="SimSun" w:eastAsia="SimSun" w:cs="SimSun"/>
                <w:kern w:val="0"/>
                <w:sz w:val="13"/>
                <w:szCs w:val="13"/>
              </w:rPr>
              <w:t xml:space="preserve">指标3：社会公众满意度 </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≧90%</w:t>
            </w:r>
          </w:p>
        </w:tc>
        <w:tc>
          <w:tcPr>
            <w:tcW w:w="111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≧90%</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1" w:hRule="exac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tc>
        <w:tc>
          <w:tcPr>
            <w:tcW w:w="548" w:type="dxa"/>
            <w:vMerge w:val="continue"/>
            <w:tcBorders>
              <w:top w:val="single" w:color="auto" w:sz="4" w:space="0"/>
              <w:left w:val="single" w:color="auto" w:sz="4" w:space="0"/>
              <w:bottom w:val="single" w:color="auto" w:sz="4" w:space="0"/>
              <w:right w:val="single" w:color="auto" w:sz="4" w:space="0"/>
            </w:tcBorders>
            <w:noWrap/>
            <w:vAlign w:val="center"/>
          </w:tcPr>
          <w:p/>
        </w:tc>
        <w:tc>
          <w:tcPr>
            <w:tcW w:w="120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138" w:type="dxa"/>
            <w:gridSpan w:val="2"/>
            <w:tcBorders>
              <w:top w:val="single" w:color="auto" w:sz="4" w:space="0"/>
              <w:left w:val="nil"/>
              <w:bottom w:val="single" w:color="auto" w:sz="4" w:space="0"/>
              <w:right w:val="single" w:color="auto" w:sz="4" w:space="0"/>
            </w:tcBorders>
            <w:noWrap/>
            <w:vAlign w:val="center"/>
          </w:tcPr>
          <w:p/>
        </w:tc>
        <w:tc>
          <w:tcPr>
            <w:tcW w:w="1114" w:type="dxa"/>
            <w:tcBorders>
              <w:top w:val="single" w:color="auto" w:sz="4" w:space="0"/>
              <w:left w:val="nil"/>
              <w:bottom w:val="nil"/>
              <w:right w:val="single" w:color="auto" w:sz="4" w:space="0"/>
            </w:tcBorders>
            <w:noWrap/>
            <w:vAlign w:val="center"/>
          </w:tcPr>
          <w:p/>
        </w:tc>
        <w:tc>
          <w:tcPr>
            <w:tcW w:w="1114" w:type="dxa"/>
            <w:tcBorders>
              <w:top w:val="single" w:color="auto" w:sz="4" w:space="0"/>
              <w:left w:val="nil"/>
              <w:bottom w:val="single" w:color="auto" w:sz="4" w:space="0"/>
              <w:right w:val="single" w:color="auto" w:sz="4" w:space="0"/>
            </w:tcBorders>
            <w:noWrap/>
            <w:vAlign w:val="center"/>
          </w:tcPr>
          <w:p/>
        </w:tc>
        <w:tc>
          <w:tcPr>
            <w:tcW w:w="599" w:type="dxa"/>
            <w:tcBorders>
              <w:top w:val="nil"/>
              <w:left w:val="nil"/>
              <w:bottom w:val="single" w:color="auto" w:sz="4" w:space="0"/>
              <w:right w:val="single" w:color="auto" w:sz="4" w:space="0"/>
            </w:tcBorders>
            <w:noWrap/>
            <w:vAlign w:val="center"/>
          </w:tcPr>
          <w:p/>
        </w:tc>
        <w:tc>
          <w:tcPr>
            <w:tcW w:w="587" w:type="dxa"/>
            <w:gridSpan w:val="2"/>
            <w:tcBorders>
              <w:top w:val="nil"/>
              <w:left w:val="nil"/>
              <w:bottom w:val="single" w:color="auto" w:sz="4" w:space="0"/>
              <w:right w:val="single" w:color="auto" w:sz="4" w:space="0"/>
            </w:tcBorders>
            <w:noWrap/>
            <w:vAlign w:val="center"/>
          </w:tcPr>
          <w:p/>
        </w:tc>
        <w:tc>
          <w:tcPr>
            <w:tcW w:w="1043" w:type="dxa"/>
            <w:gridSpan w:val="2"/>
            <w:tcBorders>
              <w:top w:val="single" w:color="auto" w:sz="4" w:space="0"/>
              <w:left w:val="nil"/>
              <w:bottom w:val="nil"/>
              <w:right w:val="single" w:color="auto" w:sz="4" w:space="0"/>
            </w:tcBorders>
            <w:noWrap/>
            <w:vAlign w:val="center"/>
          </w:tcPr>
          <w:p/>
        </w:tc>
      </w:tr>
      <w:tr>
        <w:tblPrEx>
          <w:tblCellMar>
            <w:top w:w="0" w:type="dxa"/>
            <w:left w:w="108" w:type="dxa"/>
            <w:bottom w:w="0" w:type="dxa"/>
            <w:right w:w="108" w:type="dxa"/>
          </w:tblCellMar>
        </w:tblPrEx>
        <w:trPr>
          <w:trHeight w:val="301" w:hRule="exact"/>
          <w:jc w:val="center"/>
        </w:trPr>
        <w:tc>
          <w:tcPr>
            <w:tcW w:w="6691" w:type="dxa"/>
            <w:gridSpan w:val="8"/>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总分</w:t>
            </w:r>
          </w:p>
        </w:tc>
        <w:tc>
          <w:tcPr>
            <w:tcW w:w="59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100</w:t>
            </w:r>
          </w:p>
        </w:tc>
        <w:tc>
          <w:tcPr>
            <w:tcW w:w="58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98</w:t>
            </w:r>
          </w:p>
        </w:tc>
        <w:tc>
          <w:tcPr>
            <w:tcW w:w="104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1207"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项目绩效分析</w:t>
            </w:r>
          </w:p>
        </w:tc>
        <w:tc>
          <w:tcPr>
            <w:tcW w:w="1027"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自评结果分析</w:t>
            </w:r>
          </w:p>
        </w:tc>
        <w:tc>
          <w:tcPr>
            <w:tcW w:w="72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项目实施和预算执行情况及分析</w:t>
            </w:r>
          </w:p>
        </w:tc>
        <w:tc>
          <w:tcPr>
            <w:tcW w:w="6595"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ascii="SimSun" w:hAnsi="SimSun" w:eastAsia="SimSun" w:cs="SimSun"/>
                <w:kern w:val="0"/>
                <w:sz w:val="18"/>
                <w:szCs w:val="18"/>
              </w:rPr>
              <w:t>1、开展“博爱一日捐”的宣传组织发动实施；2、开展捐</w:t>
            </w:r>
            <w:r>
              <w:rPr>
                <w:rFonts w:hint="eastAsia" w:ascii="SimSun" w:hAnsi="SimSun" w:eastAsia="SimSun" w:cs="SimSun"/>
                <w:kern w:val="0"/>
                <w:sz w:val="18"/>
                <w:szCs w:val="18"/>
              </w:rPr>
              <w:t>献</w:t>
            </w:r>
            <w:r>
              <w:rPr>
                <w:rFonts w:ascii="SimSun" w:hAnsi="SimSun" w:eastAsia="SimSun" w:cs="SimSun"/>
                <w:kern w:val="0"/>
                <w:sz w:val="18"/>
                <w:szCs w:val="18"/>
              </w:rPr>
              <w:t>造血干细胞的宣传，动员，血样采集等工作；3、开展对突发自然灾害的救援工作。</w:t>
            </w:r>
            <w:r>
              <w:rPr>
                <w:rFonts w:hint="eastAsia" w:ascii="SimSun" w:hAnsi="SimSun" w:eastAsia="SimSun" w:cs="SimSun"/>
                <w:kern w:val="0"/>
                <w:sz w:val="18"/>
                <w:szCs w:val="18"/>
              </w:rPr>
              <w:t>资金支付基本完成</w:t>
            </w:r>
          </w:p>
        </w:tc>
      </w:tr>
      <w:tr>
        <w:tblPrEx>
          <w:tblCellMar>
            <w:top w:w="0" w:type="dxa"/>
            <w:left w:w="108" w:type="dxa"/>
            <w:bottom w:w="0" w:type="dxa"/>
            <w:right w:w="108" w:type="dxa"/>
          </w:tblCellMar>
        </w:tblPrEx>
        <w:trPr>
          <w:trHeight w:val="106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2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2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产出情况及分析</w:t>
            </w:r>
          </w:p>
        </w:tc>
        <w:tc>
          <w:tcPr>
            <w:tcW w:w="6595"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相关工作完成率及达标率达到90%，产出情况良好</w:t>
            </w:r>
          </w:p>
        </w:tc>
      </w:tr>
      <w:tr>
        <w:tblPrEx>
          <w:tblCellMar>
            <w:top w:w="0" w:type="dxa"/>
            <w:left w:w="108" w:type="dxa"/>
            <w:bottom w:w="0" w:type="dxa"/>
            <w:right w:w="108" w:type="dxa"/>
          </w:tblCellMar>
        </w:tblPrEx>
        <w:trPr>
          <w:trHeight w:val="11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2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2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效益情况及分析</w:t>
            </w:r>
          </w:p>
        </w:tc>
        <w:tc>
          <w:tcPr>
            <w:tcW w:w="6595"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保障相关活动顺利开展</w:t>
            </w:r>
          </w:p>
        </w:tc>
      </w:tr>
      <w:tr>
        <w:tblPrEx>
          <w:tblCellMar>
            <w:top w:w="0" w:type="dxa"/>
            <w:left w:w="108" w:type="dxa"/>
            <w:bottom w:w="0" w:type="dxa"/>
            <w:right w:w="108" w:type="dxa"/>
          </w:tblCellMar>
        </w:tblPrEx>
        <w:trPr>
          <w:trHeight w:val="905"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2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2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满意度情况及分析</w:t>
            </w:r>
          </w:p>
        </w:tc>
        <w:tc>
          <w:tcPr>
            <w:tcW w:w="6595"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相关人员满意度达到90%</w:t>
            </w:r>
          </w:p>
        </w:tc>
      </w:tr>
      <w:tr>
        <w:tblPrEx>
          <w:tblCellMar>
            <w:top w:w="0" w:type="dxa"/>
            <w:left w:w="108" w:type="dxa"/>
            <w:bottom w:w="0" w:type="dxa"/>
            <w:right w:w="108" w:type="dxa"/>
          </w:tblCellMar>
        </w:tblPrEx>
        <w:trPr>
          <w:trHeight w:val="2254" w:hRule="exac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7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主要经验做法</w:t>
            </w:r>
          </w:p>
        </w:tc>
        <w:tc>
          <w:tcPr>
            <w:tcW w:w="6595"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大力开展推进相关工作，不断完善，查漏补缺</w:t>
            </w:r>
          </w:p>
        </w:tc>
      </w:tr>
      <w:tr>
        <w:tblPrEx>
          <w:tblCellMar>
            <w:top w:w="0" w:type="dxa"/>
            <w:left w:w="108" w:type="dxa"/>
            <w:bottom w:w="0" w:type="dxa"/>
            <w:right w:w="108" w:type="dxa"/>
          </w:tblCellMar>
        </w:tblPrEx>
        <w:trPr>
          <w:trHeight w:val="2640" w:hRule="exac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7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项目管理中存在的</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主要问题及原因分析</w:t>
            </w:r>
          </w:p>
        </w:tc>
        <w:tc>
          <w:tcPr>
            <w:tcW w:w="6595"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绩效手段较为落后，预算执行进度和效率有待提高</w:t>
            </w:r>
          </w:p>
        </w:tc>
      </w:tr>
      <w:tr>
        <w:tblPrEx>
          <w:tblCellMar>
            <w:top w:w="0" w:type="dxa"/>
            <w:left w:w="108" w:type="dxa"/>
            <w:bottom w:w="0" w:type="dxa"/>
            <w:right w:w="108" w:type="dxa"/>
          </w:tblCellMar>
        </w:tblPrEx>
        <w:trPr>
          <w:trHeight w:val="2042" w:hRule="exac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7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下一步改进措施及</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管理建议</w:t>
            </w:r>
          </w:p>
        </w:tc>
        <w:tc>
          <w:tcPr>
            <w:tcW w:w="6595"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进一步优化措施，推进相关工作有序开展</w:t>
            </w:r>
          </w:p>
        </w:tc>
      </w:tr>
    </w:tbl>
    <w:p/>
    <w:p>
      <w:pPr>
        <w:pStyle w:val="2"/>
        <w:ind w:left="420" w:firstLine="640"/>
        <w:rPr>
          <w:rFonts w:ascii="仿宋_GB2312" w:hAnsi="仿宋_GB2312" w:eastAsia="仿宋_GB2312"/>
          <w:sz w:val="32"/>
        </w:rPr>
      </w:pPr>
      <w:r>
        <w:rPr>
          <w:rFonts w:hint="eastAsia" w:ascii="仿宋_GB2312" w:hAnsi="仿宋_GB2312" w:eastAsia="仿宋_GB2312"/>
          <w:sz w:val="32"/>
        </w:rPr>
        <w:t>春霖助学和博爱送万家项目：根据年初设定的绩效目标，项目得分99分。全年预算数为51.36万元，执行数为51.36万元，完成预算的99.9%。项目绩效目标完成情况：依据《中华人民共和国红十字会法》组织开展“红十字博爱送万家和春霖助学“活动，救助贫困家庭2680户，救助贫困大学生111名，超额完成任务。</w:t>
      </w:r>
    </w:p>
    <w:p>
      <w:pPr>
        <w:widowControl/>
        <w:spacing w:line="320" w:lineRule="exact"/>
        <w:jc w:val="left"/>
        <w:rPr>
          <w:rFonts w:ascii="SimHei" w:hAnsi="SimHei" w:eastAsia="SimHei" w:cs="SimHei"/>
          <w:b/>
          <w:bCs/>
          <w:kern w:val="0"/>
          <w:sz w:val="28"/>
          <w:szCs w:val="28"/>
        </w:rPr>
      </w:pPr>
    </w:p>
    <w:tbl>
      <w:tblPr>
        <w:tblStyle w:val="16"/>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677"/>
        <w:gridCol w:w="775"/>
        <w:gridCol w:w="816"/>
        <w:gridCol w:w="509"/>
        <w:gridCol w:w="200"/>
        <w:gridCol w:w="538"/>
        <w:gridCol w:w="313"/>
        <w:gridCol w:w="708"/>
      </w:tblGrid>
      <w:tr>
        <w:tblPrEx>
          <w:tblCellMar>
            <w:top w:w="0" w:type="dxa"/>
            <w:left w:w="108" w:type="dxa"/>
            <w:bottom w:w="0" w:type="dxa"/>
            <w:right w:w="108" w:type="dxa"/>
          </w:tblCellMar>
        </w:tblPrEx>
        <w:trPr>
          <w:trHeight w:val="529" w:hRule="exact"/>
          <w:jc w:val="center"/>
        </w:trPr>
        <w:tc>
          <w:tcPr>
            <w:tcW w:w="9080" w:type="dxa"/>
            <w:gridSpan w:val="14"/>
            <w:tcBorders>
              <w:top w:val="nil"/>
              <w:left w:val="nil"/>
              <w:bottom w:val="nil"/>
              <w:right w:val="nil"/>
            </w:tcBorders>
            <w:noWrap/>
            <w:vAlign w:val="center"/>
          </w:tcPr>
          <w:p>
            <w:pPr>
              <w:widowControl/>
              <w:spacing w:line="320" w:lineRule="exact"/>
              <w:jc w:val="center"/>
              <w:rPr>
                <w:rFonts w:ascii="SimSun" w:hAnsi="SimSun" w:eastAsia="SimSun" w:cs="SimSun"/>
                <w:b/>
                <w:bCs/>
                <w:kern w:val="0"/>
                <w:sz w:val="28"/>
                <w:szCs w:val="28"/>
              </w:rPr>
            </w:pPr>
            <w:r>
              <w:rPr>
                <w:rFonts w:hint="eastAsia" w:ascii="华文中宋" w:hAnsi="华文中宋" w:eastAsia="华文中宋" w:cs="华文中宋"/>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pPr>
              <w:widowControl/>
              <w:rPr>
                <w:rFonts w:ascii="SimSun" w:hAnsi="SimSun" w:eastAsia="SimSun" w:cs="SimSun"/>
                <w:kern w:val="0"/>
                <w:sz w:val="22"/>
                <w:szCs w:val="22"/>
              </w:rPr>
            </w:pPr>
            <w:r>
              <w:rPr>
                <w:rFonts w:hint="eastAsia" w:ascii="SimSun" w:hAnsi="SimSun" w:eastAsia="SimSun" w:cs="SimSun"/>
                <w:kern w:val="0"/>
                <w:sz w:val="22"/>
                <w:szCs w:val="22"/>
              </w:rPr>
              <w:t>填列单位（公章）：（</w:t>
            </w:r>
            <w:r>
              <w:rPr>
                <w:rFonts w:hint="eastAsia" w:ascii="SimSun" w:hAnsi="SimSun" w:eastAsia="SimSun" w:cs="SimSun"/>
                <w:color w:val="000000" w:themeColor="text1"/>
                <w:kern w:val="0"/>
                <w:sz w:val="22"/>
                <w:szCs w:val="22"/>
              </w:rPr>
              <w:t>2021</w:t>
            </w:r>
            <w:r>
              <w:rPr>
                <w:rFonts w:hint="eastAsia" w:ascii="SimSun" w:hAnsi="SimSun" w:eastAsia="SimSun" w:cs="SimSun"/>
                <w:kern w:val="0"/>
                <w:sz w:val="22"/>
                <w:szCs w:val="22"/>
              </w:rPr>
              <w:t>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ascii="SimSun" w:hAnsi="SimSun" w:eastAsia="SimSun" w:cs="SimSun"/>
                <w:kern w:val="0"/>
                <w:sz w:val="18"/>
                <w:szCs w:val="18"/>
              </w:rPr>
              <w:t>春霖助学和博爱送万家</w:t>
            </w:r>
          </w:p>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主管部门</w:t>
            </w:r>
          </w:p>
        </w:tc>
        <w:tc>
          <w:tcPr>
            <w:tcW w:w="4428"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大同市红十字会</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大同市红十字会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项目资金</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年初预算数</w:t>
            </w:r>
          </w:p>
        </w:tc>
        <w:tc>
          <w:tcPr>
            <w:tcW w:w="145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全年预算数</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842" w:type="dxa"/>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SimSun" w:hAnsi="SimSun" w:eastAsia="SimSun" w:cs="SimSun"/>
                <w:kern w:val="0"/>
                <w:sz w:val="18"/>
                <w:szCs w:val="18"/>
              </w:rPr>
            </w:pPr>
            <w:r>
              <w:rPr>
                <w:rFonts w:hint="eastAsia" w:ascii="SimSun" w:hAnsi="SimSun" w:eastAsia="SimSun" w:cs="SimSun"/>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51.36</w:t>
            </w:r>
          </w:p>
        </w:tc>
        <w:tc>
          <w:tcPr>
            <w:tcW w:w="145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51.36</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51.36</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99.9</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842"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51.36</w:t>
            </w:r>
          </w:p>
        </w:tc>
        <w:tc>
          <w:tcPr>
            <w:tcW w:w="145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51.36</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51.36</w:t>
            </w:r>
          </w:p>
          <w:p>
            <w:pPr>
              <w:widowControl/>
              <w:spacing w:line="240" w:lineRule="exact"/>
              <w:jc w:val="center"/>
              <w:rPr>
                <w:rFonts w:ascii="SimSun" w:hAnsi="SimSun" w:eastAsia="SimSun" w:cs="SimSun"/>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99.9</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842"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5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842"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5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年度总体目标</w:t>
            </w:r>
          </w:p>
        </w:tc>
        <w:tc>
          <w:tcPr>
            <w:tcW w:w="5408"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预期目标</w:t>
            </w:r>
          </w:p>
        </w:tc>
        <w:tc>
          <w:tcPr>
            <w:tcW w:w="3084"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实际完成情况</w:t>
            </w:r>
          </w:p>
        </w:tc>
      </w:tr>
      <w:tr>
        <w:tblPrEx>
          <w:tblCellMar>
            <w:top w:w="0" w:type="dxa"/>
            <w:left w:w="108" w:type="dxa"/>
            <w:bottom w:w="0" w:type="dxa"/>
            <w:right w:w="108" w:type="dxa"/>
          </w:tblCellMar>
        </w:tblPrEx>
        <w:trPr>
          <w:trHeight w:val="719"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408" w:type="dxa"/>
            <w:gridSpan w:val="7"/>
            <w:tcBorders>
              <w:top w:val="single" w:color="auto" w:sz="4" w:space="0"/>
              <w:left w:val="nil"/>
              <w:bottom w:val="single" w:color="auto" w:sz="4" w:space="0"/>
              <w:right w:val="single" w:color="auto" w:sz="4" w:space="0"/>
            </w:tcBorders>
            <w:noWrap/>
            <w:vAlign w:val="center"/>
          </w:tcPr>
          <w:p>
            <w:pPr>
              <w:widowControl/>
              <w:spacing w:line="240" w:lineRule="exact"/>
              <w:ind w:firstLine="220" w:firstLineChars="200"/>
              <w:jc w:val="left"/>
              <w:rPr>
                <w:rFonts w:ascii="SimSun" w:hAnsi="SimSun" w:eastAsia="SimSun" w:cs="SimSun"/>
                <w:kern w:val="0"/>
                <w:sz w:val="18"/>
                <w:szCs w:val="18"/>
              </w:rPr>
            </w:pPr>
            <w:r>
              <w:rPr>
                <w:rFonts w:hint="eastAsia" w:ascii="SimSun" w:hAnsi="SimSun" w:eastAsia="SimSun" w:cs="SimSun"/>
                <w:kern w:val="0"/>
                <w:sz w:val="11"/>
                <w:szCs w:val="11"/>
              </w:rPr>
              <w:t>依照《中华人民共和国红十字会法》组织开展“红十字会博爱送万家”活动；开展“红十字会春霖助学”活动。救助贫困家庭预计1000户，救助贫困大学生预计60名。完成人民政府委托事宜。</w:t>
            </w:r>
          </w:p>
        </w:tc>
        <w:tc>
          <w:tcPr>
            <w:tcW w:w="3084" w:type="dxa"/>
            <w:gridSpan w:val="6"/>
            <w:tcBorders>
              <w:top w:val="single" w:color="auto" w:sz="4" w:space="0"/>
              <w:left w:val="nil"/>
              <w:bottom w:val="single" w:color="auto" w:sz="4" w:space="0"/>
              <w:right w:val="single" w:color="auto" w:sz="4" w:space="0"/>
            </w:tcBorders>
            <w:noWrap/>
            <w:vAlign w:val="center"/>
          </w:tcPr>
          <w:p>
            <w:pPr>
              <w:widowControl/>
              <w:spacing w:line="240" w:lineRule="exact"/>
              <w:ind w:firstLine="220" w:firstLineChars="200"/>
              <w:jc w:val="left"/>
              <w:rPr>
                <w:rFonts w:ascii="SimSun" w:hAnsi="SimSun" w:eastAsia="SimSun" w:cs="SimSun"/>
                <w:kern w:val="0"/>
                <w:sz w:val="18"/>
                <w:szCs w:val="18"/>
              </w:rPr>
            </w:pPr>
            <w:r>
              <w:rPr>
                <w:rFonts w:hint="eastAsia" w:ascii="SimSun" w:hAnsi="SimSun" w:eastAsia="SimSun" w:cs="SimSun"/>
                <w:kern w:val="0"/>
                <w:sz w:val="11"/>
                <w:szCs w:val="11"/>
              </w:rPr>
              <w:t>按实施方案，完成红十字博爱送万及春霖助学活动，救助贫困家庭2680户及贫困大学生111名，超额完成任务。促进社会和谐发展，救助对象满意度达≧90%。</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绩</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效</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标</w:t>
            </w:r>
          </w:p>
        </w:tc>
        <w:tc>
          <w:tcPr>
            <w:tcW w:w="9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一级指标</w:t>
            </w:r>
          </w:p>
        </w:tc>
        <w:tc>
          <w:tcPr>
            <w:tcW w:w="111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二级指标</w:t>
            </w: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三级指标</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年度</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指标值</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实际</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完成值</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分值</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得分</w:t>
            </w: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偏差原因分析及改进措施</w:t>
            </w:r>
          </w:p>
        </w:tc>
      </w:tr>
      <w:tr>
        <w:tblPrEx>
          <w:tblCellMar>
            <w:top w:w="0" w:type="dxa"/>
            <w:left w:w="108" w:type="dxa"/>
            <w:bottom w:w="0" w:type="dxa"/>
            <w:right w:w="108" w:type="dxa"/>
          </w:tblCellMar>
        </w:tblPrEx>
        <w:trPr>
          <w:trHeight w:val="37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restart"/>
            <w:tcBorders>
              <w:top w:val="nil"/>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产出指标</w:t>
            </w:r>
          </w:p>
        </w:tc>
        <w:tc>
          <w:tcPr>
            <w:tcW w:w="1112" w:type="dxa"/>
            <w:gridSpan w:val="2"/>
            <w:vMerge w:val="restart"/>
            <w:tcBorders>
              <w:top w:val="nil"/>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数量指标</w:t>
            </w: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w:t>
            </w:r>
            <w:r>
              <w:rPr>
                <w:rFonts w:hint="eastAsia" w:ascii="SimSun" w:hAnsi="SimSun" w:eastAsia="SimSun" w:cs="SimSun"/>
                <w:color w:val="000000"/>
                <w:kern w:val="0"/>
                <w:sz w:val="16"/>
                <w:szCs w:val="16"/>
              </w:rPr>
              <w:t>救助贫困家庭人数</w:t>
            </w:r>
          </w:p>
        </w:tc>
        <w:tc>
          <w:tcPr>
            <w:tcW w:w="775" w:type="dxa"/>
            <w:tcBorders>
              <w:top w:val="nil"/>
              <w:left w:val="nil"/>
              <w:bottom w:val="single" w:color="auto" w:sz="4" w:space="0"/>
              <w:right w:val="single" w:color="auto" w:sz="4" w:space="0"/>
            </w:tcBorders>
            <w:noWrap/>
            <w:vAlign w:val="center"/>
          </w:tcPr>
          <w:p>
            <w:pPr>
              <w:widowControl/>
              <w:spacing w:line="240" w:lineRule="exact"/>
              <w:rPr>
                <w:rFonts w:ascii="SimSun" w:hAnsi="SimSun" w:eastAsia="SimSun" w:cs="SimSun"/>
                <w:kern w:val="0"/>
                <w:sz w:val="11"/>
                <w:szCs w:val="11"/>
              </w:rPr>
            </w:pPr>
            <w:r>
              <w:rPr>
                <w:rFonts w:hint="eastAsia" w:ascii="SimSun" w:hAnsi="SimSun" w:eastAsia="SimSun" w:cs="SimSun"/>
                <w:kern w:val="0"/>
                <w:sz w:val="11"/>
                <w:szCs w:val="11"/>
              </w:rPr>
              <w:t>≧1000户</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2680户</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262"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r>
              <w:rPr>
                <w:rFonts w:hint="eastAsia" w:ascii="SimSun" w:hAnsi="SimSun" w:eastAsia="SimSun" w:cs="SimSun"/>
                <w:color w:val="000000"/>
                <w:kern w:val="0"/>
                <w:sz w:val="16"/>
                <w:szCs w:val="16"/>
              </w:rPr>
              <w:t>救助贫困大学生</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1"/>
                <w:szCs w:val="11"/>
              </w:rPr>
            </w:pPr>
            <w:r>
              <w:rPr>
                <w:rFonts w:hint="eastAsia" w:ascii="SimSun" w:hAnsi="SimSun" w:eastAsia="SimSun" w:cs="SimSun"/>
                <w:kern w:val="0"/>
                <w:sz w:val="11"/>
                <w:szCs w:val="11"/>
              </w:rPr>
              <w:t>≧60名</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=111名</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021" w:type="dxa"/>
            <w:gridSpan w:val="2"/>
            <w:tcBorders>
              <w:top w:val="single" w:color="auto" w:sz="4" w:space="0"/>
              <w:left w:val="nil"/>
              <w:bottom w:val="nil"/>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tc>
        <w:tc>
          <w:tcPr>
            <w:tcW w:w="980" w:type="dxa"/>
            <w:vMerge w:val="continue"/>
            <w:tcBorders>
              <w:top w:val="nil"/>
              <w:left w:val="single" w:color="auto" w:sz="4" w:space="0"/>
              <w:bottom w:val="single" w:color="auto" w:sz="4" w:space="0"/>
              <w:right w:val="single" w:color="auto" w:sz="4" w:space="0"/>
            </w:tcBorders>
            <w:noWrap/>
            <w:vAlign w:val="center"/>
          </w:tcPr>
          <w:p/>
        </w:tc>
        <w:tc>
          <w:tcPr>
            <w:tcW w:w="1112" w:type="dxa"/>
            <w:gridSpan w:val="2"/>
            <w:vMerge w:val="continue"/>
            <w:tcBorders>
              <w:top w:val="nil"/>
              <w:left w:val="single" w:color="auto" w:sz="4" w:space="0"/>
              <w:bottom w:val="single" w:color="auto" w:sz="4" w:space="0"/>
              <w:right w:val="single" w:color="auto" w:sz="4" w:space="0"/>
            </w:tcBorders>
            <w:noWrap/>
            <w:vAlign w:val="center"/>
          </w:tcPr>
          <w:p/>
        </w:tc>
        <w:tc>
          <w:tcPr>
            <w:tcW w:w="2541" w:type="dxa"/>
            <w:gridSpan w:val="3"/>
            <w:tcBorders>
              <w:top w:val="single" w:color="auto" w:sz="4" w:space="0"/>
              <w:left w:val="nil"/>
              <w:bottom w:val="nil"/>
              <w:right w:val="single" w:color="auto" w:sz="4" w:space="0"/>
            </w:tcBorders>
            <w:noWrap/>
            <w:vAlign w:val="center"/>
          </w:tcPr>
          <w:p/>
        </w:tc>
        <w:tc>
          <w:tcPr>
            <w:tcW w:w="775" w:type="dxa"/>
            <w:tcBorders>
              <w:top w:val="nil"/>
              <w:left w:val="nil"/>
              <w:bottom w:val="single" w:color="auto" w:sz="4" w:space="0"/>
              <w:right w:val="single" w:color="auto" w:sz="4" w:space="0"/>
            </w:tcBorders>
            <w:noWrap/>
            <w:vAlign w:val="center"/>
          </w:tcPr>
          <w:p/>
        </w:tc>
        <w:tc>
          <w:tcPr>
            <w:tcW w:w="816" w:type="dxa"/>
            <w:tcBorders>
              <w:top w:val="nil"/>
              <w:left w:val="nil"/>
              <w:bottom w:val="single" w:color="auto" w:sz="4" w:space="0"/>
              <w:right w:val="single" w:color="auto" w:sz="4" w:space="0"/>
            </w:tcBorders>
            <w:noWrap/>
            <w:vAlign w:val="center"/>
          </w:tcPr>
          <w:p/>
        </w:tc>
        <w:tc>
          <w:tcPr>
            <w:tcW w:w="509" w:type="dxa"/>
            <w:tcBorders>
              <w:top w:val="nil"/>
              <w:left w:val="nil"/>
              <w:bottom w:val="single" w:color="auto" w:sz="4" w:space="0"/>
              <w:right w:val="single" w:color="auto" w:sz="4" w:space="0"/>
            </w:tcBorders>
            <w:noWrap/>
            <w:vAlign w:val="center"/>
          </w:tcPr>
          <w:p/>
        </w:tc>
        <w:tc>
          <w:tcPr>
            <w:tcW w:w="738" w:type="dxa"/>
            <w:gridSpan w:val="2"/>
            <w:tcBorders>
              <w:top w:val="nil"/>
              <w:left w:val="nil"/>
              <w:bottom w:val="single" w:color="auto" w:sz="4" w:space="0"/>
              <w:right w:val="single" w:color="auto" w:sz="4" w:space="0"/>
            </w:tcBorders>
            <w:noWrap/>
            <w:vAlign w:val="center"/>
          </w:tcPr>
          <w:p/>
        </w:tc>
        <w:tc>
          <w:tcPr>
            <w:tcW w:w="1021" w:type="dxa"/>
            <w:gridSpan w:val="2"/>
            <w:tcBorders>
              <w:top w:val="nil"/>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质量指标</w:t>
            </w:r>
          </w:p>
        </w:tc>
        <w:tc>
          <w:tcPr>
            <w:tcW w:w="2541" w:type="dxa"/>
            <w:gridSpan w:val="3"/>
            <w:tcBorders>
              <w:top w:val="nil"/>
              <w:left w:val="nil"/>
              <w:bottom w:val="nil"/>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指标1：日常救助达标率</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1"/>
                <w:szCs w:val="11"/>
              </w:rPr>
            </w:pPr>
            <w:r>
              <w:rPr>
                <w:rFonts w:hint="eastAsia" w:ascii="SimSun" w:hAnsi="SimSun" w:eastAsia="SimSun" w:cs="SimSun"/>
                <w:kern w:val="0"/>
                <w:sz w:val="11"/>
                <w:szCs w:val="11"/>
              </w:rPr>
              <w:t>100%</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100%</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w:t>
            </w: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tc>
        <w:tc>
          <w:tcPr>
            <w:tcW w:w="980" w:type="dxa"/>
            <w:vMerge w:val="continue"/>
            <w:tcBorders>
              <w:top w:val="nil"/>
              <w:left w:val="single" w:color="auto" w:sz="4" w:space="0"/>
              <w:bottom w:val="single" w:color="auto" w:sz="4" w:space="0"/>
              <w:right w:val="single" w:color="auto" w:sz="4" w:space="0"/>
            </w:tcBorders>
            <w:noWrap/>
            <w:vAlign w:val="center"/>
          </w:tc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541" w:type="dxa"/>
            <w:gridSpan w:val="3"/>
            <w:tcBorders>
              <w:top w:val="nil"/>
              <w:left w:val="nil"/>
              <w:bottom w:val="single" w:color="auto" w:sz="4" w:space="0"/>
              <w:right w:val="single" w:color="auto" w:sz="4" w:space="0"/>
            </w:tcBorders>
            <w:noWrap/>
            <w:vAlign w:val="center"/>
          </w:tcPr>
          <w:p/>
        </w:tc>
        <w:tc>
          <w:tcPr>
            <w:tcW w:w="775" w:type="dxa"/>
            <w:tcBorders>
              <w:top w:val="nil"/>
              <w:left w:val="nil"/>
              <w:bottom w:val="single" w:color="auto" w:sz="4" w:space="0"/>
              <w:right w:val="single" w:color="auto" w:sz="4" w:space="0"/>
            </w:tcBorders>
            <w:noWrap/>
            <w:vAlign w:val="center"/>
          </w:tcPr>
          <w:p/>
        </w:tc>
        <w:tc>
          <w:tcPr>
            <w:tcW w:w="816" w:type="dxa"/>
            <w:tcBorders>
              <w:top w:val="nil"/>
              <w:left w:val="nil"/>
              <w:bottom w:val="single" w:color="auto" w:sz="4" w:space="0"/>
              <w:right w:val="single" w:color="auto" w:sz="4" w:space="0"/>
            </w:tcBorders>
            <w:noWrap/>
            <w:vAlign w:val="center"/>
          </w:tcPr>
          <w:p/>
        </w:tc>
        <w:tc>
          <w:tcPr>
            <w:tcW w:w="509" w:type="dxa"/>
            <w:tcBorders>
              <w:top w:val="nil"/>
              <w:left w:val="nil"/>
              <w:bottom w:val="single" w:color="auto" w:sz="4" w:space="0"/>
              <w:right w:val="single" w:color="auto" w:sz="4" w:space="0"/>
            </w:tcBorders>
            <w:noWrap/>
            <w:vAlign w:val="center"/>
          </w:tcPr>
          <w:p/>
        </w:tc>
        <w:tc>
          <w:tcPr>
            <w:tcW w:w="738" w:type="dxa"/>
            <w:gridSpan w:val="2"/>
            <w:tcBorders>
              <w:top w:val="nil"/>
              <w:left w:val="nil"/>
              <w:bottom w:val="single" w:color="auto" w:sz="4" w:space="0"/>
              <w:right w:val="single" w:color="auto" w:sz="4" w:space="0"/>
            </w:tcBorders>
            <w:noWrap/>
            <w:vAlign w:val="center"/>
          </w:tcPr>
          <w:p/>
        </w:tc>
        <w:tc>
          <w:tcPr>
            <w:tcW w:w="1021" w:type="dxa"/>
            <w:gridSpan w:val="2"/>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90" w:hRule="exact"/>
          <w:jc w:val="center"/>
        </w:trPr>
        <w:tc>
          <w:tcPr>
            <w:tcW w:w="588" w:type="dxa"/>
            <w:vMerge w:val="continue"/>
            <w:tcBorders>
              <w:left w:val="single" w:color="auto" w:sz="4" w:space="0"/>
              <w:right w:val="single" w:color="auto" w:sz="4" w:space="0"/>
            </w:tcBorders>
            <w:noWrap/>
            <w:vAlign w:val="center"/>
          </w:tcPr>
          <w:p/>
        </w:tc>
        <w:tc>
          <w:tcPr>
            <w:tcW w:w="980" w:type="dxa"/>
            <w:vMerge w:val="continue"/>
            <w:tcBorders>
              <w:top w:val="nil"/>
              <w:left w:val="single" w:color="auto" w:sz="4" w:space="0"/>
              <w:bottom w:val="single" w:color="auto" w:sz="4" w:space="0"/>
              <w:right w:val="single" w:color="auto" w:sz="4" w:space="0"/>
            </w:tcBorders>
            <w:noWrap/>
            <w:vAlign w:val="center"/>
          </w:tc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541" w:type="dxa"/>
            <w:gridSpan w:val="3"/>
            <w:tcBorders>
              <w:top w:val="single" w:color="auto" w:sz="4" w:space="0"/>
              <w:left w:val="nil"/>
              <w:bottom w:val="single" w:color="auto" w:sz="4" w:space="0"/>
              <w:right w:val="single" w:color="auto" w:sz="4" w:space="0"/>
            </w:tcBorders>
            <w:noWrap/>
            <w:vAlign w:val="center"/>
          </w:tcPr>
          <w:p/>
        </w:tc>
        <w:tc>
          <w:tcPr>
            <w:tcW w:w="775" w:type="dxa"/>
            <w:tcBorders>
              <w:top w:val="nil"/>
              <w:left w:val="nil"/>
              <w:bottom w:val="single" w:color="auto" w:sz="4" w:space="0"/>
              <w:right w:val="single" w:color="auto" w:sz="4" w:space="0"/>
            </w:tcBorders>
            <w:noWrap/>
            <w:vAlign w:val="center"/>
          </w:tcPr>
          <w:p/>
        </w:tc>
        <w:tc>
          <w:tcPr>
            <w:tcW w:w="816" w:type="dxa"/>
            <w:tcBorders>
              <w:top w:val="nil"/>
              <w:left w:val="nil"/>
              <w:bottom w:val="single" w:color="auto" w:sz="4" w:space="0"/>
              <w:right w:val="single" w:color="auto" w:sz="4" w:space="0"/>
            </w:tcBorders>
            <w:noWrap/>
            <w:vAlign w:val="center"/>
          </w:tcPr>
          <w:p/>
        </w:tc>
        <w:tc>
          <w:tcPr>
            <w:tcW w:w="509" w:type="dxa"/>
            <w:tcBorders>
              <w:top w:val="nil"/>
              <w:left w:val="nil"/>
              <w:bottom w:val="single" w:color="auto" w:sz="4" w:space="0"/>
              <w:right w:val="single" w:color="auto" w:sz="4" w:space="0"/>
            </w:tcBorders>
            <w:noWrap/>
            <w:vAlign w:val="center"/>
          </w:tcPr>
          <w:p/>
        </w:tc>
        <w:tc>
          <w:tcPr>
            <w:tcW w:w="738" w:type="dxa"/>
            <w:gridSpan w:val="2"/>
            <w:tcBorders>
              <w:top w:val="nil"/>
              <w:left w:val="nil"/>
              <w:bottom w:val="nil"/>
              <w:right w:val="single" w:color="auto" w:sz="4" w:space="0"/>
            </w:tcBorders>
            <w:noWrap/>
            <w:vAlign w:val="center"/>
          </w:tcPr>
          <w:p/>
        </w:tc>
        <w:tc>
          <w:tcPr>
            <w:tcW w:w="1021" w:type="dxa"/>
            <w:gridSpan w:val="2"/>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时效指标</w:t>
            </w: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指标1：日常救助及时性</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及时</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及时</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指标2：财政资金到位及时性</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及时</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及时</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tc>
        <w:tc>
          <w:tcPr>
            <w:tcW w:w="980" w:type="dxa"/>
            <w:vMerge w:val="continue"/>
            <w:tcBorders>
              <w:top w:val="nil"/>
              <w:left w:val="single" w:color="auto" w:sz="4" w:space="0"/>
              <w:bottom w:val="single" w:color="auto" w:sz="4" w:space="0"/>
              <w:right w:val="single" w:color="auto" w:sz="4" w:space="0"/>
            </w:tcBorders>
            <w:noWrap/>
            <w:vAlign w:val="center"/>
          </w:tc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541" w:type="dxa"/>
            <w:gridSpan w:val="3"/>
            <w:tcBorders>
              <w:top w:val="single" w:color="auto" w:sz="4" w:space="0"/>
              <w:left w:val="nil"/>
              <w:bottom w:val="nil"/>
              <w:right w:val="single" w:color="auto" w:sz="4" w:space="0"/>
            </w:tcBorders>
            <w:noWrap/>
            <w:vAlign w:val="center"/>
          </w:tcPr>
          <w:p/>
        </w:tc>
        <w:tc>
          <w:tcPr>
            <w:tcW w:w="775" w:type="dxa"/>
            <w:tcBorders>
              <w:top w:val="nil"/>
              <w:left w:val="nil"/>
              <w:bottom w:val="single" w:color="auto" w:sz="4" w:space="0"/>
              <w:right w:val="single" w:color="auto" w:sz="4" w:space="0"/>
            </w:tcBorders>
            <w:noWrap/>
            <w:vAlign w:val="center"/>
          </w:tcPr>
          <w:p/>
        </w:tc>
        <w:tc>
          <w:tcPr>
            <w:tcW w:w="816" w:type="dxa"/>
            <w:tcBorders>
              <w:top w:val="nil"/>
              <w:left w:val="nil"/>
              <w:bottom w:val="single" w:color="auto" w:sz="4" w:space="0"/>
              <w:right w:val="single" w:color="auto" w:sz="4" w:space="0"/>
            </w:tcBorders>
            <w:noWrap/>
            <w:vAlign w:val="center"/>
          </w:tcPr>
          <w:p/>
        </w:tc>
        <w:tc>
          <w:tcPr>
            <w:tcW w:w="509" w:type="dxa"/>
            <w:tcBorders>
              <w:top w:val="nil"/>
              <w:left w:val="nil"/>
              <w:bottom w:val="single" w:color="auto" w:sz="4" w:space="0"/>
              <w:right w:val="single" w:color="auto" w:sz="4" w:space="0"/>
            </w:tcBorders>
            <w:noWrap/>
            <w:vAlign w:val="center"/>
          </w:tcPr>
          <w:p/>
        </w:tc>
        <w:tc>
          <w:tcPr>
            <w:tcW w:w="738" w:type="dxa"/>
            <w:gridSpan w:val="2"/>
            <w:tcBorders>
              <w:top w:val="nil"/>
              <w:left w:val="nil"/>
              <w:bottom w:val="nil"/>
              <w:right w:val="single" w:color="auto" w:sz="4" w:space="0"/>
            </w:tcBorders>
            <w:noWrap/>
            <w:vAlign w:val="center"/>
          </w:tcPr>
          <w:p/>
        </w:tc>
        <w:tc>
          <w:tcPr>
            <w:tcW w:w="1021" w:type="dxa"/>
            <w:gridSpan w:val="2"/>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成本指标</w:t>
            </w:r>
          </w:p>
        </w:tc>
        <w:tc>
          <w:tcPr>
            <w:tcW w:w="2541" w:type="dxa"/>
            <w:gridSpan w:val="3"/>
            <w:tcBorders>
              <w:top w:val="nil"/>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w:t>
            </w:r>
            <w:r>
              <w:rPr>
                <w:rFonts w:hint="eastAsia" w:ascii="SimSun" w:hAnsi="SimSun" w:eastAsia="SimSun" w:cs="SimSun"/>
                <w:color w:val="000000"/>
                <w:kern w:val="0"/>
                <w:sz w:val="13"/>
                <w:szCs w:val="13"/>
              </w:rPr>
              <w:t>项目实施期成本控制范围</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1"/>
                <w:szCs w:val="11"/>
              </w:rPr>
              <w:t>51.36万元</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1"/>
                <w:szCs w:val="11"/>
              </w:rPr>
              <w:t>51.36万元</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0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tc>
        <w:tc>
          <w:tcPr>
            <w:tcW w:w="980" w:type="dxa"/>
            <w:vMerge w:val="continue"/>
            <w:tcBorders>
              <w:top w:val="nil"/>
              <w:left w:val="single" w:color="auto" w:sz="4" w:space="0"/>
              <w:bottom w:val="single" w:color="auto" w:sz="4" w:space="0"/>
              <w:right w:val="single" w:color="auto" w:sz="4" w:space="0"/>
            </w:tcBorders>
            <w:noWrap/>
            <w:vAlign w:val="center"/>
          </w:tc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541" w:type="dxa"/>
            <w:gridSpan w:val="3"/>
            <w:tcBorders>
              <w:top w:val="single" w:color="auto" w:sz="4" w:space="0"/>
              <w:left w:val="nil"/>
              <w:bottom w:val="single" w:color="auto" w:sz="4" w:space="0"/>
              <w:right w:val="single" w:color="auto" w:sz="4" w:space="0"/>
            </w:tcBorders>
            <w:noWrap/>
            <w:vAlign w:val="center"/>
          </w:tcPr>
          <w:p/>
        </w:tc>
        <w:tc>
          <w:tcPr>
            <w:tcW w:w="775" w:type="dxa"/>
            <w:tcBorders>
              <w:top w:val="nil"/>
              <w:left w:val="nil"/>
              <w:bottom w:val="single" w:color="auto" w:sz="4" w:space="0"/>
              <w:right w:val="single" w:color="auto" w:sz="4" w:space="0"/>
            </w:tcBorders>
            <w:noWrap/>
            <w:vAlign w:val="center"/>
          </w:tcPr>
          <w:p/>
        </w:tc>
        <w:tc>
          <w:tcPr>
            <w:tcW w:w="816" w:type="dxa"/>
            <w:tcBorders>
              <w:top w:val="nil"/>
              <w:left w:val="nil"/>
              <w:bottom w:val="single" w:color="auto" w:sz="4" w:space="0"/>
              <w:right w:val="single" w:color="auto" w:sz="4" w:space="0"/>
            </w:tcBorders>
            <w:noWrap/>
            <w:vAlign w:val="center"/>
          </w:tcPr>
          <w:p/>
        </w:tc>
        <w:tc>
          <w:tcPr>
            <w:tcW w:w="509" w:type="dxa"/>
            <w:tcBorders>
              <w:top w:val="nil"/>
              <w:left w:val="nil"/>
              <w:bottom w:val="single" w:color="auto" w:sz="4" w:space="0"/>
              <w:right w:val="single" w:color="auto" w:sz="4" w:space="0"/>
            </w:tcBorders>
            <w:noWrap/>
            <w:vAlign w:val="center"/>
          </w:tcPr>
          <w:p/>
        </w:tc>
        <w:tc>
          <w:tcPr>
            <w:tcW w:w="738" w:type="dxa"/>
            <w:gridSpan w:val="2"/>
            <w:tcBorders>
              <w:top w:val="nil"/>
              <w:left w:val="nil"/>
              <w:bottom w:val="single" w:color="auto" w:sz="4" w:space="0"/>
              <w:right w:val="single" w:color="auto" w:sz="4" w:space="0"/>
            </w:tcBorders>
            <w:noWrap/>
            <w:vAlign w:val="center"/>
          </w:tcPr>
          <w:p/>
        </w:tc>
        <w:tc>
          <w:tcPr>
            <w:tcW w:w="1021" w:type="dxa"/>
            <w:gridSpan w:val="2"/>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tc>
        <w:tc>
          <w:tcPr>
            <w:tcW w:w="980" w:type="dxa"/>
            <w:vMerge w:val="continue"/>
            <w:tcBorders>
              <w:top w:val="nil"/>
              <w:left w:val="single" w:color="auto" w:sz="4" w:space="0"/>
              <w:bottom w:val="single" w:color="auto" w:sz="4" w:space="0"/>
              <w:right w:val="single" w:color="auto" w:sz="4" w:space="0"/>
            </w:tcBorders>
            <w:noWrap/>
            <w:vAlign w:val="center"/>
          </w:tc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541" w:type="dxa"/>
            <w:gridSpan w:val="3"/>
            <w:tcBorders>
              <w:top w:val="single" w:color="auto" w:sz="4" w:space="0"/>
              <w:left w:val="nil"/>
              <w:bottom w:val="nil"/>
              <w:right w:val="single" w:color="auto" w:sz="4" w:space="0"/>
            </w:tcBorders>
            <w:noWrap/>
            <w:vAlign w:val="center"/>
          </w:tcPr>
          <w:p/>
        </w:tc>
        <w:tc>
          <w:tcPr>
            <w:tcW w:w="775" w:type="dxa"/>
            <w:tcBorders>
              <w:top w:val="nil"/>
              <w:left w:val="nil"/>
              <w:bottom w:val="single" w:color="auto" w:sz="4" w:space="0"/>
              <w:right w:val="single" w:color="auto" w:sz="4" w:space="0"/>
            </w:tcBorders>
            <w:noWrap/>
            <w:vAlign w:val="center"/>
          </w:tcPr>
          <w:p/>
        </w:tc>
        <w:tc>
          <w:tcPr>
            <w:tcW w:w="816" w:type="dxa"/>
            <w:tcBorders>
              <w:top w:val="nil"/>
              <w:left w:val="nil"/>
              <w:bottom w:val="single" w:color="auto" w:sz="4" w:space="0"/>
              <w:right w:val="single" w:color="auto" w:sz="4" w:space="0"/>
            </w:tcBorders>
            <w:noWrap/>
            <w:vAlign w:val="center"/>
          </w:tcPr>
          <w:p/>
        </w:tc>
        <w:tc>
          <w:tcPr>
            <w:tcW w:w="509" w:type="dxa"/>
            <w:tcBorders>
              <w:top w:val="nil"/>
              <w:left w:val="nil"/>
              <w:bottom w:val="single" w:color="auto" w:sz="4" w:space="0"/>
              <w:right w:val="single" w:color="auto" w:sz="4" w:space="0"/>
            </w:tcBorders>
            <w:noWrap/>
            <w:vAlign w:val="center"/>
          </w:tcPr>
          <w:p/>
        </w:tc>
        <w:tc>
          <w:tcPr>
            <w:tcW w:w="738" w:type="dxa"/>
            <w:gridSpan w:val="2"/>
            <w:tcBorders>
              <w:top w:val="nil"/>
              <w:left w:val="nil"/>
              <w:bottom w:val="single" w:color="auto" w:sz="4" w:space="0"/>
              <w:right w:val="single" w:color="auto" w:sz="4" w:space="0"/>
            </w:tcBorders>
            <w:noWrap/>
            <w:vAlign w:val="center"/>
          </w:tcPr>
          <w:p/>
        </w:tc>
        <w:tc>
          <w:tcPr>
            <w:tcW w:w="1021" w:type="dxa"/>
            <w:gridSpan w:val="2"/>
            <w:tcBorders>
              <w:top w:val="single" w:color="auto" w:sz="4" w:space="0"/>
              <w:left w:val="nil"/>
              <w:bottom w:val="nil"/>
              <w:right w:val="single" w:color="auto" w:sz="4" w:space="0"/>
            </w:tcBorders>
            <w:noWrap/>
            <w:vAlign w:val="center"/>
          </w:tc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效益指标</w:t>
            </w:r>
          </w:p>
        </w:tc>
        <w:tc>
          <w:tcPr>
            <w:tcW w:w="1112"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经济效益</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2541" w:type="dxa"/>
            <w:gridSpan w:val="3"/>
            <w:tcBorders>
              <w:top w:val="nil"/>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w:t>
            </w:r>
            <w:r>
              <w:rPr>
                <w:rFonts w:hint="eastAsia" w:ascii="SimSun" w:hAnsi="SimSun" w:eastAsia="SimSun" w:cs="SimSun"/>
                <w:color w:val="000000"/>
                <w:kern w:val="0"/>
                <w:sz w:val="15"/>
                <w:szCs w:val="15"/>
              </w:rPr>
              <w:t>严格管理节约成本</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稳定</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稳定</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社会效益</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w:t>
            </w:r>
            <w:r>
              <w:rPr>
                <w:rFonts w:hint="eastAsia" w:ascii="SimSun" w:hAnsi="SimSun" w:eastAsia="SimSun" w:cs="SimSun"/>
                <w:color w:val="000000"/>
                <w:kern w:val="0"/>
                <w:sz w:val="15"/>
                <w:szCs w:val="15"/>
              </w:rPr>
              <w:t>开展春霖林助学行动能力</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逐年提高</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3"/>
                <w:szCs w:val="13"/>
              </w:rPr>
            </w:pPr>
            <w:r>
              <w:rPr>
                <w:rFonts w:hint="eastAsia" w:ascii="SimSun" w:hAnsi="SimSun" w:eastAsia="SimSun" w:cs="SimSun"/>
                <w:kern w:val="0"/>
                <w:sz w:val="13"/>
                <w:szCs w:val="13"/>
              </w:rPr>
              <w:t>逐年提高</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r>
              <w:rPr>
                <w:rFonts w:hint="eastAsia" w:ascii="SimSun" w:hAnsi="SimSun" w:eastAsia="SimSun" w:cs="SimSun"/>
                <w:color w:val="000000"/>
                <w:kern w:val="0"/>
                <w:sz w:val="15"/>
                <w:szCs w:val="15"/>
              </w:rPr>
              <w:t>开展博爱送万家行动能力</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3"/>
                <w:szCs w:val="13"/>
              </w:rPr>
              <w:t>逐年提高</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3"/>
                <w:szCs w:val="13"/>
              </w:rPr>
              <w:t>逐年提高</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指标3：社会反响力/影响力</w:t>
            </w:r>
          </w:p>
          <w:p>
            <w:pPr>
              <w:widowControl/>
              <w:spacing w:line="240" w:lineRule="exact"/>
              <w:jc w:val="left"/>
              <w:rPr>
                <w:rFonts w:ascii="SimSun" w:hAnsi="SimSun" w:eastAsia="SimSun" w:cs="SimSun"/>
                <w:color w:val="000000"/>
                <w:kern w:val="0"/>
                <w:sz w:val="18"/>
                <w:szCs w:val="18"/>
              </w:rPr>
            </w:pPr>
          </w:p>
          <w:p>
            <w:pPr>
              <w:widowControl/>
              <w:spacing w:line="240" w:lineRule="exact"/>
              <w:jc w:val="left"/>
              <w:rPr>
                <w:rFonts w:ascii="SimSun" w:hAnsi="SimSun" w:eastAsia="SimSun" w:cs="SimSun"/>
                <w:color w:val="000000"/>
                <w:kern w:val="0"/>
                <w:sz w:val="18"/>
                <w:szCs w:val="18"/>
              </w:rPr>
            </w:pPr>
          </w:p>
          <w:p>
            <w:pPr>
              <w:widowControl/>
              <w:spacing w:line="240" w:lineRule="exact"/>
              <w:jc w:val="left"/>
              <w:rPr>
                <w:rFonts w:ascii="SimSun" w:hAnsi="SimSun" w:eastAsia="SimSun" w:cs="SimSun"/>
                <w:color w:val="000000"/>
                <w:kern w:val="0"/>
                <w:sz w:val="18"/>
                <w:szCs w:val="18"/>
              </w:rPr>
            </w:pPr>
          </w:p>
          <w:p>
            <w:pPr>
              <w:widowControl/>
              <w:spacing w:line="240" w:lineRule="exact"/>
              <w:jc w:val="left"/>
              <w:rPr>
                <w:rFonts w:ascii="SimSun" w:hAnsi="SimSun" w:eastAsia="SimSun" w:cs="SimSun"/>
                <w:color w:val="000000"/>
                <w:kern w:val="0"/>
                <w:sz w:val="18"/>
                <w:szCs w:val="18"/>
              </w:rPr>
            </w:pPr>
          </w:p>
          <w:p>
            <w:pPr>
              <w:widowControl/>
              <w:spacing w:line="240" w:lineRule="exact"/>
              <w:jc w:val="left"/>
              <w:rPr>
                <w:rFonts w:ascii="SimSun" w:hAnsi="SimSun" w:eastAsia="SimSun" w:cs="SimSun"/>
                <w:color w:val="000000"/>
                <w:kern w:val="0"/>
                <w:sz w:val="18"/>
                <w:szCs w:val="18"/>
              </w:rPr>
            </w:pPr>
          </w:p>
          <w:p>
            <w:pPr>
              <w:widowControl/>
              <w:spacing w:line="240" w:lineRule="exact"/>
              <w:jc w:val="left"/>
              <w:rPr>
                <w:rFonts w:ascii="SimSun" w:hAnsi="SimSun" w:eastAsia="SimSun" w:cs="SimSun"/>
                <w:color w:val="000000"/>
                <w:kern w:val="0"/>
                <w:sz w:val="18"/>
                <w:szCs w:val="18"/>
              </w:rPr>
            </w:pPr>
          </w:p>
          <w:p>
            <w:pPr>
              <w:widowControl/>
              <w:spacing w:line="240" w:lineRule="exact"/>
              <w:jc w:val="left"/>
              <w:rPr>
                <w:rFonts w:ascii="SimSun" w:hAnsi="SimSun" w:eastAsia="SimSun" w:cs="SimSun"/>
                <w:color w:val="000000"/>
                <w:kern w:val="0"/>
                <w:sz w:val="18"/>
                <w:szCs w:val="18"/>
              </w:rPr>
            </w:pPr>
          </w:p>
          <w:p>
            <w:pPr>
              <w:widowControl/>
              <w:spacing w:line="240" w:lineRule="exact"/>
              <w:jc w:val="left"/>
              <w:rPr>
                <w:rFonts w:ascii="SimSun" w:hAnsi="SimSun" w:eastAsia="SimSun" w:cs="SimSun"/>
                <w:color w:val="000000"/>
                <w:kern w:val="0"/>
                <w:sz w:val="18"/>
                <w:szCs w:val="18"/>
              </w:rPr>
            </w:pPr>
          </w:p>
          <w:p>
            <w:pPr>
              <w:widowControl/>
              <w:spacing w:line="240" w:lineRule="exact"/>
              <w:jc w:val="left"/>
              <w:rPr>
                <w:rFonts w:ascii="SimSun" w:hAnsi="SimSun" w:eastAsia="SimSun" w:cs="SimSun"/>
                <w:color w:val="000000"/>
                <w:kern w:val="0"/>
                <w:sz w:val="18"/>
                <w:szCs w:val="18"/>
              </w:rPr>
            </w:pP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提高</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提高</w:t>
            </w:r>
          </w:p>
          <w:p>
            <w:pPr>
              <w:widowControl/>
              <w:spacing w:line="240" w:lineRule="exact"/>
              <w:jc w:val="center"/>
              <w:rPr>
                <w:rFonts w:ascii="SimSun" w:hAnsi="SimSun" w:eastAsia="SimSun" w:cs="SimSun"/>
                <w:kern w:val="0"/>
                <w:sz w:val="18"/>
                <w:szCs w:val="18"/>
              </w:rPr>
            </w:pPr>
          </w:p>
          <w:p>
            <w:pPr>
              <w:widowControl/>
              <w:spacing w:line="240" w:lineRule="exact"/>
              <w:jc w:val="center"/>
              <w:rPr>
                <w:rFonts w:ascii="SimSun" w:hAnsi="SimSun" w:eastAsia="SimSun" w:cs="SimSun"/>
                <w:kern w:val="0"/>
                <w:sz w:val="18"/>
                <w:szCs w:val="18"/>
              </w:rPr>
            </w:pPr>
          </w:p>
          <w:p>
            <w:pPr>
              <w:widowControl/>
              <w:spacing w:line="240" w:lineRule="exact"/>
              <w:jc w:val="center"/>
              <w:rPr>
                <w:rFonts w:ascii="SimSun" w:hAnsi="SimSun" w:eastAsia="SimSun" w:cs="SimSun"/>
                <w:kern w:val="0"/>
                <w:sz w:val="18"/>
                <w:szCs w:val="18"/>
              </w:rPr>
            </w:pPr>
          </w:p>
          <w:p>
            <w:pPr>
              <w:widowControl/>
              <w:spacing w:line="240" w:lineRule="exact"/>
              <w:jc w:val="center"/>
              <w:rPr>
                <w:rFonts w:ascii="SimSun" w:hAnsi="SimSun" w:eastAsia="SimSun" w:cs="SimSun"/>
                <w:kern w:val="0"/>
                <w:sz w:val="18"/>
                <w:szCs w:val="18"/>
              </w:rPr>
            </w:pPr>
          </w:p>
          <w:p>
            <w:pPr>
              <w:widowControl/>
              <w:spacing w:line="240" w:lineRule="exact"/>
              <w:jc w:val="center"/>
              <w:rPr>
                <w:rFonts w:ascii="SimSun" w:hAnsi="SimSun" w:eastAsia="SimSun" w:cs="SimSun"/>
                <w:kern w:val="0"/>
                <w:sz w:val="18"/>
                <w:szCs w:val="18"/>
              </w:rPr>
            </w:pPr>
          </w:p>
          <w:p>
            <w:pPr>
              <w:widowControl/>
              <w:spacing w:line="240" w:lineRule="exact"/>
              <w:jc w:val="center"/>
              <w:rPr>
                <w:rFonts w:ascii="SimSun" w:hAnsi="SimSun" w:eastAsia="SimSun" w:cs="SimSun"/>
                <w:kern w:val="0"/>
                <w:sz w:val="18"/>
                <w:szCs w:val="18"/>
              </w:rPr>
            </w:pPr>
          </w:p>
          <w:p>
            <w:pPr>
              <w:widowControl/>
              <w:spacing w:line="240" w:lineRule="exact"/>
              <w:jc w:val="center"/>
              <w:rPr>
                <w:rFonts w:ascii="SimSun" w:hAnsi="SimSun" w:eastAsia="SimSun" w:cs="SimSun"/>
                <w:kern w:val="0"/>
                <w:sz w:val="18"/>
                <w:szCs w:val="18"/>
              </w:rPr>
            </w:pPr>
          </w:p>
          <w:p>
            <w:pPr>
              <w:widowControl/>
              <w:spacing w:line="240" w:lineRule="exact"/>
              <w:jc w:val="center"/>
              <w:rPr>
                <w:rFonts w:ascii="SimSun" w:hAnsi="SimSun" w:eastAsia="SimSun" w:cs="SimSun"/>
                <w:kern w:val="0"/>
                <w:sz w:val="18"/>
                <w:szCs w:val="18"/>
              </w:rPr>
            </w:pPr>
          </w:p>
          <w:p>
            <w:pPr>
              <w:widowControl/>
              <w:spacing w:line="240" w:lineRule="exact"/>
              <w:jc w:val="center"/>
              <w:rPr>
                <w:rFonts w:ascii="SimSun" w:hAnsi="SimSun" w:eastAsia="SimSun" w:cs="SimSun"/>
                <w:kern w:val="0"/>
                <w:sz w:val="18"/>
                <w:szCs w:val="18"/>
              </w:rPr>
            </w:pPr>
          </w:p>
          <w:p>
            <w:pPr>
              <w:widowControl/>
              <w:spacing w:line="240" w:lineRule="exact"/>
              <w:jc w:val="center"/>
              <w:rPr>
                <w:rFonts w:ascii="SimSun" w:hAnsi="SimSun" w:eastAsia="SimSun" w:cs="SimSun"/>
                <w:kern w:val="0"/>
                <w:sz w:val="18"/>
                <w:szCs w:val="18"/>
              </w:rPr>
            </w:pPr>
          </w:p>
          <w:p>
            <w:pPr>
              <w:widowControl/>
              <w:spacing w:line="240" w:lineRule="exact"/>
              <w:jc w:val="center"/>
              <w:rPr>
                <w:rFonts w:ascii="SimSun" w:hAnsi="SimSun" w:eastAsia="SimSun" w:cs="SimSun"/>
                <w:kern w:val="0"/>
                <w:sz w:val="18"/>
                <w:szCs w:val="18"/>
              </w:rPr>
            </w:pPr>
          </w:p>
          <w:p>
            <w:pPr>
              <w:widowControl/>
              <w:spacing w:line="240" w:lineRule="exact"/>
              <w:jc w:val="center"/>
              <w:rPr>
                <w:rFonts w:ascii="SimSun" w:hAnsi="SimSun" w:eastAsia="SimSun" w:cs="SimSun"/>
                <w:kern w:val="0"/>
                <w:sz w:val="18"/>
                <w:szCs w:val="18"/>
              </w:rPr>
            </w:pP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生态效益</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可持续影响指标</w:t>
            </w: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指标1：可持续影响力</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3"/>
                <w:szCs w:val="13"/>
              </w:rPr>
              <w:t>逐年提高</w:t>
            </w: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3"/>
                <w:szCs w:val="13"/>
              </w:rPr>
              <w:t>逐年提高</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满意度</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1112"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服务对象满意度指标</w:t>
            </w: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指标1：救助对象满意度</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指标2：工作人员满意度</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5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w:t>
            </w:r>
          </w:p>
        </w:tc>
        <w:tc>
          <w:tcPr>
            <w:tcW w:w="775"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16"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6812"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总分</w:t>
            </w:r>
          </w:p>
        </w:tc>
        <w:tc>
          <w:tcPr>
            <w:tcW w:w="509"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100</w:t>
            </w:r>
          </w:p>
        </w:tc>
        <w:tc>
          <w:tcPr>
            <w:tcW w:w="738"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99</w:t>
            </w:r>
          </w:p>
        </w:tc>
        <w:tc>
          <w:tcPr>
            <w:tcW w:w="102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自评结果分析</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项目实施和预算执行情况及分析</w:t>
            </w:r>
          </w:p>
        </w:tc>
        <w:tc>
          <w:tcPr>
            <w:tcW w:w="640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180" w:firstLineChars="100"/>
              <w:jc w:val="left"/>
              <w:rPr>
                <w:rFonts w:ascii="SimSun" w:hAnsi="SimSun" w:eastAsia="SimSun" w:cs="SimSun"/>
                <w:kern w:val="0"/>
                <w:sz w:val="18"/>
                <w:szCs w:val="18"/>
              </w:rPr>
            </w:pPr>
            <w:r>
              <w:rPr>
                <w:rFonts w:hint="eastAsia" w:ascii="SimSun" w:hAnsi="SimSun" w:eastAsia="SimSun" w:cs="SimSun"/>
                <w:kern w:val="0"/>
                <w:sz w:val="18"/>
                <w:szCs w:val="18"/>
              </w:rPr>
              <w:t>我会积极开展救助工作，“</w:t>
            </w:r>
            <w:r>
              <w:rPr>
                <w:rFonts w:ascii="SimSun" w:hAnsi="SimSun" w:eastAsia="SimSun" w:cs="SimSun"/>
                <w:kern w:val="0"/>
                <w:sz w:val="18"/>
                <w:szCs w:val="18"/>
              </w:rPr>
              <w:t>红十字会博爱送万家”活动资助</w:t>
            </w:r>
            <w:r>
              <w:rPr>
                <w:rFonts w:hint="eastAsia" w:ascii="SimSun" w:hAnsi="SimSun" w:eastAsia="SimSun" w:cs="SimSun"/>
                <w:kern w:val="0"/>
                <w:sz w:val="18"/>
                <w:szCs w:val="18"/>
              </w:rPr>
              <w:t>2680</w:t>
            </w:r>
            <w:r>
              <w:rPr>
                <w:rFonts w:ascii="SimSun" w:hAnsi="SimSun" w:eastAsia="SimSun" w:cs="SimSun"/>
                <w:kern w:val="0"/>
                <w:sz w:val="18"/>
                <w:szCs w:val="18"/>
              </w:rPr>
              <w:t>户贫困家庭“红十字会春霖助学”行动资助</w:t>
            </w:r>
            <w:r>
              <w:rPr>
                <w:rFonts w:hint="eastAsia" w:ascii="SimSun" w:hAnsi="SimSun" w:eastAsia="SimSun" w:cs="SimSun"/>
                <w:kern w:val="0"/>
                <w:sz w:val="18"/>
                <w:szCs w:val="18"/>
              </w:rPr>
              <w:t>111</w:t>
            </w:r>
            <w:r>
              <w:rPr>
                <w:rFonts w:ascii="SimSun" w:hAnsi="SimSun" w:eastAsia="SimSun" w:cs="SimSun"/>
                <w:kern w:val="0"/>
                <w:sz w:val="18"/>
                <w:szCs w:val="18"/>
              </w:rPr>
              <w:t>名贫困大学生</w:t>
            </w:r>
            <w:r>
              <w:rPr>
                <w:rFonts w:hint="eastAsia" w:ascii="SimSun" w:hAnsi="SimSun" w:eastAsia="SimSun" w:cs="SimSun"/>
                <w:kern w:val="0"/>
                <w:sz w:val="18"/>
                <w:szCs w:val="18"/>
              </w:rPr>
              <w:t>资金支付及时完成，活动顺利开展。</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产出情况及分析</w:t>
            </w:r>
          </w:p>
        </w:tc>
        <w:tc>
          <w:tcPr>
            <w:tcW w:w="640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相关工作及时完成，产出情况良好可持续影响度高救助对象非常满意。</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效益情况及分析</w:t>
            </w:r>
          </w:p>
        </w:tc>
        <w:tc>
          <w:tcPr>
            <w:tcW w:w="640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SimSun" w:hAnsi="SimSun" w:eastAsia="SimSun" w:cs="SimSun"/>
                <w:color w:val="000000"/>
                <w:kern w:val="0"/>
                <w:sz w:val="18"/>
                <w:szCs w:val="18"/>
              </w:rPr>
            </w:pPr>
            <w:r>
              <w:rPr>
                <w:rFonts w:hint="eastAsia" w:ascii="SimSun" w:hAnsi="SimSun" w:eastAsia="SimSun" w:cs="SimSun"/>
                <w:color w:val="000000"/>
                <w:kern w:val="0"/>
                <w:sz w:val="18"/>
                <w:szCs w:val="18"/>
              </w:rPr>
              <w:t>我会有足够的能力开展“博爱送万家”活动，“春霖助学”活动。社会响反力及影响力，逐年提高。我市救助家庭生活安定幸福。</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满意度情况及分析</w:t>
            </w:r>
          </w:p>
        </w:tc>
        <w:tc>
          <w:tcPr>
            <w:tcW w:w="640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救助贫困家庭及贫困学子满意度达≧90%。</w:t>
            </w:r>
          </w:p>
        </w:tc>
      </w:tr>
      <w:tr>
        <w:tblPrEx>
          <w:tblCellMar>
            <w:top w:w="0" w:type="dxa"/>
            <w:left w:w="108" w:type="dxa"/>
            <w:bottom w:w="0" w:type="dxa"/>
            <w:right w:w="108" w:type="dxa"/>
          </w:tblCellMar>
        </w:tblPrEx>
        <w:trPr>
          <w:trHeight w:val="3327"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主要经验做法</w:t>
            </w:r>
          </w:p>
        </w:tc>
        <w:tc>
          <w:tcPr>
            <w:tcW w:w="6400" w:type="dxa"/>
            <w:gridSpan w:val="10"/>
            <w:tcBorders>
              <w:top w:val="single" w:color="auto" w:sz="4" w:space="0"/>
              <w:left w:val="single" w:color="auto" w:sz="4" w:space="0"/>
              <w:bottom w:val="single" w:color="auto" w:sz="4" w:space="0"/>
              <w:right w:val="single" w:color="auto" w:sz="4" w:space="0"/>
            </w:tcBorders>
            <w:noWrap/>
            <w:vAlign w:val="center"/>
          </w:tcPr>
          <w:p>
            <w:pPr>
              <w:spacing w:before="218" w:line="359" w:lineRule="auto"/>
              <w:ind w:left="5" w:right="201" w:firstLine="659"/>
              <w:rPr>
                <w:rFonts w:ascii="SimSun" w:hAnsi="SimSun" w:eastAsia="SimSun" w:cs="SimSun"/>
                <w:kern w:val="0"/>
                <w:sz w:val="18"/>
                <w:szCs w:val="18"/>
              </w:rPr>
            </w:pPr>
            <w:r>
              <w:rPr>
                <w:rFonts w:hint="eastAsia" w:ascii="SimSun" w:hAnsi="SimSun" w:eastAsia="SimSun" w:cs="SimSun"/>
                <w:kern w:val="0"/>
                <w:sz w:val="18"/>
                <w:szCs w:val="18"/>
              </w:rPr>
              <w:t>大力开展推进红十字会救助工作，弘扬红十字会人道精神，做人民和政府的桥梁纽带不断完善，查漏补缺。进一步统一思想认识,明确工作目标,落实项目任务.将项目任务逐级分解,结合工作实际，提出明确要求及操作规范,我会站在维护和提升红十字会公信力的高度,切实加强救助力度,扎实推进相关工作标准化、规范化、专业化建设。</w:t>
            </w: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5" w:lineRule="auto"/>
              <w:rPr>
                <w:rFonts w:ascii="Arial"/>
                <w:sz w:val="18"/>
                <w:szCs w:val="18"/>
              </w:rPr>
            </w:pPr>
          </w:p>
          <w:p>
            <w:pPr>
              <w:widowControl/>
              <w:spacing w:line="240" w:lineRule="exact"/>
              <w:jc w:val="center"/>
              <w:rPr>
                <w:rFonts w:ascii="SimSun" w:hAnsi="SimSun" w:eastAsia="SimSun" w:cs="SimSun"/>
                <w:kern w:val="0"/>
                <w:sz w:val="18"/>
                <w:szCs w:val="18"/>
              </w:rPr>
            </w:pPr>
            <w:r>
              <w:rPr>
                <w:rFonts w:ascii="FangSong" w:hAnsi="FangSong" w:eastAsia="FangSong" w:cs="FangSong"/>
                <w:spacing w:val="8"/>
                <w:sz w:val="18"/>
                <w:szCs w:val="18"/>
              </w:rPr>
              <w:t>任务逐级分解,结合工作实际,向各市红十字会下发了具体项目任务量,提出明确要求及操作规范</w:t>
            </w:r>
          </w:p>
        </w:tc>
      </w:tr>
      <w:tr>
        <w:tblPrEx>
          <w:tblCellMar>
            <w:top w:w="0" w:type="dxa"/>
            <w:left w:w="108" w:type="dxa"/>
            <w:bottom w:w="0" w:type="dxa"/>
            <w:right w:w="108" w:type="dxa"/>
          </w:tblCellMar>
        </w:tblPrEx>
        <w:trPr>
          <w:trHeight w:val="3623"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项目管理中存在的</w:t>
            </w:r>
          </w:p>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主要问题及原因分析</w:t>
            </w:r>
          </w:p>
        </w:tc>
        <w:tc>
          <w:tcPr>
            <w:tcW w:w="640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绩效手段较为落后，预算执行进度和效率有待提高</w:t>
            </w:r>
          </w:p>
        </w:tc>
      </w:tr>
      <w:tr>
        <w:tblPrEx>
          <w:tblCellMar>
            <w:top w:w="0" w:type="dxa"/>
            <w:left w:w="108" w:type="dxa"/>
            <w:bottom w:w="0" w:type="dxa"/>
            <w:right w:w="108" w:type="dxa"/>
          </w:tblCellMar>
        </w:tblPrEx>
        <w:trPr>
          <w:trHeight w:val="202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下一步改进措施及</w:t>
            </w:r>
          </w:p>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管理建议</w:t>
            </w:r>
          </w:p>
        </w:tc>
        <w:tc>
          <w:tcPr>
            <w:tcW w:w="640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从已经执行完的项目效果来看，项目较好的落实了关于上级布置的救助要求，提升了我会的整体的救助能力，张扬红十字会人道救助精神。进一步优化措施，推进相关工作有序开展。</w:t>
            </w:r>
          </w:p>
        </w:tc>
      </w:tr>
    </w:tbl>
    <w:p>
      <w:pPr>
        <w:rPr>
          <w:rFonts w:ascii="仿宋_GB2312" w:hAnsi="仿宋_GB2312" w:eastAsia="仿宋_GB2312"/>
          <w:sz w:val="32"/>
        </w:rPr>
      </w:pPr>
    </w:p>
    <w:p>
      <w:pPr>
        <w:pStyle w:val="2"/>
        <w:ind w:left="420" w:firstLine="640"/>
        <w:rPr>
          <w:rFonts w:ascii="仿宋_GB2312" w:hAnsi="仿宋_GB2312" w:eastAsia="仿宋_GB2312"/>
          <w:sz w:val="32"/>
        </w:rPr>
      </w:pPr>
      <w:r>
        <w:rPr>
          <w:rFonts w:hint="eastAsia" w:ascii="仿宋_GB2312" w:hAnsi="仿宋_GB2312" w:eastAsia="仿宋_GB2312"/>
          <w:sz w:val="32"/>
        </w:rPr>
        <w:t>救灾备灾储备库运行费项目：项目自评得分100分。全年预算数为7万元，执行数为7万元，完成预算100%。项目绩效完成情况：备灾救灾储备库专人管理工作人员2名，定期维护储备库可以正常运行，配备合理，管理有序，资源共享，应急储备能力提高，储备库利用率达到90%以上。</w:t>
      </w:r>
    </w:p>
    <w:p>
      <w:pPr>
        <w:widowControl/>
        <w:spacing w:line="320" w:lineRule="exact"/>
        <w:jc w:val="left"/>
        <w:rPr>
          <w:rFonts w:ascii="SimHei" w:hAnsi="SimHei" w:eastAsia="SimHei" w:cs="SimHei"/>
          <w:b/>
          <w:bCs/>
          <w:kern w:val="0"/>
          <w:sz w:val="32"/>
          <w:szCs w:val="32"/>
        </w:rPr>
      </w:pPr>
    </w:p>
    <w:tbl>
      <w:tblPr>
        <w:tblStyle w:val="16"/>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254"/>
        <w:gridCol w:w="880"/>
        <w:gridCol w:w="851"/>
        <w:gridCol w:w="283"/>
        <w:gridCol w:w="284"/>
        <w:gridCol w:w="425"/>
        <w:gridCol w:w="142"/>
        <w:gridCol w:w="709"/>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noWrap/>
            <w:vAlign w:val="center"/>
          </w:tcPr>
          <w:p>
            <w:pPr>
              <w:widowControl/>
              <w:spacing w:line="320" w:lineRule="exact"/>
              <w:jc w:val="center"/>
              <w:rPr>
                <w:rFonts w:ascii="SimSun" w:hAnsi="SimSun" w:eastAsia="SimSun" w:cs="SimSun"/>
                <w:b/>
                <w:bCs/>
                <w:kern w:val="0"/>
                <w:sz w:val="32"/>
                <w:szCs w:val="32"/>
              </w:rPr>
            </w:pPr>
            <w:r>
              <w:rPr>
                <w:rFonts w:hint="eastAsia" w:ascii="华文中宋" w:hAnsi="华文中宋" w:eastAsia="华文中宋" w:cs="华文中宋"/>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tcPr>
          <w:p>
            <w:pPr>
              <w:widowControl/>
              <w:rPr>
                <w:rFonts w:ascii="SimSun" w:hAnsi="SimSun" w:eastAsia="SimSun" w:cs="SimSun"/>
                <w:kern w:val="0"/>
                <w:sz w:val="22"/>
                <w:szCs w:val="22"/>
              </w:rPr>
            </w:pPr>
            <w:r>
              <w:rPr>
                <w:rFonts w:hint="eastAsia" w:ascii="SimSun" w:hAnsi="SimSun" w:eastAsia="SimSun" w:cs="SimSun"/>
                <w:kern w:val="0"/>
                <w:sz w:val="22"/>
                <w:szCs w:val="22"/>
              </w:rPr>
              <w:t>填列单位（公章）：（</w:t>
            </w:r>
            <w:r>
              <w:rPr>
                <w:rFonts w:hint="eastAsia" w:ascii="SimSun" w:hAnsi="SimSun" w:eastAsia="SimSun" w:cs="SimSun"/>
                <w:color w:val="000000" w:themeColor="text1"/>
                <w:kern w:val="0"/>
                <w:sz w:val="22"/>
                <w:szCs w:val="22"/>
              </w:rPr>
              <w:t>2021</w:t>
            </w:r>
            <w:r>
              <w:rPr>
                <w:rFonts w:hint="eastAsia" w:ascii="SimSun" w:hAnsi="SimSun" w:eastAsia="SimSun" w:cs="SimSun"/>
                <w:kern w:val="0"/>
                <w:sz w:val="22"/>
                <w:szCs w:val="22"/>
              </w:rPr>
              <w:t xml:space="preserve">  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ign w:val="center"/>
          </w:tcPr>
          <w:p>
            <w:pPr>
              <w:widowControl/>
              <w:spacing w:line="240" w:lineRule="exact"/>
              <w:ind w:firstLine="2160" w:firstLineChars="1200"/>
              <w:rPr>
                <w:rFonts w:ascii="SimSun" w:hAnsi="SimSun" w:eastAsia="SimSun" w:cs="SimSun"/>
                <w:kern w:val="0"/>
                <w:sz w:val="18"/>
                <w:szCs w:val="18"/>
              </w:rPr>
            </w:pPr>
            <w:r>
              <w:rPr>
                <w:rFonts w:ascii="SimSun" w:hAnsi="SimSun" w:eastAsia="SimSun" w:cs="SimSun"/>
                <w:kern w:val="0"/>
                <w:sz w:val="18"/>
                <w:szCs w:val="18"/>
              </w:rPr>
              <w:t>救灾备灾储备库运行费</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大同市红十字会</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大同市红十字会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项目资金</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842" w:type="dxa"/>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SimSun" w:hAnsi="SimSun" w:eastAsia="SimSun" w:cs="SimSun"/>
                <w:kern w:val="0"/>
                <w:sz w:val="18"/>
                <w:szCs w:val="18"/>
              </w:rPr>
            </w:pPr>
            <w:r>
              <w:rPr>
                <w:rFonts w:hint="eastAsia" w:ascii="SimSun" w:hAnsi="SimSun" w:eastAsia="SimSun" w:cs="SimSun"/>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7</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7</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7</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99.9</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842"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7</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7</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7</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99.9</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842"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842"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090"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8"/>
                <w:szCs w:val="18"/>
              </w:rPr>
            </w:pPr>
            <w:r>
              <w:rPr>
                <w:rFonts w:hint="eastAsia" w:ascii="SimSun" w:hAnsi="SimSun" w:eastAsia="SimSun" w:cs="SimSun"/>
                <w:kern w:val="0"/>
                <w:sz w:val="15"/>
                <w:szCs w:val="15"/>
              </w:rPr>
              <w:t>建立健全储备库运行机制，完善储备使用管理，进一步落实物资储备，发挥储备库功能，有效提高突发环境事件处理能力，加强储备库建设</w:t>
            </w:r>
            <w:r>
              <w:rPr>
                <w:rFonts w:hint="eastAsia" w:ascii="SimSun" w:hAnsi="SimSun" w:eastAsia="SimSun" w:cs="SimSun"/>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8"/>
                <w:szCs w:val="18"/>
              </w:rPr>
            </w:pPr>
            <w:r>
              <w:rPr>
                <w:rFonts w:hint="eastAsia" w:ascii="SimSun" w:hAnsi="SimSun" w:eastAsia="SimSun" w:cs="SimSun"/>
                <w:kern w:val="0"/>
                <w:sz w:val="13"/>
                <w:szCs w:val="13"/>
              </w:rPr>
              <w:t>按时完成救灾备灾储备库项目，配备合理，管理有序，资源共享，应急储备能力提高，储备库利用率达到90%以上。</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绩</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效</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标</w:t>
            </w:r>
          </w:p>
        </w:tc>
        <w:tc>
          <w:tcPr>
            <w:tcW w:w="9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一级指标</w:t>
            </w:r>
          </w:p>
        </w:tc>
        <w:tc>
          <w:tcPr>
            <w:tcW w:w="111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二级指标</w:t>
            </w: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三级指标</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年度</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实际</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偏差原因分析及改进措施</w:t>
            </w:r>
          </w:p>
        </w:tc>
      </w:tr>
      <w:tr>
        <w:tblPrEx>
          <w:tblCellMar>
            <w:top w:w="0" w:type="dxa"/>
            <w:left w:w="108" w:type="dxa"/>
            <w:bottom w:w="0" w:type="dxa"/>
            <w:right w:w="108" w:type="dxa"/>
          </w:tblCellMar>
        </w:tblPrEx>
        <w:trPr>
          <w:trHeight w:val="497"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数量指标</w:t>
            </w: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w:t>
            </w:r>
            <w:r>
              <w:rPr>
                <w:rFonts w:hint="eastAsia" w:ascii="SimSun" w:hAnsi="SimSun" w:eastAsia="SimSun" w:cs="SimSun"/>
                <w:color w:val="000000"/>
                <w:kern w:val="0"/>
                <w:sz w:val="10"/>
                <w:szCs w:val="10"/>
              </w:rPr>
              <w:t>备灾救灾储备库专人管理工作人员</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=2人</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=2人</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指标2：储备库维护次数</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≧12次</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=24次</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tc>
        <w:tc>
          <w:tcPr>
            <w:tcW w:w="980" w:type="dxa"/>
            <w:vMerge w:val="continue"/>
            <w:tcBorders>
              <w:top w:val="nil"/>
              <w:left w:val="single" w:color="auto" w:sz="4" w:space="0"/>
              <w:bottom w:val="single" w:color="auto" w:sz="4" w:space="0"/>
              <w:right w:val="single" w:color="auto" w:sz="4" w:space="0"/>
            </w:tcBorders>
            <w:noWrap/>
            <w:vAlign w:val="center"/>
          </w:tcPr>
          <w:p/>
        </w:tc>
        <w:tc>
          <w:tcPr>
            <w:tcW w:w="1112" w:type="dxa"/>
            <w:gridSpan w:val="2"/>
            <w:vMerge w:val="continue"/>
            <w:tcBorders>
              <w:top w:val="nil"/>
              <w:left w:val="single" w:color="auto" w:sz="4" w:space="0"/>
              <w:bottom w:val="single" w:color="auto" w:sz="4" w:space="0"/>
              <w:right w:val="single" w:color="auto" w:sz="4" w:space="0"/>
            </w:tcBorders>
            <w:noWrap/>
            <w:vAlign w:val="center"/>
          </w:tcPr>
          <w:p/>
        </w:tc>
        <w:tc>
          <w:tcPr>
            <w:tcW w:w="2118" w:type="dxa"/>
            <w:gridSpan w:val="3"/>
            <w:tcBorders>
              <w:top w:val="single" w:color="auto" w:sz="4" w:space="0"/>
              <w:left w:val="nil"/>
              <w:bottom w:val="nil"/>
              <w:right w:val="single" w:color="auto" w:sz="4" w:space="0"/>
            </w:tcBorders>
            <w:noWrap/>
            <w:vAlign w:val="center"/>
          </w:tcPr>
          <w:p/>
        </w:tc>
        <w:tc>
          <w:tcPr>
            <w:tcW w:w="880" w:type="dxa"/>
            <w:tcBorders>
              <w:top w:val="nil"/>
              <w:left w:val="nil"/>
              <w:bottom w:val="single" w:color="auto" w:sz="4" w:space="0"/>
              <w:right w:val="single" w:color="auto" w:sz="4" w:space="0"/>
            </w:tcBorders>
            <w:noWrap/>
            <w:vAlign w:val="center"/>
          </w:tcPr>
          <w:p/>
        </w:tc>
        <w:tc>
          <w:tcPr>
            <w:tcW w:w="851" w:type="dxa"/>
            <w:tcBorders>
              <w:top w:val="nil"/>
              <w:left w:val="nil"/>
              <w:bottom w:val="single" w:color="auto" w:sz="4" w:space="0"/>
              <w:right w:val="single" w:color="auto" w:sz="4" w:space="0"/>
            </w:tcBorders>
            <w:noWrap/>
            <w:vAlign w:val="center"/>
          </w:tcPr>
          <w:p/>
        </w:tc>
        <w:tc>
          <w:tcPr>
            <w:tcW w:w="567" w:type="dxa"/>
            <w:gridSpan w:val="2"/>
            <w:tcBorders>
              <w:top w:val="nil"/>
              <w:left w:val="nil"/>
              <w:bottom w:val="single" w:color="auto" w:sz="4" w:space="0"/>
              <w:right w:val="single" w:color="auto" w:sz="4" w:space="0"/>
            </w:tcBorders>
            <w:noWrap/>
            <w:vAlign w:val="center"/>
          </w:tcPr>
          <w:p/>
        </w:tc>
        <w:tc>
          <w:tcPr>
            <w:tcW w:w="567" w:type="dxa"/>
            <w:gridSpan w:val="2"/>
            <w:tcBorders>
              <w:top w:val="nil"/>
              <w:left w:val="nil"/>
              <w:bottom w:val="single" w:color="auto" w:sz="4" w:space="0"/>
              <w:right w:val="single" w:color="auto" w:sz="4" w:space="0"/>
            </w:tcBorders>
            <w:noWrap/>
            <w:vAlign w:val="center"/>
          </w:tcPr>
          <w:p/>
        </w:tc>
        <w:tc>
          <w:tcPr>
            <w:tcW w:w="1417" w:type="dxa"/>
            <w:gridSpan w:val="2"/>
            <w:tcBorders>
              <w:top w:val="single" w:color="auto" w:sz="4" w:space="0"/>
              <w:left w:val="nil"/>
              <w:bottom w:val="nil"/>
              <w:right w:val="single" w:color="auto" w:sz="4" w:space="0"/>
            </w:tcBorders>
            <w:noWrap/>
            <w:vAlign w:val="center"/>
          </w:tcPr>
          <w:p/>
        </w:tc>
      </w:tr>
      <w:tr>
        <w:tblPrEx>
          <w:tblCellMar>
            <w:top w:w="0" w:type="dxa"/>
            <w:left w:w="108" w:type="dxa"/>
            <w:bottom w:w="0" w:type="dxa"/>
            <w:right w:w="108" w:type="dxa"/>
          </w:tblCellMar>
        </w:tblPrEx>
        <w:trPr>
          <w:trHeight w:val="51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质量指标</w:t>
            </w:r>
          </w:p>
        </w:tc>
        <w:tc>
          <w:tcPr>
            <w:tcW w:w="2118" w:type="dxa"/>
            <w:gridSpan w:val="3"/>
            <w:tcBorders>
              <w:top w:val="nil"/>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指标1：储备库管理标准</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0"/>
                <w:szCs w:val="10"/>
              </w:rPr>
              <w:t>符合应急要求</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0"/>
                <w:szCs w:val="10"/>
              </w:rPr>
              <w:t>符合</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41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r>
              <w:rPr>
                <w:rFonts w:hint="eastAsia" w:ascii="SimSun" w:hAnsi="SimSun" w:eastAsia="SimSun" w:cs="SimSun"/>
                <w:color w:val="000000"/>
                <w:kern w:val="0"/>
                <w:sz w:val="13"/>
                <w:szCs w:val="13"/>
              </w:rPr>
              <w:t>储备维护维修合格率</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指标3：储备库利用率</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时效指标</w:t>
            </w: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3"/>
                <w:szCs w:val="13"/>
              </w:rPr>
            </w:pPr>
            <w:r>
              <w:rPr>
                <w:rFonts w:hint="eastAsia" w:ascii="SimSun" w:hAnsi="SimSun" w:eastAsia="SimSun" w:cs="SimSun"/>
                <w:color w:val="000000"/>
                <w:kern w:val="0"/>
                <w:sz w:val="13"/>
                <w:szCs w:val="13"/>
              </w:rPr>
              <w:t>指标1：储备库定期整理维护时间</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全年</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全年</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r>
              <w:rPr>
                <w:rFonts w:hint="eastAsia" w:ascii="SimSun" w:hAnsi="SimSun" w:eastAsia="SimSun" w:cs="SimSun"/>
                <w:color w:val="000000"/>
                <w:kern w:val="0"/>
                <w:sz w:val="10"/>
                <w:szCs w:val="10"/>
              </w:rPr>
              <w:t>储备库日常工作守成及时性</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及时</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及时</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成本指标</w:t>
            </w: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w:t>
            </w:r>
            <w:r>
              <w:rPr>
                <w:rFonts w:hint="eastAsia" w:ascii="SimSun" w:hAnsi="SimSun" w:eastAsia="SimSun" w:cs="SimSun"/>
                <w:color w:val="000000"/>
                <w:kern w:val="0"/>
                <w:sz w:val="13"/>
                <w:szCs w:val="13"/>
              </w:rPr>
              <w:t>储备库运行维护成本</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=7万元</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=7万元</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经济效益</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w:t>
            </w:r>
            <w:r>
              <w:rPr>
                <w:rFonts w:hint="eastAsia" w:ascii="SimSun" w:hAnsi="SimSun" w:eastAsia="SimSun" w:cs="SimSun"/>
                <w:color w:val="000000"/>
                <w:kern w:val="0"/>
                <w:sz w:val="15"/>
                <w:szCs w:val="15"/>
              </w:rPr>
              <w:t>严格管理节约成本</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稳定</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稳定</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社会效益</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2118" w:type="dxa"/>
            <w:gridSpan w:val="3"/>
            <w:tcBorders>
              <w:top w:val="single" w:color="auto" w:sz="4" w:space="0"/>
              <w:left w:val="nil"/>
              <w:bottom w:val="nil"/>
              <w:right w:val="single" w:color="auto" w:sz="4" w:space="0"/>
            </w:tcBorders>
            <w:noWrap/>
            <w:vAlign w:val="center"/>
          </w:tcPr>
          <w:p>
            <w:pPr>
              <w:widowControl/>
              <w:spacing w:line="240" w:lineRule="exact"/>
              <w:jc w:val="left"/>
              <w:rPr>
                <w:rFonts w:ascii="SimSun" w:hAnsi="SimSun" w:eastAsia="SimSun" w:cs="SimSun"/>
                <w:color w:val="000000"/>
                <w:kern w:val="0"/>
                <w:sz w:val="15"/>
                <w:szCs w:val="15"/>
              </w:rPr>
            </w:pPr>
            <w:r>
              <w:rPr>
                <w:rFonts w:hint="eastAsia" w:ascii="SimSun" w:hAnsi="SimSun" w:eastAsia="SimSun" w:cs="SimSun"/>
                <w:color w:val="000000"/>
                <w:kern w:val="0"/>
                <w:sz w:val="15"/>
                <w:szCs w:val="15"/>
              </w:rPr>
              <w:t>指标1：满足物资储备能力</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提高</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提高</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5</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tc>
        <w:tc>
          <w:tcPr>
            <w:tcW w:w="980" w:type="dxa"/>
            <w:vMerge w:val="continue"/>
            <w:tcBorders>
              <w:top w:val="nil"/>
              <w:left w:val="single" w:color="auto" w:sz="4" w:space="0"/>
              <w:bottom w:val="single" w:color="auto" w:sz="4" w:space="0"/>
              <w:right w:val="single" w:color="auto" w:sz="4" w:space="0"/>
            </w:tcBorders>
            <w:noWrap/>
            <w:vAlign w:val="center"/>
          </w:tcPr>
          <w:p/>
        </w:tc>
        <w:tc>
          <w:tcPr>
            <w:tcW w:w="1112" w:type="dxa"/>
            <w:gridSpan w:val="2"/>
            <w:vMerge w:val="continue"/>
            <w:tcBorders>
              <w:top w:val="nil"/>
              <w:left w:val="single" w:color="auto" w:sz="4" w:space="0"/>
              <w:bottom w:val="single" w:color="auto" w:sz="4" w:space="0"/>
              <w:right w:val="single" w:color="auto" w:sz="4" w:space="0"/>
            </w:tcBorders>
            <w:noWrap/>
            <w:vAlign w:val="center"/>
          </w:tcPr>
          <w:p/>
        </w:tc>
        <w:tc>
          <w:tcPr>
            <w:tcW w:w="2118" w:type="dxa"/>
            <w:gridSpan w:val="3"/>
            <w:tcBorders>
              <w:top w:val="nil"/>
              <w:left w:val="nil"/>
              <w:bottom w:val="single" w:color="auto" w:sz="4" w:space="0"/>
              <w:right w:val="single" w:color="auto" w:sz="4" w:space="0"/>
            </w:tcBorders>
            <w:noWrap/>
            <w:vAlign w:val="center"/>
          </w:tcPr>
          <w:p/>
        </w:tc>
        <w:tc>
          <w:tcPr>
            <w:tcW w:w="880" w:type="dxa"/>
            <w:tcBorders>
              <w:top w:val="nil"/>
              <w:left w:val="nil"/>
              <w:bottom w:val="single" w:color="auto" w:sz="4" w:space="0"/>
              <w:right w:val="single" w:color="auto" w:sz="4" w:space="0"/>
            </w:tcBorders>
            <w:noWrap/>
            <w:vAlign w:val="center"/>
          </w:tcPr>
          <w:p/>
        </w:tc>
        <w:tc>
          <w:tcPr>
            <w:tcW w:w="851" w:type="dxa"/>
            <w:tcBorders>
              <w:top w:val="nil"/>
              <w:left w:val="nil"/>
              <w:bottom w:val="single" w:color="auto" w:sz="4" w:space="0"/>
              <w:right w:val="single" w:color="auto" w:sz="4" w:space="0"/>
            </w:tcBorders>
            <w:noWrap/>
            <w:vAlign w:val="center"/>
          </w:tcPr>
          <w:p/>
        </w:tc>
        <w:tc>
          <w:tcPr>
            <w:tcW w:w="567" w:type="dxa"/>
            <w:gridSpan w:val="2"/>
            <w:tcBorders>
              <w:top w:val="nil"/>
              <w:left w:val="nil"/>
              <w:bottom w:val="single" w:color="auto" w:sz="4" w:space="0"/>
              <w:right w:val="single" w:color="auto" w:sz="4" w:space="0"/>
            </w:tcBorders>
            <w:noWrap/>
            <w:vAlign w:val="center"/>
          </w:tcPr>
          <w:p/>
        </w:tc>
        <w:tc>
          <w:tcPr>
            <w:tcW w:w="567" w:type="dxa"/>
            <w:gridSpan w:val="2"/>
            <w:tcBorders>
              <w:top w:val="nil"/>
              <w:left w:val="nil"/>
              <w:bottom w:val="single" w:color="auto" w:sz="4" w:space="0"/>
              <w:right w:val="single" w:color="auto" w:sz="4" w:space="0"/>
            </w:tcBorders>
            <w:noWrap/>
            <w:vAlign w:val="center"/>
          </w:tcPr>
          <w:p/>
        </w:tc>
        <w:tc>
          <w:tcPr>
            <w:tcW w:w="1417" w:type="dxa"/>
            <w:gridSpan w:val="2"/>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tc>
        <w:tc>
          <w:tcPr>
            <w:tcW w:w="980" w:type="dxa"/>
            <w:vMerge w:val="continue"/>
            <w:tcBorders>
              <w:top w:val="nil"/>
              <w:left w:val="single" w:color="auto" w:sz="4" w:space="0"/>
              <w:bottom w:val="single" w:color="auto" w:sz="4" w:space="0"/>
              <w:right w:val="single" w:color="auto" w:sz="4" w:space="0"/>
            </w:tcBorders>
            <w:noWrap/>
            <w:vAlign w:val="center"/>
          </w:tcPr>
          <w:p/>
        </w:tc>
        <w:tc>
          <w:tcPr>
            <w:tcW w:w="1112" w:type="dxa"/>
            <w:gridSpan w:val="2"/>
            <w:vMerge w:val="continue"/>
            <w:tcBorders>
              <w:top w:val="nil"/>
              <w:left w:val="single" w:color="auto" w:sz="4" w:space="0"/>
              <w:bottom w:val="single" w:color="auto" w:sz="4" w:space="0"/>
              <w:right w:val="single" w:color="auto" w:sz="4" w:space="0"/>
            </w:tcBorders>
            <w:noWrap/>
            <w:vAlign w:val="center"/>
          </w:tcPr>
          <w:p/>
        </w:tc>
        <w:tc>
          <w:tcPr>
            <w:tcW w:w="2118" w:type="dxa"/>
            <w:gridSpan w:val="3"/>
            <w:tcBorders>
              <w:top w:val="single" w:color="auto" w:sz="4" w:space="0"/>
              <w:left w:val="nil"/>
              <w:bottom w:val="single" w:color="auto" w:sz="4" w:space="0"/>
              <w:right w:val="single" w:color="auto" w:sz="4" w:space="0"/>
            </w:tcBorders>
            <w:noWrap/>
            <w:vAlign w:val="center"/>
          </w:tcPr>
          <w:p/>
          <w:p/>
          <w:p/>
          <w:p/>
          <w:p/>
          <w:p/>
          <w:p/>
          <w:p/>
          <w:p/>
          <w:p/>
          <w:p/>
        </w:tc>
        <w:tc>
          <w:tcPr>
            <w:tcW w:w="880" w:type="dxa"/>
            <w:tcBorders>
              <w:top w:val="nil"/>
              <w:left w:val="nil"/>
              <w:bottom w:val="single" w:color="auto" w:sz="4" w:space="0"/>
              <w:right w:val="single" w:color="auto" w:sz="4" w:space="0"/>
            </w:tcBorders>
            <w:noWrap/>
            <w:vAlign w:val="center"/>
          </w:tcPr>
          <w:p/>
        </w:tc>
        <w:tc>
          <w:tcPr>
            <w:tcW w:w="851" w:type="dxa"/>
            <w:tcBorders>
              <w:top w:val="nil"/>
              <w:left w:val="nil"/>
              <w:bottom w:val="single" w:color="auto" w:sz="4" w:space="0"/>
              <w:right w:val="single" w:color="auto" w:sz="4" w:space="0"/>
            </w:tcBorders>
            <w:noWrap/>
            <w:vAlign w:val="center"/>
          </w:tcPr>
          <w:p/>
        </w:tc>
        <w:tc>
          <w:tcPr>
            <w:tcW w:w="567" w:type="dxa"/>
            <w:gridSpan w:val="2"/>
            <w:tcBorders>
              <w:top w:val="nil"/>
              <w:left w:val="nil"/>
              <w:bottom w:val="single" w:color="auto" w:sz="4" w:space="0"/>
              <w:right w:val="single" w:color="auto" w:sz="4" w:space="0"/>
            </w:tcBorders>
            <w:noWrap/>
            <w:vAlign w:val="center"/>
          </w:tcPr>
          <w:p/>
        </w:tc>
        <w:tc>
          <w:tcPr>
            <w:tcW w:w="567" w:type="dxa"/>
            <w:gridSpan w:val="2"/>
            <w:tcBorders>
              <w:top w:val="nil"/>
              <w:left w:val="nil"/>
              <w:bottom w:val="single" w:color="auto" w:sz="4" w:space="0"/>
              <w:right w:val="single" w:color="auto" w:sz="4" w:space="0"/>
            </w:tcBorders>
            <w:noWrap/>
            <w:vAlign w:val="center"/>
          </w:tcPr>
          <w:p/>
        </w:tc>
        <w:tc>
          <w:tcPr>
            <w:tcW w:w="1417" w:type="dxa"/>
            <w:gridSpan w:val="2"/>
            <w:tcBorders>
              <w:top w:val="single" w:color="auto" w:sz="4" w:space="0"/>
              <w:left w:val="nil"/>
              <w:bottom w:val="nil"/>
              <w:right w:val="single" w:color="auto" w:sz="4" w:space="0"/>
            </w:tcBorders>
            <w:noWrap/>
            <w:vAlign w:val="center"/>
          </w:tc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生态效益</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291"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可持续影响指标</w:t>
            </w: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w:t>
            </w:r>
            <w:r>
              <w:rPr>
                <w:rFonts w:hint="eastAsia" w:ascii="SimSun" w:hAnsi="SimSun" w:eastAsia="SimSun" w:cs="SimSun"/>
                <w:color w:val="000000"/>
                <w:kern w:val="0"/>
                <w:sz w:val="15"/>
                <w:szCs w:val="15"/>
              </w:rPr>
              <w:t>突发事件储备能力</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改善</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改善</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restart"/>
            <w:tcBorders>
              <w:top w:val="nil"/>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满意度</w:t>
            </w:r>
          </w:p>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服务对象满意度指标</w:t>
            </w: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指标1：服务对象满意度</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left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指标2：</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980"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2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SimSun" w:hAnsi="SimSun" w:eastAsia="SimSun" w:cs="SimSun"/>
                <w:color w:val="000000"/>
                <w:kern w:val="0"/>
                <w:sz w:val="18"/>
                <w:szCs w:val="18"/>
              </w:rPr>
            </w:pPr>
            <w:r>
              <w:rPr>
                <w:rFonts w:hint="eastAsia" w:ascii="SimSun" w:hAnsi="SimSun" w:eastAsia="SimSun" w:cs="SimSun"/>
                <w:color w:val="000000"/>
                <w:kern w:val="0"/>
                <w:sz w:val="18"/>
                <w:szCs w:val="18"/>
              </w:rPr>
              <w:t>……</w:t>
            </w:r>
          </w:p>
        </w:tc>
        <w:tc>
          <w:tcPr>
            <w:tcW w:w="880"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自评结果分析</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360" w:firstLineChars="200"/>
              <w:jc w:val="left"/>
              <w:rPr>
                <w:rFonts w:ascii="SimSun" w:hAnsi="SimSun" w:eastAsia="SimSun" w:cs="SimSun"/>
                <w:kern w:val="0"/>
                <w:sz w:val="18"/>
                <w:szCs w:val="18"/>
              </w:rPr>
            </w:pPr>
            <w:r>
              <w:rPr>
                <w:rFonts w:hint="eastAsia" w:ascii="SimSun" w:hAnsi="SimSun" w:eastAsia="SimSun" w:cs="SimSun"/>
                <w:kern w:val="0"/>
                <w:sz w:val="18"/>
                <w:szCs w:val="18"/>
              </w:rPr>
              <w:t>逐步形成我市应急储备综合保障体系，建立健全储备库运行机制，完善储备库管理制度按照专业储备和社会储备相结合的原则推动储备库运行，整合储备环境，提高应急储备能力。财政资金拨款及时支付。</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产出情况及分析</w:t>
            </w:r>
          </w:p>
        </w:tc>
        <w:tc>
          <w:tcPr>
            <w:tcW w:w="6400" w:type="dxa"/>
            <w:gridSpan w:val="11"/>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储备库相关工作完成及时，突发事件储备能力提升，满足物资储备要求。</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效益情况及分析</w:t>
            </w:r>
          </w:p>
        </w:tc>
        <w:tc>
          <w:tcPr>
            <w:tcW w:w="6400" w:type="dxa"/>
            <w:gridSpan w:val="11"/>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保障应急救援相关活动顺利开展</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相关人员满意度达到100%</w:t>
            </w:r>
          </w:p>
        </w:tc>
      </w:tr>
      <w:tr>
        <w:tblPrEx>
          <w:tblCellMar>
            <w:top w:w="0" w:type="dxa"/>
            <w:left w:w="108" w:type="dxa"/>
            <w:bottom w:w="0" w:type="dxa"/>
            <w:right w:w="108" w:type="dxa"/>
          </w:tblCellMar>
        </w:tblPrEx>
        <w:trPr>
          <w:trHeight w:val="224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主要经验做法</w:t>
            </w:r>
          </w:p>
        </w:tc>
        <w:tc>
          <w:tcPr>
            <w:tcW w:w="6400" w:type="dxa"/>
            <w:gridSpan w:val="11"/>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360" w:firstLineChars="200"/>
              <w:jc w:val="left"/>
              <w:rPr>
                <w:rFonts w:ascii="SimSun" w:hAnsi="SimSun" w:eastAsia="SimSun" w:cs="SimSun"/>
                <w:kern w:val="0"/>
                <w:sz w:val="18"/>
                <w:szCs w:val="18"/>
              </w:rPr>
            </w:pPr>
            <w:r>
              <w:rPr>
                <w:rFonts w:hint="eastAsia" w:ascii="SimSun" w:hAnsi="SimSun" w:eastAsia="SimSun" w:cs="SimSun"/>
                <w:kern w:val="0"/>
                <w:sz w:val="18"/>
                <w:szCs w:val="18"/>
              </w:rPr>
              <w:t>大力开展推进储备库相关工作，不断完善，发挥储备库功能。有效提高突发环境事件处理能力，加强储备库建设，配备合理，管理有序，资源共享。</w:t>
            </w:r>
          </w:p>
        </w:tc>
      </w:tr>
      <w:tr>
        <w:tblPrEx>
          <w:tblCellMar>
            <w:top w:w="0" w:type="dxa"/>
            <w:left w:w="108" w:type="dxa"/>
            <w:bottom w:w="0" w:type="dxa"/>
            <w:right w:w="108" w:type="dxa"/>
          </w:tblCellMar>
        </w:tblPrEx>
        <w:trPr>
          <w:trHeight w:val="49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项目管理中存在的</w:t>
            </w:r>
          </w:p>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SimSun" w:hAnsi="SimSun" w:eastAsia="SimSun" w:cs="SimSun"/>
                <w:kern w:val="0"/>
                <w:sz w:val="18"/>
                <w:szCs w:val="18"/>
              </w:rPr>
            </w:pPr>
            <w:r>
              <w:rPr>
                <w:rFonts w:ascii="Encryption" w:hAnsi="Encryption" w:eastAsia="Encryption" w:cs="Encryption"/>
                <w:color w:val="666666"/>
                <w:szCs w:val="21"/>
                <w:shd w:val="clear" w:color="auto" w:fill="FFFFFF"/>
              </w:rPr>
              <w:t> </w:t>
            </w:r>
            <w:r>
              <w:rPr>
                <w:rFonts w:hint="eastAsia" w:ascii="SimSun" w:hAnsi="SimSun" w:eastAsia="SimSun" w:cs="SimSun"/>
                <w:color w:val="666666"/>
                <w:kern w:val="0"/>
                <w:sz w:val="18"/>
                <w:szCs w:val="18"/>
              </w:rPr>
              <w:t>切实加强应急物资储备保障工作,不断提升应急能力和水平.</w:t>
            </w:r>
            <w:r>
              <w:rPr>
                <w:rFonts w:hint="eastAsia" w:ascii="SimSun" w:hAnsi="SimSun" w:eastAsia="SimSun" w:cs="SimSun"/>
                <w:kern w:val="0"/>
                <w:sz w:val="18"/>
                <w:szCs w:val="18"/>
              </w:rPr>
              <w:t>绩效手段较为落后，预算执行进度和效率有待提高。</w:t>
            </w:r>
          </w:p>
        </w:tc>
      </w:tr>
      <w:tr>
        <w:tblPrEx>
          <w:tblCellMar>
            <w:top w:w="0" w:type="dxa"/>
            <w:left w:w="108" w:type="dxa"/>
            <w:bottom w:w="0" w:type="dxa"/>
            <w:right w:w="108" w:type="dxa"/>
          </w:tblCellMar>
        </w:tblPrEx>
        <w:trPr>
          <w:trHeight w:val="202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下一步改进措施及</w:t>
            </w:r>
          </w:p>
          <w:p>
            <w:pPr>
              <w:widowControl/>
              <w:spacing w:line="240" w:lineRule="exact"/>
              <w:jc w:val="center"/>
              <w:rPr>
                <w:rFonts w:ascii="SimSun" w:hAnsi="SimSun" w:eastAsia="SimSun" w:cs="SimSun"/>
                <w:color w:val="000000"/>
                <w:kern w:val="0"/>
                <w:sz w:val="18"/>
                <w:szCs w:val="18"/>
              </w:rPr>
            </w:pPr>
            <w:r>
              <w:rPr>
                <w:rFonts w:hint="eastAsia" w:ascii="SimSun" w:hAnsi="SimSun" w:eastAsia="SimSun" w:cs="SimSun"/>
                <w:color w:val="000000"/>
                <w:kern w:val="0"/>
                <w:sz w:val="18"/>
                <w:szCs w:val="18"/>
              </w:rPr>
              <w:t>管理建议</w:t>
            </w:r>
          </w:p>
        </w:tc>
        <w:tc>
          <w:tcPr>
            <w:tcW w:w="6400" w:type="dxa"/>
            <w:gridSpan w:val="11"/>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SimSun" w:hAnsi="SimSun" w:eastAsia="SimSun" w:cs="SimSun"/>
                <w:kern w:val="0"/>
                <w:sz w:val="18"/>
                <w:szCs w:val="18"/>
              </w:rPr>
            </w:pPr>
            <w:r>
              <w:rPr>
                <w:rFonts w:hint="eastAsia" w:ascii="SimSun" w:hAnsi="SimSun" w:eastAsia="SimSun" w:cs="SimSun"/>
                <w:kern w:val="0"/>
                <w:sz w:val="18"/>
                <w:szCs w:val="18"/>
              </w:rPr>
              <w:t>进一步优化措施，推进相关工作有序开展</w:t>
            </w:r>
          </w:p>
        </w:tc>
      </w:tr>
    </w:tbl>
    <w:p/>
    <w:p>
      <w:pPr>
        <w:pStyle w:val="7"/>
        <w:jc w:val="center"/>
        <w:outlineLvl w:val="0"/>
        <w:rPr>
          <w:rFonts w:ascii="SimHei" w:hAnsi="SimSun" w:eastAsia="SimHei" w:cs="SimHei"/>
          <w:b w:val="0"/>
          <w:szCs w:val="32"/>
        </w:rPr>
      </w:pPr>
      <w:bookmarkStart w:id="23" w:name="_Toc10607"/>
      <w:r>
        <w:rPr>
          <w:rFonts w:hint="eastAsia" w:ascii="SimHei" w:hAnsi="SimSun" w:eastAsia="SimHei" w:cs="SimHei"/>
          <w:b w:val="0"/>
          <w:szCs w:val="32"/>
        </w:rPr>
        <w:t>第四部分 名词解释</w:t>
      </w:r>
      <w:bookmarkEnd w:id="23"/>
    </w:p>
    <w:p>
      <w:pPr>
        <w:pStyle w:val="2"/>
        <w:ind w:left="420" w:firstLine="640"/>
        <w:outlineLvl w:val="1"/>
        <w:rPr>
          <w:rFonts w:ascii="仿宋_GB2312" w:hAnsi="仿宋_GB2312" w:eastAsia="仿宋_GB2312"/>
          <w:sz w:val="32"/>
        </w:rPr>
      </w:pPr>
      <w:bookmarkStart w:id="24" w:name="_Toc26454"/>
      <w:r>
        <w:rPr>
          <w:rFonts w:hint="eastAsia" w:ascii="仿宋_GB2312" w:hAnsi="仿宋_GB2312" w:eastAsia="仿宋_GB2312"/>
          <w:sz w:val="32"/>
        </w:rPr>
        <w:t>一、财政拨款收入：指单位从同级财政部门取得的财政预算资金。</w:t>
      </w:r>
      <w:bookmarkEnd w:id="24"/>
    </w:p>
    <w:p>
      <w:pPr>
        <w:pStyle w:val="2"/>
        <w:ind w:left="420" w:firstLine="640"/>
        <w:rPr>
          <w:rFonts w:ascii="仿宋_GB2312" w:hAnsi="仿宋_GB2312" w:eastAsia="仿宋_GB2312"/>
          <w:sz w:val="32"/>
        </w:rPr>
      </w:pPr>
      <w:r>
        <w:rPr>
          <w:rFonts w:hint="eastAsia" w:ascii="仿宋_GB2312" w:hAnsi="仿宋_GB2312" w:eastAsia="仿宋_GB2312"/>
          <w:sz w:val="32"/>
        </w:rPr>
        <w:t xml:space="preserve">二、事业收入：指事业单位开展专业业务活动及辅助活动取得的收入。 </w:t>
      </w:r>
    </w:p>
    <w:p>
      <w:pPr>
        <w:pStyle w:val="2"/>
        <w:ind w:left="420" w:firstLine="640"/>
        <w:rPr>
          <w:rFonts w:ascii="仿宋_GB2312" w:hAnsi="仿宋_GB2312" w:eastAsia="仿宋_GB2312"/>
          <w:sz w:val="32"/>
        </w:rPr>
      </w:pPr>
      <w:r>
        <w:rPr>
          <w:rFonts w:hint="eastAsia" w:ascii="仿宋_GB2312" w:hAnsi="仿宋_GB2312" w:eastAsia="仿宋_GB2312"/>
          <w:sz w:val="32"/>
        </w:rPr>
        <w:t>三、经营收入：指事业单位在专业业务活动及其辅助活动之外开展非独立核算经营活动取得的收入。</w:t>
      </w:r>
    </w:p>
    <w:p>
      <w:pPr>
        <w:pStyle w:val="2"/>
        <w:ind w:left="420" w:firstLine="640"/>
        <w:rPr>
          <w:rFonts w:ascii="仿宋_GB2312" w:hAnsi="仿宋_GB2312" w:eastAsia="仿宋_GB2312"/>
          <w:sz w:val="32"/>
        </w:rPr>
      </w:pPr>
      <w:r>
        <w:rPr>
          <w:rFonts w:hint="eastAsia" w:ascii="仿宋_GB2312" w:hAnsi="仿宋_GB2312" w:eastAsia="仿宋_GB2312"/>
          <w:sz w:val="32"/>
        </w:rPr>
        <w:t xml:space="preserve">四、其他收入：指单位取得的除上述收入以外的各项收入。主要是事业单位固定资产出借收入、存款利息收入等。              </w:t>
      </w:r>
    </w:p>
    <w:p>
      <w:pPr>
        <w:pStyle w:val="2"/>
        <w:ind w:left="420" w:firstLine="640"/>
        <w:rPr>
          <w:rFonts w:ascii="仿宋_GB2312" w:hAnsi="仿宋_GB2312" w:eastAsia="仿宋_GB2312"/>
          <w:sz w:val="32"/>
        </w:rPr>
      </w:pPr>
      <w:r>
        <w:rPr>
          <w:rFonts w:hint="eastAsia" w:ascii="仿宋_GB2312" w:hAnsi="仿宋_GB2312" w:eastAsia="仿宋_GB2312"/>
          <w:sz w:val="32"/>
        </w:rPr>
        <w:t>五、使用非财政拨款结余：指事业单位使用以前年度积累的非财政拨款结余弥补当年收支差额的金额。</w:t>
      </w:r>
    </w:p>
    <w:p>
      <w:pPr>
        <w:pStyle w:val="2"/>
        <w:ind w:left="420" w:firstLine="640"/>
        <w:rPr>
          <w:rFonts w:ascii="仿宋_GB2312" w:hAnsi="仿宋_GB2312" w:eastAsia="仿宋_GB2312"/>
          <w:sz w:val="32"/>
        </w:rPr>
      </w:pPr>
      <w:r>
        <w:rPr>
          <w:rFonts w:hint="eastAsia" w:ascii="仿宋_GB2312" w:hAnsi="仿宋_GB2312" w:eastAsia="仿宋_GB2312"/>
          <w:sz w:val="32"/>
        </w:rPr>
        <w:t>六、年初结转和结余：指单位以前年度尚未完成、结转到本年仍按原规定用途继续使用的资金，或项目已完成等产生的结余资金。</w:t>
      </w:r>
    </w:p>
    <w:p>
      <w:pPr>
        <w:pStyle w:val="2"/>
        <w:ind w:left="420" w:firstLine="640"/>
        <w:rPr>
          <w:rFonts w:ascii="仿宋_GB2312" w:hAnsi="仿宋_GB2312" w:eastAsia="仿宋_GB2312"/>
          <w:sz w:val="32"/>
        </w:rPr>
      </w:pPr>
      <w:r>
        <w:rPr>
          <w:rFonts w:hint="eastAsia" w:ascii="仿宋_GB2312" w:hAnsi="仿宋_GB2312" w:eastAsia="仿宋_GB2312"/>
          <w:sz w:val="32"/>
        </w:rPr>
        <w:t>七、结余分配：指事业单位按照会计制度缴纳的所得税，提取的专用结余以及转入非财政拨款的金额等。</w:t>
      </w:r>
    </w:p>
    <w:p>
      <w:pPr>
        <w:pStyle w:val="2"/>
        <w:ind w:left="420" w:firstLine="640"/>
        <w:rPr>
          <w:rFonts w:ascii="仿宋_GB2312" w:hAnsi="仿宋_GB2312" w:eastAsia="仿宋_GB2312"/>
          <w:sz w:val="32"/>
        </w:rPr>
      </w:pPr>
      <w:r>
        <w:rPr>
          <w:rFonts w:hint="eastAsia" w:ascii="仿宋_GB2312" w:hAnsi="仿宋_GB2312" w:eastAsia="仿宋_GB2312"/>
          <w:sz w:val="32"/>
        </w:rPr>
        <w:t>八、年末结转和结余：指单位按有关规定结转到下年或以后年度继续使用的资金，或项目已完成等产生的结余资金。</w:t>
      </w:r>
    </w:p>
    <w:p>
      <w:pPr>
        <w:pStyle w:val="2"/>
        <w:ind w:left="420" w:firstLine="640"/>
        <w:rPr>
          <w:rFonts w:ascii="仿宋_GB2312" w:hAnsi="仿宋_GB2312" w:eastAsia="仿宋_GB2312"/>
          <w:sz w:val="32"/>
        </w:rPr>
      </w:pPr>
      <w:r>
        <w:rPr>
          <w:rFonts w:hint="eastAsia" w:ascii="仿宋_GB2312" w:hAnsi="仿宋_GB2312" w:eastAsia="仿宋_GB2312"/>
          <w:sz w:val="32"/>
        </w:rPr>
        <w:t>九、基本支出:指为保障机构正常运转、完成日常工作任务而发生的人员支出和公用支出。</w:t>
      </w:r>
    </w:p>
    <w:p>
      <w:pPr>
        <w:pStyle w:val="2"/>
        <w:ind w:left="420" w:firstLine="640"/>
        <w:rPr>
          <w:rFonts w:ascii="仿宋_GB2312" w:hAnsi="仿宋_GB2312" w:eastAsia="仿宋_GB2312"/>
          <w:sz w:val="32"/>
        </w:rPr>
      </w:pPr>
      <w:r>
        <w:rPr>
          <w:rFonts w:hint="eastAsia" w:ascii="仿宋_GB2312" w:hAnsi="仿宋_GB2312" w:eastAsia="仿宋_GB2312"/>
          <w:sz w:val="32"/>
        </w:rPr>
        <w:t>十、项目支出:指在基本支出之外为完成特定行政任务和事业发展目标所发生的支出。</w:t>
      </w:r>
    </w:p>
    <w:p>
      <w:pPr>
        <w:pStyle w:val="2"/>
        <w:ind w:left="0" w:leftChars="0" w:firstLine="960" w:firstLineChars="300"/>
        <w:rPr>
          <w:rFonts w:ascii="仿宋_GB2312" w:hAnsi="仿宋_GB2312" w:eastAsia="仿宋_GB2312"/>
          <w:sz w:val="32"/>
        </w:rPr>
      </w:pPr>
      <w:r>
        <w:rPr>
          <w:rFonts w:hint="eastAsia" w:ascii="仿宋_GB2312" w:hAnsi="仿宋_GB2312" w:eastAsia="仿宋_GB2312"/>
          <w:sz w:val="32"/>
        </w:rPr>
        <w:t>十一、三公经费:指省直部门用一般公共预算安排的因公出国(境)、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ind w:left="420" w:firstLine="640"/>
        <w:rPr>
          <w:rFonts w:ascii="仿宋_GB2312" w:hAnsi="仿宋_GB2312" w:eastAsia="仿宋_GB2312"/>
          <w:sz w:val="32"/>
        </w:rPr>
      </w:pPr>
      <w:r>
        <w:rPr>
          <w:rFonts w:hint="eastAsia" w:ascii="仿宋_GB2312" w:hAnsi="仿宋_GB2312" w:eastAsia="仿宋_GB2312"/>
          <w:sz w:val="32"/>
        </w:rPr>
        <w:t>十二、机关运行经费：指行政单位和参照公务员法管理的事业单位使用一般公共预算安排的基本支出中的日常公用经费支出。</w:t>
      </w:r>
    </w:p>
    <w:p>
      <w:pPr>
        <w:pStyle w:val="7"/>
        <w:numPr>
          <w:ilvl w:val="0"/>
          <w:numId w:val="0"/>
        </w:numPr>
        <w:ind w:leftChars="0"/>
        <w:jc w:val="center"/>
        <w:outlineLvl w:val="9"/>
        <w:rPr>
          <w:rFonts w:hint="eastAsia" w:ascii="SimHei" w:hAnsi="SimSun" w:eastAsia="SimHei" w:cs="SimHei"/>
          <w:b w:val="0"/>
          <w:szCs w:val="32"/>
        </w:rPr>
      </w:pPr>
    </w:p>
    <w:p>
      <w:pPr>
        <w:pStyle w:val="7"/>
        <w:jc w:val="center"/>
        <w:outlineLvl w:val="0"/>
        <w:rPr>
          <w:rFonts w:hint="default" w:ascii="SimHei" w:hAnsi="SimSun" w:eastAsia="SimHei" w:cs="SimHei"/>
          <w:b w:val="0"/>
          <w:szCs w:val="32"/>
          <w:lang w:val="en-US" w:eastAsia="zh-CN"/>
        </w:rPr>
      </w:pPr>
      <w:bookmarkStart w:id="25" w:name="_Toc27217"/>
      <w:r>
        <w:rPr>
          <w:rFonts w:hint="eastAsia" w:ascii="SimHei" w:hAnsi="SimSun" w:eastAsia="SimHei" w:cs="SimHei"/>
          <w:b w:val="0"/>
          <w:szCs w:val="32"/>
          <w:lang w:eastAsia="zh-CN"/>
        </w:rPr>
        <w:t>第五部分</w:t>
      </w:r>
      <w:r>
        <w:rPr>
          <w:rFonts w:hint="eastAsia" w:ascii="SimHei" w:hAnsi="SimSun" w:eastAsia="SimHei" w:cs="SimHei"/>
          <w:b w:val="0"/>
          <w:szCs w:val="32"/>
          <w:lang w:val="en-US" w:eastAsia="zh-CN"/>
        </w:rPr>
        <w:t xml:space="preserve">  附件</w:t>
      </w:r>
      <w:bookmarkEnd w:id="25"/>
    </w:p>
    <w:p>
      <w:pPr>
        <w:numPr>
          <w:ilvl w:val="0"/>
          <w:numId w:val="0"/>
        </w:numPr>
        <w:ind w:leftChars="0"/>
        <w:rPr>
          <w:rFonts w:hint="eastAsia"/>
        </w:rPr>
      </w:pPr>
    </w:p>
    <w:p>
      <w:pPr>
        <w:pStyle w:val="2"/>
        <w:rPr>
          <w:rFonts w:hint="eastAsia" w:eastAsiaTheme="minorEastAsia"/>
          <w:lang w:eastAsia="zh-CN"/>
        </w:rPr>
      </w:pPr>
      <w:r>
        <w:rPr>
          <w:rFonts w:hint="eastAsia" w:eastAsiaTheme="minor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8" ShapeID="_x0000_i1025" DrawAspect="Icon" ObjectID="_1468075725" r:id="rId6">
            <o:LockedField>false</o:LockedField>
          </o:OLEObject>
        </w:object>
      </w:r>
    </w:p>
    <w:p>
      <w:pPr>
        <w:numPr>
          <w:ilvl w:val="0"/>
          <w:numId w:val="0"/>
        </w:numPr>
        <w:ind w:leftChars="0"/>
        <w:rPr>
          <w:rFonts w:hint="eastAsia" w:eastAsiaTheme="minorEastAsia"/>
          <w:lang w:eastAsia="zh-CN"/>
        </w:rPr>
      </w:pPr>
    </w:p>
    <w:p>
      <w:pPr>
        <w:rPr>
          <w:vanish/>
          <w:sz w:val="24"/>
        </w:rPr>
      </w:pPr>
    </w:p>
    <w:sectPr>
      <w:footerReference r:id="rId4" w:type="default"/>
      <w:pgSz w:w="11906" w:h="16838"/>
      <w:pgMar w:top="1440" w:right="1800" w:bottom="70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FangSong"/>
    <w:panose1 w:val="00000000000000000000"/>
    <w:charset w:val="86"/>
    <w:family w:val="auto"/>
    <w:pitch w:val="default"/>
    <w:sig w:usb0="00000000" w:usb1="00000000" w:usb2="00000010" w:usb3="00000000" w:csb0="00040000"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华文中宋">
    <w:altName w:val="SimSun"/>
    <w:panose1 w:val="02010600040101010101"/>
    <w:charset w:val="86"/>
    <w:family w:val="auto"/>
    <w:pitch w:val="default"/>
    <w:sig w:usb0="00000000" w:usb1="00000000" w:usb2="00000000" w:usb3="00000000" w:csb0="0004009F" w:csb1="DFD70000"/>
  </w:font>
  <w:font w:name="Encryptio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FangSong"/>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C5D21"/>
    <w:multiLevelType w:val="singleLevel"/>
    <w:tmpl w:val="93AC5D21"/>
    <w:lvl w:ilvl="0" w:tentative="0">
      <w:start w:val="2"/>
      <w:numFmt w:val="chineseCounting"/>
      <w:suff w:val="nothing"/>
      <w:lvlText w:val="（%1）"/>
      <w:lvlJc w:val="left"/>
      <w:rPr>
        <w:rFonts w:hint="eastAsia"/>
      </w:rPr>
    </w:lvl>
  </w:abstractNum>
  <w:abstractNum w:abstractNumId="1">
    <w:nsid w:val="D17D8829"/>
    <w:multiLevelType w:val="singleLevel"/>
    <w:tmpl w:val="D17D8829"/>
    <w:lvl w:ilvl="0" w:tentative="0">
      <w:start w:val="1"/>
      <w:numFmt w:val="chineseCounting"/>
      <w:suff w:val="nothing"/>
      <w:lvlText w:val="%1、"/>
      <w:lvlJc w:val="left"/>
      <w:rPr>
        <w:rFonts w:hint="eastAsia"/>
        <w:b/>
        <w:bCs/>
      </w:rPr>
    </w:lvl>
  </w:abstractNum>
  <w:abstractNum w:abstractNumId="2">
    <w:nsid w:val="F27F1A15"/>
    <w:multiLevelType w:val="singleLevel"/>
    <w:tmpl w:val="F27F1A15"/>
    <w:lvl w:ilvl="0" w:tentative="0">
      <w:start w:val="2"/>
      <w:numFmt w:val="chineseCounting"/>
      <w:suff w:val="space"/>
      <w:lvlText w:val="第%1部分"/>
      <w:lvlJc w:val="left"/>
      <w:rPr>
        <w:rFonts w:hint="eastAsia"/>
      </w:rPr>
    </w:lvl>
  </w:abstractNum>
  <w:abstractNum w:abstractNumId="3">
    <w:nsid w:val="02380A3A"/>
    <w:multiLevelType w:val="singleLevel"/>
    <w:tmpl w:val="02380A3A"/>
    <w:lvl w:ilvl="0" w:tentative="0">
      <w:start w:val="1"/>
      <w:numFmt w:val="chineseCounting"/>
      <w:suff w:val="nothing"/>
      <w:lvlText w:val="%1、"/>
      <w:lvlJc w:val="left"/>
      <w:rPr>
        <w:rFonts w:hint="eastAsia"/>
      </w:rPr>
    </w:lvl>
  </w:abstractNum>
  <w:abstractNum w:abstractNumId="4">
    <w:nsid w:val="707B117C"/>
    <w:multiLevelType w:val="singleLevel"/>
    <w:tmpl w:val="707B117C"/>
    <w:lvl w:ilvl="0" w:tentative="0">
      <w:start w:val="3"/>
      <w:numFmt w:val="chineseCounting"/>
      <w:suff w:val="space"/>
      <w:lvlText w:val="第%1部分"/>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2"/>
  </w:compat>
  <w:docVars>
    <w:docVar w:name="commondata" w:val="eyJoZGlkIjoiYjY2ZTliOGZkYzNkMDU2NzQ5NmQyNjdmMGVjMzQ2YzEifQ=="/>
  </w:docVars>
  <w:rsids>
    <w:rsidRoot w:val="00B20E0E"/>
    <w:rsid w:val="00011B19"/>
    <w:rsid w:val="00650F9A"/>
    <w:rsid w:val="009E4A2E"/>
    <w:rsid w:val="00B20E0E"/>
    <w:rsid w:val="02345170"/>
    <w:rsid w:val="03086062"/>
    <w:rsid w:val="03E045AB"/>
    <w:rsid w:val="0B5935B9"/>
    <w:rsid w:val="0B6E3B68"/>
    <w:rsid w:val="0BBD7AAF"/>
    <w:rsid w:val="0BFE44A0"/>
    <w:rsid w:val="0E981627"/>
    <w:rsid w:val="107439CE"/>
    <w:rsid w:val="13351290"/>
    <w:rsid w:val="13C666C3"/>
    <w:rsid w:val="14A4101A"/>
    <w:rsid w:val="14D80D14"/>
    <w:rsid w:val="19A47DDA"/>
    <w:rsid w:val="1A1F5341"/>
    <w:rsid w:val="1A465391"/>
    <w:rsid w:val="1F1A1BE5"/>
    <w:rsid w:val="20D553B7"/>
    <w:rsid w:val="226B674A"/>
    <w:rsid w:val="24C60E6C"/>
    <w:rsid w:val="24DC7DBD"/>
    <w:rsid w:val="26CF7DC4"/>
    <w:rsid w:val="283F090E"/>
    <w:rsid w:val="2DBB0DBB"/>
    <w:rsid w:val="320C360F"/>
    <w:rsid w:val="338C2D80"/>
    <w:rsid w:val="34CD1576"/>
    <w:rsid w:val="366D4B71"/>
    <w:rsid w:val="377B3C87"/>
    <w:rsid w:val="3DCC2754"/>
    <w:rsid w:val="3F077246"/>
    <w:rsid w:val="3F4B202A"/>
    <w:rsid w:val="40460634"/>
    <w:rsid w:val="420F2CA7"/>
    <w:rsid w:val="42E90BDE"/>
    <w:rsid w:val="435878DC"/>
    <w:rsid w:val="44B80831"/>
    <w:rsid w:val="44BF1807"/>
    <w:rsid w:val="47052323"/>
    <w:rsid w:val="472A2744"/>
    <w:rsid w:val="476176BE"/>
    <w:rsid w:val="476E221E"/>
    <w:rsid w:val="4D3F34A9"/>
    <w:rsid w:val="4FB22B85"/>
    <w:rsid w:val="4FDA48F5"/>
    <w:rsid w:val="54B96A93"/>
    <w:rsid w:val="54C47921"/>
    <w:rsid w:val="555D051C"/>
    <w:rsid w:val="58D8399B"/>
    <w:rsid w:val="61B17C7C"/>
    <w:rsid w:val="6395258F"/>
    <w:rsid w:val="63B600C1"/>
    <w:rsid w:val="63F515D4"/>
    <w:rsid w:val="649A101B"/>
    <w:rsid w:val="67A97015"/>
    <w:rsid w:val="68B05B70"/>
    <w:rsid w:val="6CD7423E"/>
    <w:rsid w:val="6F6338B3"/>
    <w:rsid w:val="6F6F243E"/>
    <w:rsid w:val="72083D36"/>
    <w:rsid w:val="727D066B"/>
    <w:rsid w:val="763611CD"/>
    <w:rsid w:val="77CA50CB"/>
    <w:rsid w:val="7B7A61B6"/>
    <w:rsid w:val="7CBF2104"/>
    <w:rsid w:val="7F584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line="576" w:lineRule="auto"/>
      <w:outlineLvl w:val="0"/>
    </w:pPr>
    <w:rPr>
      <w:b/>
      <w:kern w:val="44"/>
      <w:sz w:val="44"/>
    </w:rPr>
  </w:style>
  <w:style w:type="paragraph" w:styleId="6">
    <w:name w:val="heading 2"/>
    <w:basedOn w:val="1"/>
    <w:next w:val="1"/>
    <w:unhideWhenUsed/>
    <w:qFormat/>
    <w:uiPriority w:val="0"/>
    <w:pPr>
      <w:keepNext/>
      <w:keepLines/>
      <w:spacing w:line="413" w:lineRule="auto"/>
      <w:outlineLvl w:val="1"/>
    </w:pPr>
    <w:rPr>
      <w:rFonts w:ascii="Arial" w:hAnsi="Arial" w:eastAsia="SimHei"/>
      <w:b/>
      <w:sz w:val="32"/>
    </w:rPr>
  </w:style>
  <w:style w:type="paragraph" w:styleId="7">
    <w:name w:val="heading 3"/>
    <w:basedOn w:val="1"/>
    <w:next w:val="1"/>
    <w:unhideWhenUsed/>
    <w:qFormat/>
    <w:uiPriority w:val="0"/>
    <w:pPr>
      <w:keepNext/>
      <w:keepLines/>
      <w:spacing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spacing w:beforeAutospacing="1" w:afterAutospacing="1"/>
      <w:jc w:val="left"/>
    </w:pPr>
    <w:rPr>
      <w:rFonts w:cs="Times New Roman"/>
      <w:kern w:val="0"/>
      <w:sz w:val="24"/>
    </w:rPr>
  </w:style>
  <w:style w:type="paragraph" w:styleId="8">
    <w:name w:val="Body Text Indent"/>
    <w:basedOn w:val="1"/>
    <w:qFormat/>
    <w:uiPriority w:val="0"/>
    <w:pPr>
      <w:ind w:firstLine="640" w:firstLineChars="200"/>
    </w:pPr>
    <w:rPr>
      <w:rFonts w:ascii="仿宋_GB2312" w:eastAsia="仿宋_GB2312"/>
      <w:sz w:val="32"/>
    </w:rPr>
  </w:style>
  <w:style w:type="paragraph" w:styleId="9">
    <w:name w:val="toc 3"/>
    <w:basedOn w:val="1"/>
    <w:next w:val="1"/>
    <w:qFormat/>
    <w:uiPriority w:val="0"/>
    <w:pPr>
      <w:ind w:left="840" w:leftChars="400"/>
    </w:p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First Indent 2"/>
    <w:basedOn w:val="8"/>
    <w:qFormat/>
    <w:uiPriority w:val="0"/>
    <w:pPr>
      <w:ind w:firstLine="420"/>
    </w:pPr>
  </w:style>
  <w:style w:type="paragraph" w:customStyle="1" w:styleId="18">
    <w:name w:val="WPSOffice手动目录 1"/>
    <w:qFormat/>
    <w:uiPriority w:val="0"/>
    <w:rPr>
      <w:rFonts w:ascii="Times New Roman" w:hAnsi="Times New Roman" w:eastAsia="SimSun"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SimSun" w:cs="Times New Roman"/>
      <w:lang w:val="en-US" w:eastAsia="zh-CN" w:bidi="ar-SA"/>
    </w:rPr>
  </w:style>
  <w:style w:type="paragraph" w:customStyle="1" w:styleId="20">
    <w:name w:val="WPSOffice手动目录 3"/>
    <w:qFormat/>
    <w:uiPriority w:val="0"/>
    <w:pPr>
      <w:ind w:left="400" w:leftChars="400"/>
    </w:pPr>
    <w:rPr>
      <w:rFonts w:ascii="Times New Roman" w:hAnsi="Times New Roman" w:eastAsia="SimSun" w:cs="Times New Roman"/>
      <w:lang w:val="en-US" w:eastAsia="zh-CN" w:bidi="ar-SA"/>
    </w:rPr>
  </w:style>
  <w:style w:type="character" w:customStyle="1" w:styleId="21">
    <w:name w:val="批注框文本 Char"/>
    <w:basedOn w:val="17"/>
    <w:link w:val="10"/>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6733</Words>
  <Characters>7394</Characters>
  <Lines>27</Lines>
  <Paragraphs>19</Paragraphs>
  <TotalTime>12</TotalTime>
  <ScaleCrop>false</ScaleCrop>
  <LinksUpToDate>false</LinksUpToDate>
  <CharactersWithSpaces>7522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2023-10-02T09:13:42Z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5743C3B93FE44E73A5680F54CF796A99</vt:lpwstr>
  </property>
</Properties>
</file>