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16B7E">
      <w:pPr>
        <w:widowControl/>
        <w:adjustRightInd w:val="0"/>
        <w:snapToGrid w:val="0"/>
        <w:spacing w:before="0" w:beforeAutospacing="0" w:after="0" w:afterAutospacing="0" w:line="360" w:lineRule="auto"/>
        <w:jc w:val="right"/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lang w:val="en-US" w:eastAsia="zh-CN" w:bidi="ar-SA"/>
        </w:rPr>
      </w:pPr>
    </w:p>
    <w:p w14:paraId="076327F9">
      <w:pPr>
        <w:adjustRightInd w:val="0"/>
        <w:snapToGrid w:val="0"/>
        <w:spacing w:line="240" w:lineRule="auto"/>
        <w:ind w:firstLine="0" w:firstLineChars="0"/>
        <w:rPr>
          <w:rFonts w:hint="eastAsia" w:ascii="仿宋" w:hAnsi="仿宋" w:eastAsia="仿宋" w:cs="仿宋"/>
          <w:b/>
          <w:bCs/>
          <w:sz w:val="21"/>
          <w:szCs w:val="21"/>
          <w:highlight w:val="none"/>
        </w:rPr>
      </w:pPr>
    </w:p>
    <w:p w14:paraId="5A5A1766">
      <w:pPr>
        <w:adjustRightInd w:val="0"/>
        <w:snapToGrid w:val="0"/>
        <w:spacing w:line="240" w:lineRule="auto"/>
        <w:ind w:firstLine="0" w:firstLineChars="0"/>
        <w:rPr>
          <w:rFonts w:hint="eastAsia" w:ascii="仿宋" w:hAnsi="仿宋" w:eastAsia="仿宋" w:cs="仿宋"/>
          <w:b/>
          <w:bCs/>
          <w:sz w:val="21"/>
          <w:szCs w:val="21"/>
          <w:highlight w:val="none"/>
        </w:rPr>
      </w:pPr>
    </w:p>
    <w:p w14:paraId="33A76624">
      <w:pPr>
        <w:adjustRightInd w:val="0"/>
        <w:snapToGrid w:val="0"/>
        <w:spacing w:line="240" w:lineRule="auto"/>
        <w:ind w:firstLine="0" w:firstLineChars="0"/>
        <w:rPr>
          <w:rFonts w:hint="eastAsia" w:ascii="仿宋" w:hAnsi="仿宋" w:eastAsia="仿宋" w:cs="仿宋"/>
          <w:b/>
          <w:bCs/>
          <w:sz w:val="21"/>
          <w:szCs w:val="21"/>
          <w:highlight w:val="none"/>
        </w:rPr>
      </w:pPr>
    </w:p>
    <w:p w14:paraId="3B9EEC62">
      <w:pPr>
        <w:adjustRightInd w:val="0"/>
        <w:snapToGrid w:val="0"/>
        <w:spacing w:line="240" w:lineRule="auto"/>
        <w:ind w:firstLine="0" w:firstLineChars="0"/>
        <w:rPr>
          <w:rFonts w:hint="eastAsia" w:ascii="仿宋" w:hAnsi="仿宋" w:eastAsia="仿宋" w:cs="仿宋"/>
          <w:b/>
          <w:bCs/>
          <w:sz w:val="21"/>
          <w:szCs w:val="21"/>
          <w:highlight w:val="none"/>
        </w:rPr>
      </w:pPr>
    </w:p>
    <w:p w14:paraId="65654E0B">
      <w:pPr>
        <w:adjustRightInd w:val="0"/>
        <w:snapToGrid w:val="0"/>
        <w:spacing w:line="240" w:lineRule="auto"/>
        <w:ind w:firstLine="0" w:firstLineChars="0"/>
        <w:rPr>
          <w:rFonts w:hint="eastAsia" w:ascii="仿宋" w:hAnsi="仿宋" w:eastAsia="仿宋" w:cs="仿宋"/>
          <w:b/>
          <w:bCs/>
          <w:sz w:val="21"/>
          <w:szCs w:val="21"/>
          <w:highlight w:val="none"/>
        </w:rPr>
      </w:pPr>
    </w:p>
    <w:p w14:paraId="2411B4BE">
      <w:pPr>
        <w:adjustRightInd w:val="0"/>
        <w:snapToGrid w:val="0"/>
        <w:spacing w:line="240" w:lineRule="auto"/>
        <w:ind w:firstLine="0" w:firstLineChars="0"/>
        <w:rPr>
          <w:rFonts w:hint="eastAsia" w:ascii="仿宋" w:hAnsi="仿宋" w:eastAsia="仿宋" w:cs="仿宋"/>
          <w:b/>
          <w:bCs/>
          <w:sz w:val="21"/>
          <w:szCs w:val="21"/>
          <w:highlight w:val="none"/>
        </w:rPr>
      </w:pPr>
    </w:p>
    <w:p w14:paraId="7F387E1D">
      <w:pPr>
        <w:adjustRightInd w:val="0"/>
        <w:snapToGrid w:val="0"/>
        <w:spacing w:line="240" w:lineRule="auto"/>
        <w:ind w:firstLine="0" w:firstLineChars="0"/>
        <w:rPr>
          <w:rFonts w:hint="eastAsia" w:ascii="仿宋" w:hAnsi="仿宋" w:eastAsia="仿宋" w:cs="仿宋"/>
          <w:b/>
          <w:bCs/>
          <w:sz w:val="21"/>
          <w:szCs w:val="21"/>
          <w:highlight w:val="none"/>
        </w:rPr>
      </w:pPr>
    </w:p>
    <w:p w14:paraId="0EA6DE33">
      <w:pPr>
        <w:widowControl/>
        <w:adjustRightInd/>
        <w:snapToGrid/>
        <w:spacing w:line="604" w:lineRule="exact"/>
        <w:ind w:firstLine="0" w:firstLineChars="0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</w:pPr>
      <w:bookmarkStart w:id="0" w:name="_Toc7537"/>
      <w:bookmarkStart w:id="1" w:name="_Toc9989"/>
      <w:bookmarkStart w:id="2" w:name="_Toc11072"/>
      <w:bookmarkStart w:id="3" w:name="_Toc19318"/>
      <w:bookmarkStart w:id="4" w:name="_Toc22534"/>
      <w:bookmarkStart w:id="5" w:name="_Toc21304"/>
      <w:bookmarkStart w:id="6" w:name="_Toc26295"/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大同市园林绿化中心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</w:rPr>
        <w:t>2020年度</w:t>
      </w:r>
      <w:bookmarkEnd w:id="0"/>
      <w:bookmarkEnd w:id="1"/>
      <w:bookmarkStart w:id="7" w:name="_Toc11616"/>
      <w:bookmarkStart w:id="8" w:name="_Toc30449"/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</w:rPr>
        <w:t>部门整体支出绩效评价报告</w:t>
      </w:r>
      <w:bookmarkEnd w:id="2"/>
      <w:bookmarkEnd w:id="3"/>
      <w:bookmarkEnd w:id="4"/>
      <w:bookmarkEnd w:id="5"/>
      <w:bookmarkEnd w:id="6"/>
      <w:bookmarkEnd w:id="7"/>
      <w:bookmarkEnd w:id="8"/>
    </w:p>
    <w:p w14:paraId="322AF038">
      <w:pPr>
        <w:adjustRightInd w:val="0"/>
        <w:snapToGrid w:val="0"/>
        <w:spacing w:line="240" w:lineRule="auto"/>
        <w:ind w:firstLine="0" w:firstLineChars="0"/>
        <w:rPr>
          <w:rFonts w:hint="eastAsia" w:ascii="仿宋" w:hAnsi="仿宋" w:eastAsia="仿宋" w:cs="仿宋"/>
          <w:b/>
          <w:bCs/>
          <w:sz w:val="21"/>
          <w:szCs w:val="21"/>
          <w:highlight w:val="none"/>
        </w:rPr>
      </w:pPr>
    </w:p>
    <w:p w14:paraId="64053C36">
      <w:pPr>
        <w:adjustRightInd w:val="0"/>
        <w:snapToGrid w:val="0"/>
        <w:spacing w:line="240" w:lineRule="auto"/>
        <w:ind w:firstLine="0" w:firstLineChars="0"/>
        <w:rPr>
          <w:rFonts w:hint="eastAsia" w:ascii="仿宋" w:hAnsi="仿宋" w:eastAsia="仿宋" w:cs="仿宋"/>
          <w:b/>
          <w:bCs/>
          <w:sz w:val="21"/>
          <w:szCs w:val="21"/>
          <w:highlight w:val="none"/>
        </w:rPr>
      </w:pPr>
    </w:p>
    <w:p w14:paraId="7770AFC9">
      <w:pPr>
        <w:adjustRightInd w:val="0"/>
        <w:snapToGrid w:val="0"/>
        <w:spacing w:line="240" w:lineRule="auto"/>
        <w:ind w:firstLine="0" w:firstLineChars="0"/>
        <w:rPr>
          <w:rFonts w:hint="eastAsia" w:ascii="仿宋" w:hAnsi="仿宋" w:eastAsia="仿宋" w:cs="仿宋"/>
          <w:b/>
          <w:bCs/>
          <w:sz w:val="21"/>
          <w:szCs w:val="21"/>
          <w:highlight w:val="none"/>
        </w:rPr>
      </w:pPr>
    </w:p>
    <w:p w14:paraId="3DA68C91">
      <w:pPr>
        <w:widowControl w:val="0"/>
        <w:adjustRightInd w:val="0"/>
        <w:snapToGrid w:val="0"/>
        <w:ind w:left="420" w:leftChars="200"/>
        <w:jc w:val="both"/>
        <w:rPr>
          <w:rFonts w:hint="eastAsia" w:ascii="仿宋" w:hAnsi="仿宋" w:eastAsia="仿宋" w:cs="仿宋"/>
          <w:b/>
          <w:bCs/>
          <w:kern w:val="2"/>
          <w:sz w:val="21"/>
          <w:szCs w:val="21"/>
          <w:highlight w:val="none"/>
          <w:lang w:val="en-US" w:eastAsia="zh-CN" w:bidi="ar-SA"/>
        </w:rPr>
      </w:pPr>
    </w:p>
    <w:p w14:paraId="1DA75297">
      <w:pPr>
        <w:adjustRightInd w:val="0"/>
        <w:snapToGrid w:val="0"/>
        <w:spacing w:line="240" w:lineRule="auto"/>
        <w:ind w:firstLine="0" w:firstLineChars="0"/>
        <w:rPr>
          <w:rFonts w:hint="eastAsia" w:ascii="仿宋" w:hAnsi="仿宋" w:eastAsia="仿宋" w:cs="仿宋"/>
          <w:b/>
          <w:bCs/>
          <w:sz w:val="21"/>
          <w:szCs w:val="21"/>
          <w:highlight w:val="none"/>
        </w:rPr>
      </w:pPr>
    </w:p>
    <w:p w14:paraId="56537674">
      <w:pPr>
        <w:adjustRightInd/>
        <w:snapToGrid/>
        <w:spacing w:line="240" w:lineRule="auto"/>
        <w:ind w:firstLine="0" w:firstLineChars="0"/>
        <w:rPr>
          <w:rFonts w:hint="eastAsia" w:ascii="仿宋" w:hAnsi="仿宋" w:eastAsia="仿宋" w:cs="仿宋"/>
          <w:b/>
          <w:bCs/>
          <w:sz w:val="21"/>
          <w:szCs w:val="21"/>
          <w:highlight w:val="none"/>
        </w:rPr>
      </w:pPr>
    </w:p>
    <w:p w14:paraId="1FD70EEB">
      <w:pPr>
        <w:widowControl w:val="0"/>
        <w:ind w:left="420" w:leftChars="200"/>
        <w:jc w:val="both"/>
        <w:rPr>
          <w:rFonts w:hint="eastAsia" w:ascii="仿宋" w:hAnsi="仿宋" w:eastAsia="仿宋" w:cs="仿宋"/>
          <w:b/>
          <w:bCs/>
          <w:kern w:val="2"/>
          <w:sz w:val="21"/>
          <w:szCs w:val="21"/>
          <w:highlight w:val="none"/>
          <w:lang w:val="en-US" w:eastAsia="zh-CN" w:bidi="ar-SA"/>
        </w:rPr>
      </w:pPr>
    </w:p>
    <w:p w14:paraId="5595A020">
      <w:pPr>
        <w:adjustRightInd/>
        <w:snapToGrid/>
        <w:spacing w:line="240" w:lineRule="auto"/>
        <w:ind w:firstLine="0" w:firstLineChars="0"/>
        <w:rPr>
          <w:rFonts w:hint="eastAsia" w:ascii="仿宋" w:hAnsi="仿宋" w:eastAsia="仿宋" w:cs="仿宋"/>
          <w:b/>
          <w:bCs/>
          <w:sz w:val="21"/>
          <w:szCs w:val="21"/>
          <w:highlight w:val="none"/>
        </w:rPr>
      </w:pPr>
    </w:p>
    <w:p w14:paraId="5FC8A471">
      <w:pPr>
        <w:widowControl w:val="0"/>
        <w:ind w:left="420" w:leftChars="20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lang w:val="en-US" w:eastAsia="zh-CN" w:bidi="ar-SA"/>
        </w:rPr>
      </w:pPr>
    </w:p>
    <w:p w14:paraId="1ACAEE7E">
      <w:pPr>
        <w:adjustRightInd/>
        <w:snapToGrid/>
        <w:spacing w:line="240" w:lineRule="auto"/>
        <w:ind w:firstLine="0" w:firstLineChars="0"/>
        <w:rPr>
          <w:rFonts w:hint="eastAsia" w:asciiTheme="minorHAnsi" w:hAnsiTheme="minorHAnsi" w:eastAsiaTheme="minorEastAsia"/>
          <w:sz w:val="21"/>
          <w:highlight w:val="none"/>
        </w:rPr>
      </w:pPr>
    </w:p>
    <w:p w14:paraId="3B751B5D">
      <w:pPr>
        <w:adjustRightInd w:val="0"/>
        <w:snapToGrid w:val="0"/>
        <w:spacing w:line="240" w:lineRule="auto"/>
        <w:ind w:firstLine="0" w:firstLineChars="0"/>
        <w:rPr>
          <w:rFonts w:hint="eastAsia" w:ascii="仿宋" w:hAnsi="仿宋" w:eastAsia="仿宋" w:cs="仿宋"/>
          <w:b/>
          <w:bCs/>
          <w:sz w:val="21"/>
          <w:szCs w:val="21"/>
          <w:highlight w:val="none"/>
        </w:rPr>
      </w:pPr>
    </w:p>
    <w:p w14:paraId="2E59C76B">
      <w:pPr>
        <w:adjustRightInd/>
        <w:snapToGrid/>
        <w:spacing w:line="640" w:lineRule="exact"/>
        <w:ind w:left="2712" w:leftChars="504" w:hanging="1654" w:hangingChars="517"/>
        <w:rPr>
          <w:rFonts w:hint="eastAsia" w:ascii="Times New Roman" w:hAnsi="Times New Roman" w:eastAsia="方正小标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highlight w:val="none"/>
        </w:rPr>
        <w:t>项目名称：</w:t>
      </w:r>
      <w:r>
        <w:rPr>
          <w:rFonts w:hint="eastAsia" w:ascii="Times New Roman" w:hAnsi="Times New Roman" w:eastAsia="方正小标宋简体" w:cs="Times New Roman"/>
          <w:sz w:val="32"/>
          <w:szCs w:val="32"/>
          <w:highlight w:val="none"/>
          <w:lang w:val="en-US" w:eastAsia="zh-CN"/>
        </w:rPr>
        <w:t>大同市园林绿化中心2020年度部门整体</w:t>
      </w:r>
    </w:p>
    <w:p w14:paraId="513D76EF">
      <w:pPr>
        <w:adjustRightInd/>
        <w:snapToGrid/>
        <w:spacing w:line="640" w:lineRule="exact"/>
        <w:ind w:left="2705" w:leftChars="1264" w:hanging="51" w:hangingChars="16"/>
        <w:rPr>
          <w:rFonts w:ascii="Times New Roman" w:hAnsi="Times New Roman" w:eastAsia="方正小标宋简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highlight w:val="none"/>
          <w:lang w:val="en-US" w:eastAsia="zh-CN"/>
        </w:rPr>
        <w:t>支出</w:t>
      </w:r>
      <w:r>
        <w:rPr>
          <w:rFonts w:hint="eastAsia" w:ascii="Times New Roman" w:hAnsi="Times New Roman" w:eastAsia="方正小标宋简体" w:cs="Times New Roman"/>
          <w:sz w:val="32"/>
          <w:szCs w:val="32"/>
          <w:highlight w:val="none"/>
        </w:rPr>
        <w:t>项目</w:t>
      </w:r>
    </w:p>
    <w:p w14:paraId="56C8114C">
      <w:pPr>
        <w:adjustRightInd/>
        <w:snapToGrid/>
        <w:spacing w:line="640" w:lineRule="exact"/>
        <w:ind w:left="2712" w:leftChars="504" w:hanging="1654" w:hangingChars="517"/>
        <w:rPr>
          <w:rFonts w:hint="eastAsia" w:ascii="Times New Roman" w:hAnsi="Times New Roman" w:eastAsia="方正小标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highlight w:val="none"/>
        </w:rPr>
        <w:t>实施单位：</w:t>
      </w:r>
      <w:r>
        <w:rPr>
          <w:rFonts w:hint="eastAsia" w:ascii="Times New Roman" w:hAnsi="Times New Roman" w:eastAsia="方正小标宋简体" w:cs="Times New Roman"/>
          <w:sz w:val="32"/>
          <w:szCs w:val="32"/>
          <w:highlight w:val="none"/>
          <w:lang w:val="en-US" w:eastAsia="zh-CN"/>
        </w:rPr>
        <w:t>大同市园林绿化中心</w:t>
      </w:r>
    </w:p>
    <w:p w14:paraId="256279A5">
      <w:pPr>
        <w:adjustRightInd/>
        <w:snapToGrid/>
        <w:spacing w:line="640" w:lineRule="exact"/>
        <w:ind w:left="0" w:leftChars="0" w:firstLine="1059" w:firstLineChars="331"/>
        <w:rPr>
          <w:rFonts w:hint="default" w:ascii="Times New Roman" w:hAnsi="Times New Roman" w:eastAsia="方正小标宋简体" w:cs="Times New Roman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highlight w:val="none"/>
        </w:rPr>
        <w:t>委托单位：</w:t>
      </w:r>
      <w:r>
        <w:rPr>
          <w:rFonts w:hint="eastAsia" w:ascii="Times New Roman" w:hAnsi="Times New Roman" w:eastAsia="方正小标宋简体" w:cs="Times New Roman"/>
          <w:sz w:val="32"/>
          <w:szCs w:val="32"/>
          <w:highlight w:val="none"/>
          <w:lang w:val="en-US" w:eastAsia="zh-CN"/>
        </w:rPr>
        <w:t>大同市财政局</w:t>
      </w:r>
    </w:p>
    <w:p w14:paraId="16067267">
      <w:pPr>
        <w:adjustRightInd/>
        <w:snapToGrid/>
        <w:spacing w:line="640" w:lineRule="exact"/>
        <w:ind w:left="0" w:leftChars="0" w:firstLine="1059" w:firstLineChars="331"/>
        <w:rPr>
          <w:rFonts w:hint="eastAsia" w:ascii="Times New Roman" w:hAnsi="Times New Roman" w:eastAsia="方正小标宋简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highlight w:val="none"/>
        </w:rPr>
        <w:t>评价机构：山西信捷绩效管理咨询有限公司</w:t>
      </w:r>
    </w:p>
    <w:p w14:paraId="2D981835">
      <w:pPr>
        <w:adjustRightInd/>
        <w:snapToGrid/>
        <w:spacing w:line="640" w:lineRule="exact"/>
        <w:ind w:left="0" w:leftChars="0" w:firstLine="1059" w:firstLineChars="331"/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highlight w:val="none"/>
        </w:rPr>
        <w:t>主评人签字：</w:t>
      </w:r>
    </w:p>
    <w:p w14:paraId="451C96CF">
      <w:pPr>
        <w:adjustRightInd/>
        <w:snapToGrid/>
        <w:spacing w:line="240" w:lineRule="auto"/>
        <w:ind w:firstLine="0" w:firstLineChars="0"/>
        <w:rPr>
          <w:rFonts w:hint="eastAsia" w:asciiTheme="minorHAnsi" w:hAnsiTheme="minorHAnsi" w:eastAsiaTheme="minorEastAsia"/>
          <w:sz w:val="21"/>
          <w:highlight w:val="none"/>
        </w:rPr>
      </w:pPr>
    </w:p>
    <w:p w14:paraId="75240FB2">
      <w:pPr>
        <w:adjustRightInd w:val="0"/>
        <w:snapToGrid w:val="0"/>
        <w:spacing w:line="240" w:lineRule="auto"/>
        <w:ind w:firstLine="0" w:firstLineChars="0"/>
        <w:rPr>
          <w:rFonts w:hint="eastAsia" w:ascii="仿宋" w:hAnsi="仿宋" w:eastAsia="仿宋" w:cs="仿宋"/>
          <w:b/>
          <w:bCs/>
          <w:sz w:val="21"/>
          <w:szCs w:val="21"/>
          <w:highlight w:val="none"/>
        </w:rPr>
      </w:pPr>
    </w:p>
    <w:p w14:paraId="0835E477">
      <w:pPr>
        <w:adjustRightInd/>
        <w:snapToGrid/>
        <w:spacing w:line="640" w:lineRule="exact"/>
        <w:ind w:firstLine="3200" w:firstLineChars="1000"/>
        <w:jc w:val="both"/>
        <w:rPr>
          <w:rFonts w:hint="eastAsia" w:ascii="Times New Roman" w:hAnsi="Times New Roman" w:eastAsia="方正小标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highlight w:val="none"/>
          <w:lang w:val="en-US" w:eastAsia="zh-CN"/>
        </w:rPr>
        <w:t>二○二二年四月</w:t>
      </w:r>
    </w:p>
    <w:p w14:paraId="76378F81">
      <w:pPr>
        <w:ind w:left="0" w:leftChars="0" w:firstLine="0" w:firstLineChars="0"/>
        <w:rPr>
          <w:rFonts w:hint="eastAsia" w:eastAsia="仿宋_GB2312"/>
          <w:highlight w:val="none"/>
          <w:lang w:eastAsia="zh-CN"/>
        </w:rPr>
      </w:pPr>
    </w:p>
    <w:p w14:paraId="5CED11F9">
      <w:pPr>
        <w:pStyle w:val="2"/>
        <w:rPr>
          <w:highlight w:val="none"/>
        </w:rPr>
      </w:pPr>
    </w:p>
    <w:p w14:paraId="07484697">
      <w:pPr>
        <w:rPr>
          <w:highlight w:val="none"/>
        </w:rPr>
      </w:pPr>
    </w:p>
    <w:p w14:paraId="4DBC20F0">
      <w:pPr>
        <w:pStyle w:val="12"/>
        <w:tabs>
          <w:tab w:val="right" w:leader="dot" w:pos="8788"/>
        </w:tabs>
        <w:rPr>
          <w:rFonts w:hint="eastAsia" w:ascii="黑体" w:hAnsi="黑体" w:eastAsia="黑体" w:cs="黑体"/>
          <w:b/>
          <w:bCs/>
          <w:sz w:val="44"/>
          <w:szCs w:val="44"/>
          <w:highlight w:val="none"/>
          <w:lang w:val="en-US" w:eastAsia="zh-CN"/>
        </w:rPr>
        <w:sectPr>
          <w:headerReference r:id="rId3" w:type="default"/>
          <w:headerReference r:id="rId4" w:type="even"/>
          <w:pgSz w:w="11850" w:h="16783"/>
          <w:pgMar w:top="1531" w:right="1531" w:bottom="153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425" w:num="1"/>
          <w:docGrid w:type="lines" w:linePitch="312" w:charSpace="0"/>
        </w:sectPr>
      </w:pPr>
      <w:bookmarkStart w:id="9" w:name="_Toc16318"/>
      <w:bookmarkStart w:id="10" w:name="_Toc1921"/>
      <w:bookmarkStart w:id="11" w:name="_Toc31762"/>
      <w:bookmarkStart w:id="12" w:name="_Toc18386"/>
      <w:bookmarkStart w:id="13" w:name="_Toc22233"/>
      <w:bookmarkStart w:id="14" w:name="_Toc32652"/>
      <w:bookmarkStart w:id="15" w:name="_Toc14301"/>
      <w:bookmarkStart w:id="16" w:name="_Toc182"/>
      <w:bookmarkStart w:id="17" w:name="_Toc3268"/>
      <w:bookmarkStart w:id="18" w:name="_Toc20959"/>
      <w:bookmarkStart w:id="19" w:name="_Toc16639"/>
      <w:bookmarkStart w:id="20" w:name="_Toc6338"/>
      <w:bookmarkStart w:id="21" w:name="_Toc19325"/>
      <w:bookmarkStart w:id="22" w:name="_Toc4714"/>
    </w:p>
    <w:bookmarkEnd w:id="9"/>
    <w:bookmarkEnd w:id="10"/>
    <w:bookmarkEnd w:id="11"/>
    <w:bookmarkEnd w:id="12"/>
    <w:bookmarkEnd w:id="13"/>
    <w:p w14:paraId="23172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auto"/>
        <w:outlineLvl w:val="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bookmarkStart w:id="23" w:name="_Toc28452"/>
      <w:bookmarkStart w:id="24" w:name="_Toc2922"/>
      <w:bookmarkStart w:id="25" w:name="_Toc5232"/>
      <w:bookmarkStart w:id="26" w:name="_Toc27923"/>
      <w:bookmarkStart w:id="27" w:name="_Toc10927"/>
    </w:p>
    <w:p w14:paraId="0A677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一、概述要素</w:t>
      </w:r>
    </w:p>
    <w:p w14:paraId="510B5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Times New Roman" w:hAnsi="Times New Roman" w:eastAsia="楷体" w:cs="Times New Roman"/>
          <w:sz w:val="32"/>
          <w:szCs w:val="32"/>
          <w:highlight w:val="none"/>
        </w:rPr>
      </w:pPr>
      <w:r>
        <w:rPr>
          <w:rFonts w:ascii="Times New Roman" w:hAnsi="Times New Roman" w:eastAsia="楷体" w:cs="Times New Roman"/>
          <w:sz w:val="32"/>
          <w:szCs w:val="32"/>
          <w:highlight w:val="none"/>
        </w:rPr>
        <w:t>（一）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</w:rPr>
        <w:t>部门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>概况</w:t>
      </w:r>
    </w:p>
    <w:p w14:paraId="388CB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bookmarkStart w:id="28" w:name="_Toc28147"/>
      <w:bookmarkStart w:id="29" w:name="_Toc12344"/>
      <w:bookmarkStart w:id="30" w:name="_Toc21159"/>
      <w:bookmarkStart w:id="31" w:name="_Toc20461"/>
      <w:bookmarkStart w:id="32" w:name="_Toc17292"/>
      <w:bookmarkStart w:id="33" w:name="_Toc15662"/>
      <w:bookmarkStart w:id="34" w:name="_Toc3003"/>
      <w:bookmarkStart w:id="35" w:name="_Toc29463"/>
      <w:bookmarkStart w:id="36" w:name="_Toc7782"/>
      <w:bookmarkStart w:id="37" w:name="_Toc29185"/>
      <w:bookmarkStart w:id="38" w:name="_Toc23459"/>
      <w:bookmarkStart w:id="39" w:name="_Toc7447"/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大同市园林绿化中心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是隶属于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大同市住房和城乡建设局直属事业单位，2020年根据《大同市深化事业单位改革实施方案》（同编发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8号）文件要求，将大同市住房和城乡建设局所属11个单位并入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大同市园林绿化中心，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隶属关系调整为大同市政府直属事业单位，调整后工作人员总人数为536人，其中财政拨款事业编制247名，财政补助事业编制10名，主要负责政府安排的城市公园绿地、附属绿地、防护绿地、其他绿地等各类绿地的建设和日常管护，以及对园林绿化工程的质量管理和验收工作。</w:t>
      </w:r>
    </w:p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p w14:paraId="5D3F1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Times New Roman" w:hAnsi="Times New Roman" w:eastAsia="楷体" w:cs="Times New Roman"/>
          <w:sz w:val="32"/>
          <w:szCs w:val="32"/>
          <w:highlight w:val="none"/>
        </w:rPr>
      </w:pPr>
      <w:bookmarkStart w:id="40" w:name="_Toc11370"/>
      <w:bookmarkStart w:id="41" w:name="_Toc11568"/>
      <w:bookmarkStart w:id="42" w:name="_Toc16012"/>
      <w:bookmarkStart w:id="43" w:name="_Toc372"/>
      <w:bookmarkStart w:id="44" w:name="_Toc11089"/>
      <w:bookmarkStart w:id="45" w:name="_Toc6928"/>
      <w:r>
        <w:rPr>
          <w:rFonts w:ascii="Times New Roman" w:hAnsi="Times New Roman" w:eastAsia="楷体" w:cs="Times New Roman"/>
          <w:sz w:val="32"/>
          <w:szCs w:val="32"/>
          <w:highlight w:val="none"/>
        </w:rPr>
        <w:t>（二）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</w:rPr>
        <w:t>部门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>绩效目标</w:t>
      </w:r>
    </w:p>
    <w:p w14:paraId="11EF4F94">
      <w:pPr>
        <w:adjustRightInd w:val="0"/>
        <w:snapToGrid w:val="0"/>
        <w:spacing w:line="360" w:lineRule="auto"/>
        <w:jc w:val="center"/>
        <w:rPr>
          <w:rFonts w:ascii="Times New Roman" w:hAnsi="Times New Roman" w:eastAsia="黑体" w:cs="Times New Roman"/>
          <w:sz w:val="24"/>
          <w:szCs w:val="24"/>
          <w:highlight w:val="none"/>
        </w:rPr>
      </w:pPr>
    </w:p>
    <w:p w14:paraId="5C8D5A6D">
      <w:pPr>
        <w:adjustRightInd w:val="0"/>
        <w:snapToGrid w:val="0"/>
        <w:spacing w:line="360" w:lineRule="auto"/>
        <w:jc w:val="center"/>
        <w:rPr>
          <w:rFonts w:ascii="Times New Roman" w:hAnsi="Times New Roman" w:eastAsia="方正小标宋简体" w:cs="Times New Roman"/>
          <w:sz w:val="28"/>
          <w:szCs w:val="28"/>
          <w:highlight w:val="none"/>
        </w:rPr>
      </w:pPr>
      <w:r>
        <w:rPr>
          <w:rFonts w:ascii="Times New Roman" w:hAnsi="Times New Roman" w:eastAsia="黑体" w:cs="Times New Roman"/>
          <w:sz w:val="28"/>
          <w:szCs w:val="28"/>
          <w:highlight w:val="none"/>
        </w:rPr>
        <w:t>表</w:t>
      </w:r>
      <w:r>
        <w:rPr>
          <w:rFonts w:hint="eastAsia" w:ascii="Times New Roman" w:hAnsi="Times New Roman" w:eastAsia="黑体" w:cs="Times New Roman"/>
          <w:sz w:val="28"/>
          <w:szCs w:val="28"/>
          <w:highlight w:val="none"/>
        </w:rPr>
        <w:t>0</w:t>
      </w:r>
      <w:r>
        <w:rPr>
          <w:rFonts w:ascii="Times New Roman" w:hAnsi="Times New Roman" w:eastAsia="黑体" w:cs="Times New Roman"/>
          <w:sz w:val="28"/>
          <w:szCs w:val="28"/>
          <w:highlight w:val="none"/>
        </w:rPr>
        <w:t>-1 绩效目标表</w:t>
      </w:r>
    </w:p>
    <w:tbl>
      <w:tblPr>
        <w:tblStyle w:val="17"/>
        <w:tblW w:w="8356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600"/>
        <w:gridCol w:w="3150"/>
        <w:gridCol w:w="2502"/>
      </w:tblGrid>
      <w:tr w14:paraId="78317CE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D4B36"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一级指标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CAF56"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二级指标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B1ABF"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三级指标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F854283"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目标值</w:t>
            </w:r>
          </w:p>
        </w:tc>
      </w:tr>
      <w:tr w14:paraId="2D1B03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BB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A</w:t>
            </w:r>
          </w:p>
          <w:p w14:paraId="18BE0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履职效能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2F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A1</w:t>
            </w:r>
          </w:p>
          <w:p w14:paraId="3261E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工作目标设定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59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A11工作目标设定情况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A4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合理</w:t>
            </w:r>
          </w:p>
        </w:tc>
      </w:tr>
      <w:tr w14:paraId="7B3189F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F8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A4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5D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A12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公园管理工作完成情况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ED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完成</w:t>
            </w:r>
          </w:p>
        </w:tc>
      </w:tr>
      <w:tr w14:paraId="789E21D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5F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A</w:t>
            </w:r>
          </w:p>
          <w:p w14:paraId="41A90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履职效能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A6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A1</w:t>
            </w:r>
          </w:p>
          <w:p w14:paraId="5FEAB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工作目标设定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47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A13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文瀛湖生态公园PPP项目完成情况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BE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完成</w:t>
            </w:r>
          </w:p>
        </w:tc>
      </w:tr>
      <w:tr w14:paraId="5479507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4A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A4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E6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A14驻村帮扶工作完成情况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BD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完成</w:t>
            </w:r>
          </w:p>
        </w:tc>
      </w:tr>
      <w:tr w14:paraId="597186B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48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37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A2</w:t>
            </w:r>
          </w:p>
          <w:p w14:paraId="368D9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核心业务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2E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A21城市绿化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</w:rPr>
              <w:t>工作完成情况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7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完成</w:t>
            </w:r>
          </w:p>
        </w:tc>
      </w:tr>
      <w:tr w14:paraId="76D09F4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A9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9E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A3</w:t>
            </w:r>
          </w:p>
          <w:p w14:paraId="0D8AB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基础管理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FD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A31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</w:rPr>
              <w:t>内部控制制度完善性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7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完善且执行有效</w:t>
            </w:r>
          </w:p>
        </w:tc>
      </w:tr>
      <w:tr w14:paraId="71A2C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4" w:type="dxa"/>
            <w:vMerge w:val="restart"/>
            <w:shd w:val="clear" w:color="auto" w:fill="auto"/>
            <w:vAlign w:val="center"/>
          </w:tcPr>
          <w:p w14:paraId="1A5C1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B</w:t>
            </w:r>
          </w:p>
          <w:p w14:paraId="32EB1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管理效率</w:t>
            </w:r>
          </w:p>
        </w:tc>
        <w:tc>
          <w:tcPr>
            <w:tcW w:w="1600" w:type="dxa"/>
            <w:vMerge w:val="restart"/>
            <w:shd w:val="clear" w:color="auto" w:fill="auto"/>
            <w:vAlign w:val="center"/>
          </w:tcPr>
          <w:p w14:paraId="58372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B1</w:t>
            </w:r>
          </w:p>
          <w:p w14:paraId="6DD81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预算管理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E87F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B11</w:t>
            </w:r>
            <w:r>
              <w:rPr>
                <w:rStyle w:val="34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资金分配合理性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31B5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合理</w:t>
            </w:r>
          </w:p>
        </w:tc>
      </w:tr>
      <w:tr w14:paraId="1396B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04" w:type="dxa"/>
            <w:vMerge w:val="continue"/>
            <w:shd w:val="clear" w:color="auto" w:fill="auto"/>
            <w:vAlign w:val="center"/>
          </w:tcPr>
          <w:p w14:paraId="195D5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vMerge w:val="continue"/>
            <w:shd w:val="clear" w:color="auto" w:fill="auto"/>
            <w:vAlign w:val="center"/>
          </w:tcPr>
          <w:p w14:paraId="2FD0A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195F6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B12</w:t>
            </w:r>
            <w:r>
              <w:rPr>
                <w:rStyle w:val="34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预算完成率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9675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≥90%</w:t>
            </w:r>
          </w:p>
        </w:tc>
      </w:tr>
      <w:tr w14:paraId="673FE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04" w:type="dxa"/>
            <w:vMerge w:val="continue"/>
            <w:shd w:val="clear" w:color="auto" w:fill="auto"/>
            <w:noWrap/>
            <w:vAlign w:val="center"/>
          </w:tcPr>
          <w:p w14:paraId="77A45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00" w:type="dxa"/>
            <w:vMerge w:val="continue"/>
            <w:shd w:val="clear" w:color="auto" w:fill="auto"/>
            <w:noWrap/>
            <w:vAlign w:val="center"/>
          </w:tcPr>
          <w:p w14:paraId="5EF60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68D7C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B13</w:t>
            </w:r>
            <w:r>
              <w:rPr>
                <w:rStyle w:val="34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预算调整率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00C79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﹦0%</w:t>
            </w:r>
          </w:p>
        </w:tc>
      </w:tr>
      <w:tr w14:paraId="528A9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4" w:type="dxa"/>
            <w:vMerge w:val="continue"/>
            <w:shd w:val="clear" w:color="auto" w:fill="auto"/>
            <w:vAlign w:val="center"/>
          </w:tcPr>
          <w:p w14:paraId="0B728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00" w:type="dxa"/>
            <w:vMerge w:val="continue"/>
            <w:shd w:val="clear" w:color="auto" w:fill="auto"/>
            <w:vAlign w:val="center"/>
          </w:tcPr>
          <w:p w14:paraId="63C1C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747D2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B14</w:t>
            </w:r>
            <w:bookmarkStart w:id="51" w:name="_GoBack"/>
            <w:bookmarkEnd w:id="51"/>
            <w:r>
              <w:rPr>
                <w:rStyle w:val="34"/>
                <w:rFonts w:hint="eastAsia" w:ascii="Times New Roman" w:hAnsi="Times New Roman" w:cs="Times New Roman"/>
                <w:sz w:val="20"/>
                <w:szCs w:val="20"/>
                <w:highlight w:val="none"/>
                <w:lang w:val="en-US" w:eastAsia="zh-CN" w:bidi="ar"/>
              </w:rPr>
              <w:t>“三公”经费</w:t>
            </w:r>
            <w:r>
              <w:rPr>
                <w:rStyle w:val="34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变动率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63B0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≤0%</w:t>
            </w:r>
          </w:p>
        </w:tc>
      </w:tr>
      <w:tr w14:paraId="31964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04" w:type="dxa"/>
            <w:vMerge w:val="continue"/>
            <w:shd w:val="clear" w:color="auto" w:fill="auto"/>
            <w:vAlign w:val="center"/>
          </w:tcPr>
          <w:p w14:paraId="4CFAF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00" w:type="dxa"/>
            <w:vMerge w:val="continue"/>
            <w:shd w:val="clear" w:color="auto" w:fill="auto"/>
            <w:vAlign w:val="center"/>
          </w:tcPr>
          <w:p w14:paraId="6F8A9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1FEED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B15</w:t>
            </w:r>
            <w:r>
              <w:rPr>
                <w:rStyle w:val="34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支付进度率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683F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一季度≥25%</w:t>
            </w:r>
            <w:r>
              <w:rPr>
                <w:rStyle w:val="35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；</w:t>
            </w:r>
          </w:p>
          <w:p w14:paraId="5BF3D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二季度≥50%</w:t>
            </w:r>
            <w:r>
              <w:rPr>
                <w:rStyle w:val="35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；</w:t>
            </w:r>
          </w:p>
          <w:p w14:paraId="2C801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三季度≥75%</w:t>
            </w:r>
            <w:r>
              <w:rPr>
                <w:rStyle w:val="35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；</w:t>
            </w:r>
          </w:p>
          <w:p w14:paraId="49243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  <w:r>
              <w:rPr>
                <w:rStyle w:val="35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月底≥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90%</w:t>
            </w:r>
          </w:p>
        </w:tc>
      </w:tr>
      <w:tr w14:paraId="7C2D7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04" w:type="dxa"/>
            <w:vMerge w:val="continue"/>
            <w:shd w:val="clear" w:color="auto" w:fill="auto"/>
            <w:vAlign w:val="center"/>
          </w:tcPr>
          <w:p w14:paraId="4ED69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00" w:type="dxa"/>
            <w:vMerge w:val="continue"/>
            <w:shd w:val="clear" w:color="auto" w:fill="auto"/>
            <w:vAlign w:val="center"/>
          </w:tcPr>
          <w:p w14:paraId="3971D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39AA4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B16</w:t>
            </w:r>
            <w:r>
              <w:rPr>
                <w:rStyle w:val="34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结转结余率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421C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﹦0%</w:t>
            </w:r>
          </w:p>
        </w:tc>
      </w:tr>
      <w:tr w14:paraId="303F9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4" w:type="dxa"/>
            <w:vMerge w:val="continue"/>
            <w:shd w:val="clear" w:color="auto" w:fill="auto"/>
            <w:vAlign w:val="center"/>
          </w:tcPr>
          <w:p w14:paraId="6D63A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00" w:type="dxa"/>
            <w:vMerge w:val="continue"/>
            <w:shd w:val="clear" w:color="auto" w:fill="auto"/>
            <w:vAlign w:val="center"/>
          </w:tcPr>
          <w:p w14:paraId="1615E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5B1C6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B17</w:t>
            </w:r>
            <w:r>
              <w:rPr>
                <w:rStyle w:val="34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重点支出安排率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094F7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≥80%</w:t>
            </w:r>
          </w:p>
        </w:tc>
      </w:tr>
      <w:tr w14:paraId="33266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4" w:type="dxa"/>
            <w:vMerge w:val="continue"/>
            <w:shd w:val="clear" w:color="auto" w:fill="auto"/>
            <w:vAlign w:val="center"/>
          </w:tcPr>
          <w:p w14:paraId="23DF4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00" w:type="dxa"/>
            <w:vMerge w:val="continue"/>
            <w:shd w:val="clear" w:color="auto" w:fill="auto"/>
            <w:vAlign w:val="center"/>
          </w:tcPr>
          <w:p w14:paraId="3D385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3287F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B18</w:t>
            </w:r>
            <w:r>
              <w:rPr>
                <w:rStyle w:val="34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绩效目标合理性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974F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合理</w:t>
            </w:r>
          </w:p>
        </w:tc>
      </w:tr>
      <w:tr w14:paraId="51220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4" w:type="dxa"/>
            <w:vMerge w:val="continue"/>
            <w:shd w:val="clear" w:color="auto" w:fill="auto"/>
            <w:vAlign w:val="center"/>
          </w:tcPr>
          <w:p w14:paraId="30D96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00" w:type="dxa"/>
            <w:vMerge w:val="continue"/>
            <w:shd w:val="clear" w:color="auto" w:fill="auto"/>
            <w:vAlign w:val="center"/>
          </w:tcPr>
          <w:p w14:paraId="02025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2DBF7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B19</w:t>
            </w:r>
            <w:r>
              <w:rPr>
                <w:rStyle w:val="34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绩效指标明确性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21BA3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明确</w:t>
            </w:r>
          </w:p>
        </w:tc>
      </w:tr>
      <w:tr w14:paraId="0E8DA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4" w:type="dxa"/>
            <w:vMerge w:val="continue"/>
            <w:shd w:val="clear" w:color="auto" w:fill="auto"/>
            <w:vAlign w:val="center"/>
          </w:tcPr>
          <w:p w14:paraId="37927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00" w:type="dxa"/>
            <w:vMerge w:val="continue"/>
            <w:shd w:val="clear" w:color="auto" w:fill="auto"/>
            <w:vAlign w:val="center"/>
          </w:tcPr>
          <w:p w14:paraId="6ED2A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64D3B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B20</w:t>
            </w:r>
            <w:r>
              <w:rPr>
                <w:rStyle w:val="34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绩效自评完成率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7567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100%</w:t>
            </w:r>
          </w:p>
        </w:tc>
      </w:tr>
      <w:tr w14:paraId="3C168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4" w:type="dxa"/>
            <w:vMerge w:val="continue"/>
            <w:shd w:val="clear" w:color="auto" w:fill="auto"/>
            <w:vAlign w:val="center"/>
          </w:tcPr>
          <w:p w14:paraId="755AA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vMerge w:val="restart"/>
            <w:shd w:val="clear" w:color="auto" w:fill="auto"/>
            <w:vAlign w:val="center"/>
          </w:tcPr>
          <w:p w14:paraId="377F3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B2</w:t>
            </w:r>
          </w:p>
          <w:p w14:paraId="74E91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32BB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B21</w:t>
            </w:r>
            <w:r>
              <w:rPr>
                <w:rStyle w:val="34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资金使用合规性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DE75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合规</w:t>
            </w:r>
          </w:p>
        </w:tc>
      </w:tr>
      <w:tr w14:paraId="12D84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4" w:type="dxa"/>
            <w:vMerge w:val="continue"/>
            <w:shd w:val="clear" w:color="auto" w:fill="auto"/>
            <w:vAlign w:val="center"/>
          </w:tcPr>
          <w:p w14:paraId="7FCAA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vMerge w:val="continue"/>
            <w:shd w:val="clear" w:color="auto" w:fill="auto"/>
            <w:vAlign w:val="center"/>
          </w:tcPr>
          <w:p w14:paraId="01FB7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47A80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B22</w:t>
            </w:r>
            <w:r>
              <w:rPr>
                <w:rStyle w:val="34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管理制度健全性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8CDD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健全</w:t>
            </w:r>
          </w:p>
        </w:tc>
      </w:tr>
      <w:tr w14:paraId="72B87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4" w:type="dxa"/>
            <w:vMerge w:val="continue"/>
            <w:shd w:val="clear" w:color="auto" w:fill="auto"/>
            <w:vAlign w:val="center"/>
          </w:tcPr>
          <w:p w14:paraId="6A4F0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vMerge w:val="restart"/>
            <w:shd w:val="clear" w:color="auto" w:fill="auto"/>
            <w:vAlign w:val="center"/>
          </w:tcPr>
          <w:p w14:paraId="51ABD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B3</w:t>
            </w:r>
          </w:p>
          <w:p w14:paraId="3E580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资产管理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908F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B31</w:t>
            </w:r>
            <w:r>
              <w:rPr>
                <w:rStyle w:val="34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资产管理规范性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28DD4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规范</w:t>
            </w:r>
          </w:p>
        </w:tc>
      </w:tr>
      <w:tr w14:paraId="1FC90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4" w:type="dxa"/>
            <w:vMerge w:val="continue"/>
            <w:shd w:val="clear" w:color="auto" w:fill="auto"/>
            <w:vAlign w:val="center"/>
          </w:tcPr>
          <w:p w14:paraId="75640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vMerge w:val="continue"/>
            <w:shd w:val="clear" w:color="auto" w:fill="auto"/>
            <w:vAlign w:val="center"/>
          </w:tcPr>
          <w:p w14:paraId="227B3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066BC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B32</w:t>
            </w:r>
            <w:r>
              <w:rPr>
                <w:rStyle w:val="34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固定资产利用率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8320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100%</w:t>
            </w:r>
          </w:p>
        </w:tc>
      </w:tr>
      <w:tr w14:paraId="3A467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4" w:type="dxa"/>
            <w:vMerge w:val="restart"/>
            <w:shd w:val="clear" w:color="auto" w:fill="auto"/>
            <w:vAlign w:val="center"/>
          </w:tcPr>
          <w:p w14:paraId="774B6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B</w:t>
            </w:r>
          </w:p>
          <w:p w14:paraId="07560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管理效率</w:t>
            </w:r>
          </w:p>
        </w:tc>
        <w:tc>
          <w:tcPr>
            <w:tcW w:w="1600" w:type="dxa"/>
            <w:vMerge w:val="restart"/>
            <w:shd w:val="clear" w:color="auto" w:fill="auto"/>
            <w:vAlign w:val="center"/>
          </w:tcPr>
          <w:p w14:paraId="564B9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B4</w:t>
            </w:r>
          </w:p>
          <w:p w14:paraId="32AAF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其他管理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314F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B41</w:t>
            </w:r>
            <w:r>
              <w:rPr>
                <w:rStyle w:val="34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政府采购执行率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2EEB5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100%</w:t>
            </w:r>
          </w:p>
        </w:tc>
      </w:tr>
      <w:tr w14:paraId="2ABC6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4" w:type="dxa"/>
            <w:vMerge w:val="continue"/>
            <w:shd w:val="clear" w:color="auto" w:fill="auto"/>
            <w:vAlign w:val="center"/>
          </w:tcPr>
          <w:p w14:paraId="33D81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vMerge w:val="continue"/>
            <w:shd w:val="clear" w:color="auto" w:fill="auto"/>
            <w:vAlign w:val="center"/>
          </w:tcPr>
          <w:p w14:paraId="7206A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15382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B42</w:t>
            </w:r>
            <w:r>
              <w:rPr>
                <w:rStyle w:val="34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预决算信息公开性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3579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及时且独立公开</w:t>
            </w:r>
          </w:p>
        </w:tc>
      </w:tr>
      <w:tr w14:paraId="449C428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62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C</w:t>
            </w:r>
          </w:p>
          <w:p w14:paraId="007BE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社会效应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63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C1</w:t>
            </w:r>
          </w:p>
          <w:p w14:paraId="753EF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经济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社会影响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19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C11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改善城市空气质量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EA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改善</w:t>
            </w:r>
          </w:p>
        </w:tc>
      </w:tr>
      <w:tr w14:paraId="5DE39D9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CF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73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8D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C12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巩固脱贫成果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2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巩固</w:t>
            </w:r>
          </w:p>
        </w:tc>
      </w:tr>
      <w:tr w14:paraId="027BC5A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5F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3F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6D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C13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美化城市环境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7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美化</w:t>
            </w:r>
          </w:p>
        </w:tc>
      </w:tr>
      <w:tr w14:paraId="6219A94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89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2B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C2</w:t>
            </w:r>
          </w:p>
          <w:p w14:paraId="36DBE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社会满意度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C2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C21工作人员满意度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5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≥95%</w:t>
            </w:r>
          </w:p>
        </w:tc>
      </w:tr>
      <w:tr w14:paraId="59CAD4C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A1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38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EF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C22社会公众满意度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F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≥95%</w:t>
            </w:r>
          </w:p>
        </w:tc>
      </w:tr>
      <w:tr w14:paraId="1E57E0A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B7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D</w:t>
            </w:r>
          </w:p>
          <w:p w14:paraId="01A13F07">
            <w:pPr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可持续性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709A5D">
            <w:pPr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D1</w:t>
            </w:r>
          </w:p>
          <w:p w14:paraId="476AA3E7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体制机制改革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59F3E">
            <w:pPr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D11深化体制机制改革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E3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深化</w:t>
            </w:r>
          </w:p>
        </w:tc>
      </w:tr>
      <w:tr w14:paraId="2B572B7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E0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BC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D2</w:t>
            </w:r>
          </w:p>
          <w:p w14:paraId="51637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制度保障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B0EFA">
            <w:pPr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</w:rPr>
              <w:t>D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</w:rPr>
              <w:t>1公职人员队伍建设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F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完善</w:t>
            </w:r>
          </w:p>
        </w:tc>
      </w:tr>
      <w:tr w14:paraId="7F96FC5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04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A3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BCBE8">
            <w:pPr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</w:rPr>
              <w:t>D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22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</w:rPr>
              <w:t>单位及个人获奖情况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5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有</w:t>
            </w:r>
          </w:p>
        </w:tc>
      </w:tr>
      <w:tr w14:paraId="7F63365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38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E0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CC70F">
            <w:pPr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</w:rPr>
              <w:t>D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23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highlight w:val="none"/>
              </w:rPr>
              <w:t>工作人员违法违纪情况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F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</w:tr>
      <w:tr w14:paraId="47D00D7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5854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2D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合计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4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-</w:t>
            </w:r>
          </w:p>
        </w:tc>
      </w:tr>
    </w:tbl>
    <w:p w14:paraId="78530799">
      <w:pPr>
        <w:adjustRightInd w:val="0"/>
        <w:snapToGrid w:val="0"/>
        <w:spacing w:line="360" w:lineRule="auto"/>
        <w:ind w:firstLine="440" w:firstLineChars="200"/>
        <w:rPr>
          <w:rFonts w:ascii="Times New Roman" w:hAnsi="Times New Roman" w:eastAsia="楷体" w:cs="Times New Roman"/>
          <w:sz w:val="22"/>
          <w:highlight w:val="none"/>
        </w:rPr>
      </w:pPr>
    </w:p>
    <w:p w14:paraId="0B70F941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ascii="Times New Roman" w:hAnsi="Times New Roman" w:eastAsia="楷体" w:cs="Times New Roman"/>
          <w:sz w:val="32"/>
          <w:szCs w:val="32"/>
          <w:highlight w:val="none"/>
        </w:rPr>
      </w:pPr>
      <w:r>
        <w:rPr>
          <w:rFonts w:ascii="Times New Roman" w:hAnsi="Times New Roman" w:eastAsia="楷体" w:cs="Times New Roman"/>
          <w:sz w:val="32"/>
          <w:szCs w:val="32"/>
          <w:highlight w:val="none"/>
        </w:rPr>
        <w:t>（三）资金性质及资金收支、结余及结转情况</w:t>
      </w:r>
    </w:p>
    <w:p w14:paraId="5A81E136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2020年大同市园林绿化中心年初预算321,736,700.00元，其中基本支出54,908,400.00元，项目支出266,828,300.00元，调整后预算为668,167,024.27元，其中基本支出55,962,396.81元，项目支出612,204,627.46元；上年结余结转62,314,054.42元，全部为项目支出结余结转；其他收入3950.10元（京同项目2020年利息）；实际支出730,485,028.79元，其中基本支出55,962,396.81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元，项目支出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674,522,631.98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本年无结余资金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。</w:t>
      </w:r>
    </w:p>
    <w:bookmarkEnd w:id="40"/>
    <w:bookmarkEnd w:id="41"/>
    <w:bookmarkEnd w:id="42"/>
    <w:bookmarkEnd w:id="43"/>
    <w:bookmarkEnd w:id="44"/>
    <w:bookmarkEnd w:id="45"/>
    <w:p w14:paraId="54ACC20F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" w:cs="Times New Roman"/>
          <w:sz w:val="32"/>
          <w:szCs w:val="32"/>
          <w:highlight w:val="none"/>
        </w:rPr>
        <w:t>（四）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>部门得分</w:t>
      </w:r>
    </w:p>
    <w:p w14:paraId="2650B9D9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大同市园林绿化中心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2020年度部门整体支出绩效评价总得分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1.04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分，评价等级为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“良”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03999F1B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二、部门绩效</w:t>
      </w:r>
    </w:p>
    <w:p w14:paraId="664D59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</w:rPr>
        <w:t>履职效能：2020年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大同市园林绿化中心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</w:rPr>
        <w:t>目标任务设定合理，公园管理、驻村帮扶、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城市绿化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</w:rPr>
        <w:t>等各项重点工作方面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基本全部完成，但文瀛湖生态公园PPP项目存在付款依据不足、付款程序不符合（财金〔2020〕13号）规定的问题；基础管理方面，内部控制制度完善且执行有效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</w:rPr>
        <w:t>。</w:t>
      </w:r>
    </w:p>
    <w:p w14:paraId="0B7FF8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</w:rPr>
        <w:t>管理效率：在预算管理方面，资金分配合理，预算完成率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为100%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“三公”经费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</w:rPr>
        <w:t>变动率为0%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结转结余率为0%，但预算调整率为128.39%，预算调整率较高，第三季度支付进度率为69.11%，未达到75%的绩效目标，重点支出安排率为0%，重点支出安排率低，且未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</w:rPr>
        <w:t>针对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2020年度部门整体填报绩效目标申报表，也未设置相应的绩效指标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，绩效自评完成率为10.95%，绩效自评完成率较低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</w:rPr>
        <w:t>；在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财务管理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</w:rPr>
        <w:t>方面，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资金使用合规，管理制度健全；在资产管理方面，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</w:rPr>
        <w:t>资产管理规范，固定资产利用率为100%；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在其他管理方面，该部门2020年度已独立公开部门决算信息，但因机构改革原因，未独立公开预算信息，只包含在大同市住房和城乡建设局内进行公开。</w:t>
      </w:r>
    </w:p>
    <w:p w14:paraId="6AC012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</w:rPr>
        <w:t>社会效应：2020年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大同市园林绿化中心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</w:rPr>
        <w:t>取得的社会效应明显，基本能够改善城市空气质量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实现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</w:rPr>
        <w:t>巩固脱贫成果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和美化城市环境的目的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</w:rPr>
        <w:t>；评价组通过实地走访和网络问卷调查得出，工作人员的平均满意度为93.42%，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社会公众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</w:rPr>
        <w:t>满意度的平均满意度为93.97%，整体满意度较高。</w:t>
      </w:r>
    </w:p>
    <w:p w14:paraId="65790A90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</w:rPr>
        <w:t>可持续性：2020年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大同市园林绿化中心不断深化体制机制改革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，且坚持定期学习、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交流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全面提升工作人员的政治素质、工作能力、业务水平，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不断强化公职人员队伍建设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</w:rPr>
        <w:t>工作人员无违法违纪情况，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但仅获得一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次个人市级表彰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，获奖情况较少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57E526C0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三、主要经验及做法</w:t>
      </w:r>
    </w:p>
    <w:p w14:paraId="5974CAC3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制定多项内部控制制度，为提高部门履职效益提供保障</w:t>
      </w:r>
    </w:p>
    <w:p w14:paraId="5C17293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bookmarkStart w:id="46" w:name="_Toc19223"/>
      <w:bookmarkStart w:id="47" w:name="_Toc29093"/>
      <w:bookmarkStart w:id="48" w:name="_Toc19095"/>
      <w:bookmarkStart w:id="49" w:name="_Toc2188"/>
      <w:bookmarkStart w:id="50" w:name="_Toc1327"/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制定了一系列内部制度，可以规范日常工作和业务工作的执行，为提高部门整体支出和履职效益提供了有效的制度保障。</w:t>
      </w:r>
      <w:bookmarkEnd w:id="46"/>
      <w:bookmarkEnd w:id="47"/>
      <w:bookmarkEnd w:id="48"/>
      <w:bookmarkEnd w:id="49"/>
      <w:bookmarkEnd w:id="50"/>
    </w:p>
    <w:p w14:paraId="3B0AD6A4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四、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存在的问题及原因分析</w:t>
      </w:r>
    </w:p>
    <w:p w14:paraId="2CF043C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（一）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文瀛湖生态公园PPP项目付费依据及标准不准确</w:t>
      </w:r>
    </w:p>
    <w:p w14:paraId="3FF16C2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大同市园林绿化中心在PPP运营期付费方面，仅以本单位月度考核检查表为依据，未以《政府和社会资本合作（PPP）项目绩效管理操作指引》（财金〔2020〕13号）和第三方绩效评价结果作为考核标准，不符合《政府和社会资本合作（PPP）项目绩效管理操作指引》（财金〔2020〕13号）中第二十二条按效付费中“政府付费和可行性缺口补助项目，政府承担的年度运营补贴支出应与当年项目公司（社会资本）绩效评价结果完全挂钩。财政部门应按照绩效评价结果安排相应支出，项目实施机构应按照项目合同约定及时支付”的相关内容。</w:t>
      </w:r>
    </w:p>
    <w:p w14:paraId="5BFD5FB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预算调整率较高</w:t>
      </w:r>
    </w:p>
    <w:p w14:paraId="5C37A2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预算调整率为128.39%，预算调整率较高。</w:t>
      </w:r>
    </w:p>
    <w:p w14:paraId="0CBA10E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季度支付进度率未达标</w:t>
      </w:r>
    </w:p>
    <w:p w14:paraId="111ABAB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第三季度支付进度率=69.11%＜75%，支付进度未达标。</w:t>
      </w:r>
    </w:p>
    <w:p w14:paraId="200FA80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重点支出安排率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较差</w:t>
      </w:r>
    </w:p>
    <w:p w14:paraId="38B22DC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重点支出安排率=0%，重点支出安排率较差。</w:t>
      </w:r>
    </w:p>
    <w:p w14:paraId="73A81EB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未针对20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年度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大同市园林绿化中心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本级预算信息进行独立公开说明</w:t>
      </w:r>
    </w:p>
    <w:p w14:paraId="2492A0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绩效管理工作规范性欠佳</w:t>
      </w:r>
    </w:p>
    <w:p w14:paraId="4C8B5D4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大同市园林绿化中心并未针对2020年度部门整体填报绩效目标申报表，也未设置相应的绩效指标。</w:t>
      </w:r>
    </w:p>
    <w:p w14:paraId="553346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（七）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绩效自评完成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情况欠佳</w:t>
      </w:r>
    </w:p>
    <w:p w14:paraId="1EC32E6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绩效自评完成率=10.95%，绩效自评完成率较低。</w:t>
      </w:r>
    </w:p>
    <w:p w14:paraId="60F5ADD7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五、相关建议</w:t>
      </w:r>
    </w:p>
    <w:p w14:paraId="7C77B58C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ascii="Times New Roman" w:hAnsi="Times New Roman" w:eastAsia="楷体" w:cs="Times New Roman"/>
          <w:sz w:val="32"/>
          <w:szCs w:val="32"/>
          <w:highlight w:val="none"/>
        </w:rPr>
      </w:pPr>
      <w:r>
        <w:rPr>
          <w:rFonts w:ascii="Times New Roman" w:hAnsi="Times New Roman" w:eastAsia="楷体" w:cs="Times New Roman"/>
          <w:sz w:val="32"/>
          <w:szCs w:val="32"/>
          <w:highlight w:val="none"/>
        </w:rPr>
        <w:t>（一）问题改进建议</w:t>
      </w:r>
    </w:p>
    <w:p w14:paraId="3EBCF6E4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履行PPP项目文件要求，保障财政资金使用效益</w:t>
      </w:r>
    </w:p>
    <w:p w14:paraId="5CBFFF37"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合理确定重点项目，提高重点项目支出安排率</w:t>
      </w:r>
    </w:p>
    <w:p w14:paraId="24573487"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提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高公开信息独立性</w:t>
      </w:r>
    </w:p>
    <w:p w14:paraId="361F398D"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强化预算绩效管理理念，建立健全绩效管理工作</w:t>
      </w:r>
    </w:p>
    <w:p w14:paraId="21AA042A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ascii="Times New Roman" w:hAnsi="Times New Roman" w:eastAsia="楷体" w:cs="Times New Roman"/>
          <w:sz w:val="32"/>
          <w:szCs w:val="32"/>
          <w:highlight w:val="none"/>
        </w:rPr>
      </w:pPr>
      <w:r>
        <w:rPr>
          <w:rFonts w:ascii="Times New Roman" w:hAnsi="Times New Roman" w:eastAsia="楷体" w:cs="Times New Roman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>）结果应用建议</w:t>
      </w:r>
    </w:p>
    <w:p w14:paraId="2523066F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zh-TW"/>
        </w:rPr>
        <w:t>建议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zh-TW" w:eastAsia="zh-CN"/>
        </w:rPr>
        <w:t>大同市财政局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zh-TW"/>
        </w:rPr>
        <w:t>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“绩效评价结果反馈告知书”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zh-TW"/>
        </w:rPr>
        <w:t>的形式，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将评价结果、存在问题及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zh-TW"/>
        </w:rPr>
        <w:t>相关建议及时反馈给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大同市园林绿化中心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。</w:t>
      </w:r>
    </w:p>
    <w:p w14:paraId="1B3031B6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2.建议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zh-TW" w:eastAsia="zh-CN"/>
        </w:rPr>
        <w:t>大同市财政局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加强对绩效目标的审核工作。</w:t>
      </w:r>
    </w:p>
    <w:p w14:paraId="289E226D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3.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zh-TW"/>
        </w:rPr>
        <w:t>建议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zh-TW" w:eastAsia="zh-CN"/>
        </w:rPr>
        <w:t>大同市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zh-TW" w:eastAsia="zh-CN"/>
        </w:rPr>
        <w:t>财政局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全过程监控预算资金执行情况，及时督促预算部门支付进度，从而提高财政资金使用效益。</w:t>
      </w:r>
    </w:p>
    <w:p w14:paraId="1B0AF00B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六</w:t>
      </w:r>
      <w:r>
        <w:rPr>
          <w:rFonts w:ascii="Times New Roman" w:hAnsi="Times New Roman" w:eastAsia="黑体" w:cs="Times New Roman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其他需说明的问题</w:t>
      </w:r>
    </w:p>
    <w:p w14:paraId="6ADAB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无。</w:t>
      </w:r>
    </w:p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p w14:paraId="193D0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A3268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F42696">
                          <w:pPr>
                            <w:pStyle w:val="10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- 45 -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aJO4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G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7aJO4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F42696">
                    <w:pPr>
                      <w:pStyle w:val="10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- 45 -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A7BB6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A276E7">
                          <w:pPr>
                            <w:pStyle w:val="1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ptGXY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1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ptGXY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A276E7">
                    <w:pPr>
                      <w:pStyle w:val="1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E744F">
    <w:pPr>
      <w:pStyle w:val="11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autoSpaceDE/>
      <w:autoSpaceDN/>
      <w:bidi w:val="0"/>
      <w:adjustRightInd w:val="0"/>
      <w:snapToGrid w:val="0"/>
      <w:spacing w:line="240" w:lineRule="auto"/>
      <w:ind w:left="0" w:leftChars="0" w:firstLine="0" w:firstLineChars="0"/>
      <w:jc w:val="center"/>
      <w:textAlignment w:val="auto"/>
      <w:rPr>
        <w:rFonts w:hint="eastAsia" w:ascii="仿宋_GB2312" w:hAnsi="仿宋_GB2312" w:eastAsia="仿宋_GB2312" w:cs="仿宋_GB2312"/>
        <w:sz w:val="18"/>
        <w:szCs w:val="18"/>
        <w:lang w:val="en-US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B19D3">
    <w:pPr>
      <w:pStyle w:val="11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C5121">
    <w:pPr>
      <w:pStyle w:val="11"/>
      <w:keepNext w:val="0"/>
      <w:keepLines w:val="0"/>
      <w:pageBreakBefore w:val="0"/>
      <w:widowControl w:val="0"/>
      <w:pBdr>
        <w:bottom w:val="thickThinSmallGap" w:color="auto" w:sz="12" w:space="1"/>
      </w:pBdr>
      <w:kinsoku/>
      <w:wordWrap/>
      <w:overflowPunct/>
      <w:topLinePunct w:val="0"/>
      <w:autoSpaceDE/>
      <w:autoSpaceDN/>
      <w:bidi w:val="0"/>
      <w:adjustRightInd w:val="0"/>
      <w:snapToGrid w:val="0"/>
      <w:spacing w:line="240" w:lineRule="auto"/>
      <w:ind w:left="0" w:leftChars="0" w:firstLine="0" w:firstLineChars="0"/>
      <w:jc w:val="center"/>
      <w:textAlignment w:val="auto"/>
      <w:rPr>
        <w:rFonts w:hint="eastAsia" w:ascii="仿宋_GB2312" w:hAnsi="仿宋_GB2312" w:eastAsia="仿宋_GB2312" w:cs="仿宋_GB2312"/>
        <w:sz w:val="18"/>
        <w:szCs w:val="18"/>
        <w:lang w:val="en-US" w:eastAsia="zh-CN"/>
      </w:rPr>
    </w:pPr>
    <w:r>
      <w:rPr>
        <w:rFonts w:hint="eastAsia" w:ascii="仿宋_GB2312" w:hAnsi="仿宋_GB2312" w:eastAsia="仿宋_GB2312" w:cs="仿宋_GB2312"/>
        <w:lang w:eastAsia="zh-CN"/>
      </w:rPr>
      <w:t>大同市园林绿化中心</w:t>
    </w:r>
    <w:r>
      <w:rPr>
        <w:rFonts w:hint="eastAsia" w:ascii="仿宋_GB2312" w:hAnsi="仿宋_GB2312" w:eastAsia="仿宋_GB2312" w:cs="仿宋_GB2312"/>
      </w:rPr>
      <w:t>2020年度部门整体支出绩效评价</w:t>
    </w:r>
    <w:r>
      <w:rPr>
        <w:rFonts w:hint="eastAsia" w:ascii="仿宋_GB2312" w:hAnsi="仿宋_GB2312" w:eastAsia="仿宋_GB2312" w:cs="仿宋_GB2312"/>
        <w:lang w:val="en-US" w:eastAsia="zh-CN"/>
      </w:rPr>
      <w:t xml:space="preserve">报告                                                                                     </w:t>
    </w:r>
    <w:r>
      <w:rPr>
        <w:rFonts w:hint="eastAsia" w:ascii="仿宋_GB2312" w:hAnsi="仿宋_GB2312" w:eastAsia="仿宋_GB2312" w:cs="仿宋_GB2312"/>
      </w:rPr>
      <w:t xml:space="preserve">   </w:t>
    </w:r>
    <w:r>
      <w:rPr>
        <w:sz w:val="21"/>
      </w:rPr>
      <w:drawing>
        <wp:inline distT="0" distB="0" distL="114300" distR="114300">
          <wp:extent cx="775970" cy="233680"/>
          <wp:effectExtent l="0" t="0" r="5080" b="13970"/>
          <wp:docPr id="55" name="图片 55" descr="6bb0ec238368bb0fecf4fa2d8ad82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图片 55" descr="6bb0ec238368bb0fecf4fa2d8ad82cb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970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DE47B">
    <w:pPr>
      <w:pStyle w:val="11"/>
      <w:pBdr>
        <w:bottom w:val="thickThinSmallGap" w:color="auto" w:sz="12" w:space="1"/>
      </w:pBdr>
      <w:adjustRightInd w:val="0"/>
      <w:rPr>
        <w:rFonts w:hint="eastAsia" w:ascii="仿宋_GB2312" w:hAnsi="仿宋_GB2312" w:eastAsia="仿宋_GB2312" w:cs="仿宋_GB2312"/>
        <w:highlight w:val="yellow"/>
        <w:lang w:eastAsia="zh-CN"/>
      </w:rPr>
    </w:pPr>
    <w:r>
      <w:rPr>
        <w:sz w:val="21"/>
      </w:rPr>
      <w:drawing>
        <wp:inline distT="0" distB="0" distL="114300" distR="114300">
          <wp:extent cx="775970" cy="233680"/>
          <wp:effectExtent l="0" t="0" r="5080" b="13970"/>
          <wp:docPr id="57" name="图片 57" descr="6bb0ec238368bb0fecf4fa2d8ad82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图片 57" descr="6bb0ec238368bb0fecf4fa2d8ad82cb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970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1"/>
      </w:rPr>
      <w:t xml:space="preserve">     </w:t>
    </w:r>
    <w:r>
      <w:rPr>
        <w:rFonts w:hint="eastAsia"/>
        <w:sz w:val="21"/>
        <w:lang w:val="en-US" w:eastAsia="zh-CN"/>
      </w:rPr>
      <w:t xml:space="preserve">                       </w:t>
    </w:r>
    <w:r>
      <w:rPr>
        <w:rFonts w:hint="eastAsia"/>
        <w:sz w:val="21"/>
      </w:rPr>
      <w:t xml:space="preserve"> </w:t>
    </w:r>
    <w:r>
      <w:rPr>
        <w:rFonts w:hint="eastAsia" w:ascii="仿宋_GB2312" w:hAnsi="仿宋_GB2312" w:eastAsia="仿宋_GB2312" w:cs="仿宋_GB2312"/>
        <w:lang w:eastAsia="zh-CN"/>
      </w:rPr>
      <w:t>大同市园林绿化中心</w:t>
    </w:r>
    <w:r>
      <w:rPr>
        <w:rFonts w:hint="eastAsia" w:ascii="仿宋_GB2312" w:hAnsi="仿宋_GB2312" w:eastAsia="仿宋_GB2312" w:cs="仿宋_GB2312"/>
      </w:rPr>
      <w:t>2020年度部门整体支出绩效评价</w:t>
    </w:r>
    <w:r>
      <w:rPr>
        <w:rFonts w:hint="eastAsia" w:ascii="仿宋_GB2312" w:hAnsi="仿宋_GB2312" w:eastAsia="仿宋_GB2312" w:cs="仿宋_GB2312"/>
        <w:lang w:val="en-US" w:eastAsia="zh-CN"/>
      </w:rPr>
      <w:t>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kMTE1NWU2NzRmNzNlNDBiM2JiYTAzNjI4NjMyYzUifQ=="/>
  </w:docVars>
  <w:rsids>
    <w:rsidRoot w:val="3B6528D9"/>
    <w:rsid w:val="006C1314"/>
    <w:rsid w:val="00B02775"/>
    <w:rsid w:val="00F3018F"/>
    <w:rsid w:val="014F4EE2"/>
    <w:rsid w:val="019C3300"/>
    <w:rsid w:val="02133DEC"/>
    <w:rsid w:val="02230A80"/>
    <w:rsid w:val="02946BA3"/>
    <w:rsid w:val="02D908B3"/>
    <w:rsid w:val="02E202A4"/>
    <w:rsid w:val="030D12F1"/>
    <w:rsid w:val="03730981"/>
    <w:rsid w:val="0386376C"/>
    <w:rsid w:val="03BB6912"/>
    <w:rsid w:val="03F85501"/>
    <w:rsid w:val="04360DF8"/>
    <w:rsid w:val="0456256D"/>
    <w:rsid w:val="0473546F"/>
    <w:rsid w:val="04FE24E7"/>
    <w:rsid w:val="052E64B1"/>
    <w:rsid w:val="059F1A69"/>
    <w:rsid w:val="05E4155D"/>
    <w:rsid w:val="0607149D"/>
    <w:rsid w:val="061B792C"/>
    <w:rsid w:val="06394610"/>
    <w:rsid w:val="06F60D59"/>
    <w:rsid w:val="076648ED"/>
    <w:rsid w:val="07711CC0"/>
    <w:rsid w:val="0819178F"/>
    <w:rsid w:val="08703B7E"/>
    <w:rsid w:val="089C21C9"/>
    <w:rsid w:val="08E845B3"/>
    <w:rsid w:val="09607025"/>
    <w:rsid w:val="09BE0571"/>
    <w:rsid w:val="09F743B5"/>
    <w:rsid w:val="09FB6AB9"/>
    <w:rsid w:val="0A5508E8"/>
    <w:rsid w:val="0A6F38B0"/>
    <w:rsid w:val="0A8E303A"/>
    <w:rsid w:val="0AD336DB"/>
    <w:rsid w:val="0AD657F2"/>
    <w:rsid w:val="0AEA41B6"/>
    <w:rsid w:val="0AED6883"/>
    <w:rsid w:val="0AF71FD7"/>
    <w:rsid w:val="0BCD0559"/>
    <w:rsid w:val="0BEC72C1"/>
    <w:rsid w:val="0BF80103"/>
    <w:rsid w:val="0C281586"/>
    <w:rsid w:val="0C2E4AE1"/>
    <w:rsid w:val="0C3F5488"/>
    <w:rsid w:val="0C851273"/>
    <w:rsid w:val="0CB01F45"/>
    <w:rsid w:val="0CC22BC4"/>
    <w:rsid w:val="0CEF544D"/>
    <w:rsid w:val="0E1B3803"/>
    <w:rsid w:val="0E267CF1"/>
    <w:rsid w:val="0E7263E5"/>
    <w:rsid w:val="0E735E0F"/>
    <w:rsid w:val="0EE03A97"/>
    <w:rsid w:val="0F1550B4"/>
    <w:rsid w:val="0F2652BC"/>
    <w:rsid w:val="0F9545E4"/>
    <w:rsid w:val="10417F07"/>
    <w:rsid w:val="1046776D"/>
    <w:rsid w:val="10EC16F0"/>
    <w:rsid w:val="117F6ACF"/>
    <w:rsid w:val="11A04688"/>
    <w:rsid w:val="12990CD7"/>
    <w:rsid w:val="12A33C61"/>
    <w:rsid w:val="12C220CE"/>
    <w:rsid w:val="135E788B"/>
    <w:rsid w:val="139A175E"/>
    <w:rsid w:val="13DC4F54"/>
    <w:rsid w:val="13FC3C2C"/>
    <w:rsid w:val="141878CA"/>
    <w:rsid w:val="14372AC3"/>
    <w:rsid w:val="14A96CFE"/>
    <w:rsid w:val="14BB03CC"/>
    <w:rsid w:val="14E55046"/>
    <w:rsid w:val="150652C0"/>
    <w:rsid w:val="152B4DD4"/>
    <w:rsid w:val="152E0E46"/>
    <w:rsid w:val="15C504BA"/>
    <w:rsid w:val="15C90FD3"/>
    <w:rsid w:val="16051CB7"/>
    <w:rsid w:val="16414179"/>
    <w:rsid w:val="16E052ED"/>
    <w:rsid w:val="17052EDA"/>
    <w:rsid w:val="1705396C"/>
    <w:rsid w:val="17235ED7"/>
    <w:rsid w:val="175E5011"/>
    <w:rsid w:val="179A3522"/>
    <w:rsid w:val="17A57E52"/>
    <w:rsid w:val="17B02080"/>
    <w:rsid w:val="17C520DA"/>
    <w:rsid w:val="17C81ABE"/>
    <w:rsid w:val="17F03F28"/>
    <w:rsid w:val="181B013D"/>
    <w:rsid w:val="183068D7"/>
    <w:rsid w:val="187416D2"/>
    <w:rsid w:val="18C72111"/>
    <w:rsid w:val="18DF3ACC"/>
    <w:rsid w:val="190E1142"/>
    <w:rsid w:val="190E7FD7"/>
    <w:rsid w:val="19EC1971"/>
    <w:rsid w:val="1A0A6365"/>
    <w:rsid w:val="1A636506"/>
    <w:rsid w:val="1B2F5AFA"/>
    <w:rsid w:val="1BA70DE4"/>
    <w:rsid w:val="1BBD41FA"/>
    <w:rsid w:val="1C3A6010"/>
    <w:rsid w:val="1C3F5FAC"/>
    <w:rsid w:val="1CC06FD4"/>
    <w:rsid w:val="1CE67087"/>
    <w:rsid w:val="1D2E3476"/>
    <w:rsid w:val="1DEE2CB5"/>
    <w:rsid w:val="1E377349"/>
    <w:rsid w:val="1E8A25BF"/>
    <w:rsid w:val="1EAD2E25"/>
    <w:rsid w:val="1EBC5DA9"/>
    <w:rsid w:val="1EEA3B63"/>
    <w:rsid w:val="1EF37C16"/>
    <w:rsid w:val="1F787234"/>
    <w:rsid w:val="1F862F3D"/>
    <w:rsid w:val="1F896DCE"/>
    <w:rsid w:val="1FD92FBB"/>
    <w:rsid w:val="1FF006CA"/>
    <w:rsid w:val="20354616"/>
    <w:rsid w:val="20B14B9F"/>
    <w:rsid w:val="20FF0767"/>
    <w:rsid w:val="210068FF"/>
    <w:rsid w:val="215B4409"/>
    <w:rsid w:val="216453BD"/>
    <w:rsid w:val="21886BDF"/>
    <w:rsid w:val="218F202C"/>
    <w:rsid w:val="21DF60B7"/>
    <w:rsid w:val="22036F71"/>
    <w:rsid w:val="228C0480"/>
    <w:rsid w:val="22F76603"/>
    <w:rsid w:val="230D5724"/>
    <w:rsid w:val="234E7149"/>
    <w:rsid w:val="237534C5"/>
    <w:rsid w:val="237B66EE"/>
    <w:rsid w:val="23B96707"/>
    <w:rsid w:val="23E2513C"/>
    <w:rsid w:val="241B11EE"/>
    <w:rsid w:val="245B59B9"/>
    <w:rsid w:val="247925B6"/>
    <w:rsid w:val="24FD6739"/>
    <w:rsid w:val="250957A9"/>
    <w:rsid w:val="250A74FC"/>
    <w:rsid w:val="25187485"/>
    <w:rsid w:val="252C1739"/>
    <w:rsid w:val="25700887"/>
    <w:rsid w:val="25AD15FB"/>
    <w:rsid w:val="25F93B2A"/>
    <w:rsid w:val="26100E59"/>
    <w:rsid w:val="261D56B4"/>
    <w:rsid w:val="262236B0"/>
    <w:rsid w:val="26410582"/>
    <w:rsid w:val="26447205"/>
    <w:rsid w:val="26482C90"/>
    <w:rsid w:val="26943AD2"/>
    <w:rsid w:val="26FE014A"/>
    <w:rsid w:val="27030C46"/>
    <w:rsid w:val="27335B8A"/>
    <w:rsid w:val="279668C8"/>
    <w:rsid w:val="27BB696D"/>
    <w:rsid w:val="27EB2370"/>
    <w:rsid w:val="284C416E"/>
    <w:rsid w:val="28BD7FA6"/>
    <w:rsid w:val="292145A7"/>
    <w:rsid w:val="297A6A20"/>
    <w:rsid w:val="29CA3590"/>
    <w:rsid w:val="29E66621"/>
    <w:rsid w:val="2A0B2A90"/>
    <w:rsid w:val="2A0F7A86"/>
    <w:rsid w:val="2A3738E8"/>
    <w:rsid w:val="2A70711A"/>
    <w:rsid w:val="2A786B5D"/>
    <w:rsid w:val="2A8B3114"/>
    <w:rsid w:val="2BA07CCD"/>
    <w:rsid w:val="2BDA0204"/>
    <w:rsid w:val="2BF23D2C"/>
    <w:rsid w:val="2C07246D"/>
    <w:rsid w:val="2C0922C2"/>
    <w:rsid w:val="2C24082D"/>
    <w:rsid w:val="2C5E5DFD"/>
    <w:rsid w:val="2C8F3ACB"/>
    <w:rsid w:val="2CCA350F"/>
    <w:rsid w:val="2CD7539B"/>
    <w:rsid w:val="2D222A83"/>
    <w:rsid w:val="2D5308F7"/>
    <w:rsid w:val="2D6974B9"/>
    <w:rsid w:val="2D6A5E60"/>
    <w:rsid w:val="2DD451F8"/>
    <w:rsid w:val="2E0D395D"/>
    <w:rsid w:val="2E30479B"/>
    <w:rsid w:val="2E662A07"/>
    <w:rsid w:val="2EEA3C5D"/>
    <w:rsid w:val="2F2D0D49"/>
    <w:rsid w:val="2F487032"/>
    <w:rsid w:val="2F4F67A4"/>
    <w:rsid w:val="2F5F3224"/>
    <w:rsid w:val="2F6861EE"/>
    <w:rsid w:val="2F7A4C0A"/>
    <w:rsid w:val="2FE3676E"/>
    <w:rsid w:val="30536627"/>
    <w:rsid w:val="30582FEC"/>
    <w:rsid w:val="30673083"/>
    <w:rsid w:val="30734E9E"/>
    <w:rsid w:val="30DB5DEF"/>
    <w:rsid w:val="311B25B1"/>
    <w:rsid w:val="31C71DD1"/>
    <w:rsid w:val="31D92DC3"/>
    <w:rsid w:val="3208404E"/>
    <w:rsid w:val="323B3645"/>
    <w:rsid w:val="32452C26"/>
    <w:rsid w:val="325A699A"/>
    <w:rsid w:val="33143D26"/>
    <w:rsid w:val="337C2823"/>
    <w:rsid w:val="33840983"/>
    <w:rsid w:val="33C33870"/>
    <w:rsid w:val="33D35CC9"/>
    <w:rsid w:val="33F25C73"/>
    <w:rsid w:val="344033DF"/>
    <w:rsid w:val="34467344"/>
    <w:rsid w:val="34543BAC"/>
    <w:rsid w:val="34666071"/>
    <w:rsid w:val="34892CCA"/>
    <w:rsid w:val="3521731D"/>
    <w:rsid w:val="352647A4"/>
    <w:rsid w:val="360D21EE"/>
    <w:rsid w:val="3618166F"/>
    <w:rsid w:val="3618453D"/>
    <w:rsid w:val="369148C6"/>
    <w:rsid w:val="37186AE2"/>
    <w:rsid w:val="371904A0"/>
    <w:rsid w:val="37BA5169"/>
    <w:rsid w:val="37BC1D5E"/>
    <w:rsid w:val="37D75FB2"/>
    <w:rsid w:val="384F66C9"/>
    <w:rsid w:val="389A0229"/>
    <w:rsid w:val="38B24419"/>
    <w:rsid w:val="38E75758"/>
    <w:rsid w:val="395305E7"/>
    <w:rsid w:val="395947EA"/>
    <w:rsid w:val="39EE0317"/>
    <w:rsid w:val="39F00639"/>
    <w:rsid w:val="3A094CE5"/>
    <w:rsid w:val="3A0F6F28"/>
    <w:rsid w:val="3A654E65"/>
    <w:rsid w:val="3A89239C"/>
    <w:rsid w:val="3AC750AF"/>
    <w:rsid w:val="3ADE2318"/>
    <w:rsid w:val="3B154035"/>
    <w:rsid w:val="3B240E45"/>
    <w:rsid w:val="3B346040"/>
    <w:rsid w:val="3B560828"/>
    <w:rsid w:val="3B5C0ACC"/>
    <w:rsid w:val="3B6528D9"/>
    <w:rsid w:val="3B6E0C48"/>
    <w:rsid w:val="3B980648"/>
    <w:rsid w:val="3C094273"/>
    <w:rsid w:val="3C681BE4"/>
    <w:rsid w:val="3C840706"/>
    <w:rsid w:val="3CAA0310"/>
    <w:rsid w:val="3CF33546"/>
    <w:rsid w:val="3D99607D"/>
    <w:rsid w:val="3DD7265F"/>
    <w:rsid w:val="3E4A738C"/>
    <w:rsid w:val="3E53301B"/>
    <w:rsid w:val="3E567113"/>
    <w:rsid w:val="3EC20F97"/>
    <w:rsid w:val="3EF26EFE"/>
    <w:rsid w:val="3F312CF5"/>
    <w:rsid w:val="3F755A29"/>
    <w:rsid w:val="3FDC5F57"/>
    <w:rsid w:val="4016564E"/>
    <w:rsid w:val="40295846"/>
    <w:rsid w:val="4047739D"/>
    <w:rsid w:val="40A92DB5"/>
    <w:rsid w:val="40C41334"/>
    <w:rsid w:val="40F97943"/>
    <w:rsid w:val="40FE1BF7"/>
    <w:rsid w:val="416D29BA"/>
    <w:rsid w:val="418261B9"/>
    <w:rsid w:val="419A06CC"/>
    <w:rsid w:val="419F6418"/>
    <w:rsid w:val="41E80C6A"/>
    <w:rsid w:val="42273AFB"/>
    <w:rsid w:val="422E0871"/>
    <w:rsid w:val="426E2271"/>
    <w:rsid w:val="4287665A"/>
    <w:rsid w:val="429E6625"/>
    <w:rsid w:val="4321728E"/>
    <w:rsid w:val="43280576"/>
    <w:rsid w:val="435E303F"/>
    <w:rsid w:val="43755A74"/>
    <w:rsid w:val="43AC5FBD"/>
    <w:rsid w:val="43C1024F"/>
    <w:rsid w:val="440D122B"/>
    <w:rsid w:val="44530FE6"/>
    <w:rsid w:val="446F31BC"/>
    <w:rsid w:val="44884901"/>
    <w:rsid w:val="44A555BB"/>
    <w:rsid w:val="44CB74A4"/>
    <w:rsid w:val="44DB60A7"/>
    <w:rsid w:val="45344DE5"/>
    <w:rsid w:val="4540293B"/>
    <w:rsid w:val="45414B68"/>
    <w:rsid w:val="459C1EB9"/>
    <w:rsid w:val="45B61017"/>
    <w:rsid w:val="45E063C0"/>
    <w:rsid w:val="45E43C62"/>
    <w:rsid w:val="45ED5285"/>
    <w:rsid w:val="45EE269E"/>
    <w:rsid w:val="45FE6F8D"/>
    <w:rsid w:val="46426ABA"/>
    <w:rsid w:val="466C21B2"/>
    <w:rsid w:val="468C6BBB"/>
    <w:rsid w:val="46BC64E8"/>
    <w:rsid w:val="46FD1349"/>
    <w:rsid w:val="470F012B"/>
    <w:rsid w:val="474A488F"/>
    <w:rsid w:val="475309D5"/>
    <w:rsid w:val="47B67FE4"/>
    <w:rsid w:val="48134487"/>
    <w:rsid w:val="4813618D"/>
    <w:rsid w:val="48790A91"/>
    <w:rsid w:val="487A5773"/>
    <w:rsid w:val="48A4734D"/>
    <w:rsid w:val="48C634DD"/>
    <w:rsid w:val="48DD3F5A"/>
    <w:rsid w:val="49186259"/>
    <w:rsid w:val="49367EAF"/>
    <w:rsid w:val="49943D14"/>
    <w:rsid w:val="4A7311F9"/>
    <w:rsid w:val="4AB632F3"/>
    <w:rsid w:val="4AB94286"/>
    <w:rsid w:val="4B56725F"/>
    <w:rsid w:val="4B596C3E"/>
    <w:rsid w:val="4BCD5B90"/>
    <w:rsid w:val="4BDB5150"/>
    <w:rsid w:val="4BF61380"/>
    <w:rsid w:val="4C2D4B7F"/>
    <w:rsid w:val="4C4902A0"/>
    <w:rsid w:val="4C493666"/>
    <w:rsid w:val="4C53082E"/>
    <w:rsid w:val="4C8F37F2"/>
    <w:rsid w:val="4CA7220F"/>
    <w:rsid w:val="4D1F23D2"/>
    <w:rsid w:val="4D994DD6"/>
    <w:rsid w:val="4DD90D27"/>
    <w:rsid w:val="4EB47078"/>
    <w:rsid w:val="4F086D8E"/>
    <w:rsid w:val="4F5348D7"/>
    <w:rsid w:val="4F6845C1"/>
    <w:rsid w:val="500D1C28"/>
    <w:rsid w:val="500E6884"/>
    <w:rsid w:val="507D18EE"/>
    <w:rsid w:val="50D80D18"/>
    <w:rsid w:val="50F6290E"/>
    <w:rsid w:val="50FF7254"/>
    <w:rsid w:val="51266E60"/>
    <w:rsid w:val="515F3D59"/>
    <w:rsid w:val="51704478"/>
    <w:rsid w:val="518B4AE5"/>
    <w:rsid w:val="518D4A6F"/>
    <w:rsid w:val="524725F2"/>
    <w:rsid w:val="52622D07"/>
    <w:rsid w:val="52BA6848"/>
    <w:rsid w:val="52EF4926"/>
    <w:rsid w:val="533C4C1B"/>
    <w:rsid w:val="535722C7"/>
    <w:rsid w:val="53583D69"/>
    <w:rsid w:val="536A2644"/>
    <w:rsid w:val="539A1DD7"/>
    <w:rsid w:val="53C42D25"/>
    <w:rsid w:val="53C74593"/>
    <w:rsid w:val="53E44D55"/>
    <w:rsid w:val="53E52B60"/>
    <w:rsid w:val="54372B81"/>
    <w:rsid w:val="54665ED8"/>
    <w:rsid w:val="549C419B"/>
    <w:rsid w:val="54C63A4F"/>
    <w:rsid w:val="54C84E66"/>
    <w:rsid w:val="5503768A"/>
    <w:rsid w:val="55C3388B"/>
    <w:rsid w:val="55C6455C"/>
    <w:rsid w:val="5644367E"/>
    <w:rsid w:val="565977FD"/>
    <w:rsid w:val="56A86C7B"/>
    <w:rsid w:val="56C3480D"/>
    <w:rsid w:val="56C8089F"/>
    <w:rsid w:val="57155BC0"/>
    <w:rsid w:val="5726582D"/>
    <w:rsid w:val="57481D52"/>
    <w:rsid w:val="57AD4F73"/>
    <w:rsid w:val="57E46F5F"/>
    <w:rsid w:val="57EE135A"/>
    <w:rsid w:val="57F41AF9"/>
    <w:rsid w:val="57FA6814"/>
    <w:rsid w:val="58BB0F5B"/>
    <w:rsid w:val="58C45EFF"/>
    <w:rsid w:val="58D85B63"/>
    <w:rsid w:val="594B20C6"/>
    <w:rsid w:val="59824F8F"/>
    <w:rsid w:val="59B25B64"/>
    <w:rsid w:val="59B90C32"/>
    <w:rsid w:val="59BB1935"/>
    <w:rsid w:val="59CE1D9F"/>
    <w:rsid w:val="59D265DD"/>
    <w:rsid w:val="59DC7153"/>
    <w:rsid w:val="5ADF1420"/>
    <w:rsid w:val="5B1C6911"/>
    <w:rsid w:val="5B34432F"/>
    <w:rsid w:val="5B7124E5"/>
    <w:rsid w:val="5B8B346B"/>
    <w:rsid w:val="5C3A5FC7"/>
    <w:rsid w:val="5CCF011E"/>
    <w:rsid w:val="5D993888"/>
    <w:rsid w:val="5DD77A47"/>
    <w:rsid w:val="5E49375F"/>
    <w:rsid w:val="5EFF3BDB"/>
    <w:rsid w:val="5F34658E"/>
    <w:rsid w:val="5FA40A55"/>
    <w:rsid w:val="5FB30930"/>
    <w:rsid w:val="5FB655BC"/>
    <w:rsid w:val="5FB659D6"/>
    <w:rsid w:val="5FF47032"/>
    <w:rsid w:val="601B7EF8"/>
    <w:rsid w:val="60291E8C"/>
    <w:rsid w:val="602F3FE8"/>
    <w:rsid w:val="60B776EC"/>
    <w:rsid w:val="60D74E47"/>
    <w:rsid w:val="60EF5737"/>
    <w:rsid w:val="61096E53"/>
    <w:rsid w:val="620E1AD7"/>
    <w:rsid w:val="622F10D5"/>
    <w:rsid w:val="62443316"/>
    <w:rsid w:val="624756BD"/>
    <w:rsid w:val="6259640E"/>
    <w:rsid w:val="62733FFE"/>
    <w:rsid w:val="62AA5967"/>
    <w:rsid w:val="63806839"/>
    <w:rsid w:val="63BC3C18"/>
    <w:rsid w:val="6431049A"/>
    <w:rsid w:val="644C1945"/>
    <w:rsid w:val="645649CC"/>
    <w:rsid w:val="645667E8"/>
    <w:rsid w:val="64965AB2"/>
    <w:rsid w:val="64E66719"/>
    <w:rsid w:val="65260B48"/>
    <w:rsid w:val="65607A47"/>
    <w:rsid w:val="65B751F1"/>
    <w:rsid w:val="667116C6"/>
    <w:rsid w:val="668037BB"/>
    <w:rsid w:val="669D0046"/>
    <w:rsid w:val="66FB7094"/>
    <w:rsid w:val="67370046"/>
    <w:rsid w:val="67557821"/>
    <w:rsid w:val="67805247"/>
    <w:rsid w:val="682B1100"/>
    <w:rsid w:val="6904655A"/>
    <w:rsid w:val="69144C30"/>
    <w:rsid w:val="69373296"/>
    <w:rsid w:val="695A27C9"/>
    <w:rsid w:val="69671AE9"/>
    <w:rsid w:val="69793728"/>
    <w:rsid w:val="698B53F9"/>
    <w:rsid w:val="69AB4BA1"/>
    <w:rsid w:val="69B32F51"/>
    <w:rsid w:val="69E459F1"/>
    <w:rsid w:val="6A7B5D9C"/>
    <w:rsid w:val="6AA02966"/>
    <w:rsid w:val="6ABF01BB"/>
    <w:rsid w:val="6AC662B1"/>
    <w:rsid w:val="6ADE0447"/>
    <w:rsid w:val="6B0420B2"/>
    <w:rsid w:val="6B2043BB"/>
    <w:rsid w:val="6B2A26D7"/>
    <w:rsid w:val="6BB501B2"/>
    <w:rsid w:val="6BBE1699"/>
    <w:rsid w:val="6BDB073C"/>
    <w:rsid w:val="6C0C5161"/>
    <w:rsid w:val="6CE94DC2"/>
    <w:rsid w:val="6CFB5AD8"/>
    <w:rsid w:val="6D056818"/>
    <w:rsid w:val="6D525A5F"/>
    <w:rsid w:val="6D5B2A43"/>
    <w:rsid w:val="6D5F2D7D"/>
    <w:rsid w:val="6E160952"/>
    <w:rsid w:val="6ED616F0"/>
    <w:rsid w:val="6EEB61DE"/>
    <w:rsid w:val="6F4F5877"/>
    <w:rsid w:val="6FF1113F"/>
    <w:rsid w:val="700058EE"/>
    <w:rsid w:val="701B7D52"/>
    <w:rsid w:val="703A29FF"/>
    <w:rsid w:val="704A3CFE"/>
    <w:rsid w:val="70BD2370"/>
    <w:rsid w:val="71883188"/>
    <w:rsid w:val="71901DD3"/>
    <w:rsid w:val="71CF1AF8"/>
    <w:rsid w:val="71FC17F4"/>
    <w:rsid w:val="723A23C3"/>
    <w:rsid w:val="723D1888"/>
    <w:rsid w:val="725E4CB3"/>
    <w:rsid w:val="72C63BA8"/>
    <w:rsid w:val="72D67ED7"/>
    <w:rsid w:val="72F541BB"/>
    <w:rsid w:val="73D15AA1"/>
    <w:rsid w:val="73DB7A3F"/>
    <w:rsid w:val="742427BF"/>
    <w:rsid w:val="744557D4"/>
    <w:rsid w:val="747550E4"/>
    <w:rsid w:val="7621426B"/>
    <w:rsid w:val="76915D81"/>
    <w:rsid w:val="76D67AE9"/>
    <w:rsid w:val="770F482D"/>
    <w:rsid w:val="774C372C"/>
    <w:rsid w:val="77763277"/>
    <w:rsid w:val="777E4C15"/>
    <w:rsid w:val="78014E13"/>
    <w:rsid w:val="780643C0"/>
    <w:rsid w:val="785B311D"/>
    <w:rsid w:val="785F6450"/>
    <w:rsid w:val="786A2105"/>
    <w:rsid w:val="788D0D45"/>
    <w:rsid w:val="788D3718"/>
    <w:rsid w:val="788F2292"/>
    <w:rsid w:val="7891072A"/>
    <w:rsid w:val="78AF3110"/>
    <w:rsid w:val="78BA01C9"/>
    <w:rsid w:val="78C433FC"/>
    <w:rsid w:val="78D24E59"/>
    <w:rsid w:val="78DD014C"/>
    <w:rsid w:val="78F34CFB"/>
    <w:rsid w:val="78FF641D"/>
    <w:rsid w:val="790A76A8"/>
    <w:rsid w:val="792638CF"/>
    <w:rsid w:val="7963339E"/>
    <w:rsid w:val="7997490D"/>
    <w:rsid w:val="79BC51E6"/>
    <w:rsid w:val="7A281342"/>
    <w:rsid w:val="7A3D546A"/>
    <w:rsid w:val="7A7C1C41"/>
    <w:rsid w:val="7A8270AF"/>
    <w:rsid w:val="7AAB7AE5"/>
    <w:rsid w:val="7ABC0333"/>
    <w:rsid w:val="7B310B42"/>
    <w:rsid w:val="7B425CEC"/>
    <w:rsid w:val="7B581A4F"/>
    <w:rsid w:val="7B58713C"/>
    <w:rsid w:val="7BA023E7"/>
    <w:rsid w:val="7BA44895"/>
    <w:rsid w:val="7BA521C8"/>
    <w:rsid w:val="7BBC3F9D"/>
    <w:rsid w:val="7C0E1AC5"/>
    <w:rsid w:val="7C3D3FF9"/>
    <w:rsid w:val="7C4070EB"/>
    <w:rsid w:val="7C49548E"/>
    <w:rsid w:val="7C7A4BF3"/>
    <w:rsid w:val="7CA30566"/>
    <w:rsid w:val="7CEB6916"/>
    <w:rsid w:val="7CF20D26"/>
    <w:rsid w:val="7D9679EE"/>
    <w:rsid w:val="7DA559AD"/>
    <w:rsid w:val="7DB54EBB"/>
    <w:rsid w:val="7E181856"/>
    <w:rsid w:val="7E453988"/>
    <w:rsid w:val="7E866AE4"/>
    <w:rsid w:val="7ED31F01"/>
    <w:rsid w:val="7F02728E"/>
    <w:rsid w:val="7F141F3F"/>
    <w:rsid w:val="7F2E7889"/>
    <w:rsid w:val="7F9C1336"/>
    <w:rsid w:val="7FB22A49"/>
    <w:rsid w:val="7FD55420"/>
    <w:rsid w:val="7FE7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caption"/>
    <w:basedOn w:val="1"/>
    <w:next w:val="1"/>
    <w:qFormat/>
    <w:uiPriority w:val="35"/>
    <w:rPr>
      <w:rFonts w:ascii="Arial" w:hAnsi="Arial" w:eastAsia="黑体" w:cs="Arial"/>
      <w:sz w:val="20"/>
      <w:szCs w:val="20"/>
    </w:rPr>
  </w:style>
  <w:style w:type="paragraph" w:styleId="5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6">
    <w:name w:val="annotation text"/>
    <w:basedOn w:val="1"/>
    <w:qFormat/>
    <w:uiPriority w:val="0"/>
    <w:pPr>
      <w:spacing w:line="500" w:lineRule="exact"/>
      <w:ind w:firstLine="720" w:firstLineChars="200"/>
      <w:jc w:val="left"/>
    </w:pPr>
    <w:rPr>
      <w:rFonts w:ascii="Times New Roman" w:hAnsi="Times New Roman" w:eastAsia="仿宋_GB2312" w:cs="Times New Roman"/>
      <w:kern w:val="0"/>
      <w:sz w:val="28"/>
      <w:szCs w:val="20"/>
    </w:rPr>
  </w:style>
  <w:style w:type="paragraph" w:styleId="7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8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9">
    <w:name w:val="Plain Text"/>
    <w:basedOn w:val="1"/>
    <w:qFormat/>
    <w:uiPriority w:val="0"/>
    <w:pPr>
      <w:widowControl w:val="0"/>
      <w:spacing w:line="360" w:lineRule="auto"/>
      <w:ind w:firstLine="723" w:firstLineChars="200"/>
    </w:pPr>
    <w:rPr>
      <w:rFonts w:ascii="宋体" w:hAnsi="Courier New" w:eastAsia="宋体" w:cs="Times New Roman"/>
      <w:kern w:val="2"/>
      <w:sz w:val="21"/>
      <w:lang w:val="en-US" w:eastAsia="zh-CN" w:bidi="ar-SA"/>
    </w:rPr>
  </w:style>
  <w:style w:type="paragraph" w:styleId="10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semiHidden/>
    <w:unhideWhenUsed/>
    <w:qFormat/>
    <w:uiPriority w:val="39"/>
  </w:style>
  <w:style w:type="paragraph" w:styleId="13">
    <w:name w:val="toc 2"/>
    <w:basedOn w:val="1"/>
    <w:next w:val="1"/>
    <w:qFormat/>
    <w:uiPriority w:val="0"/>
    <w:pPr>
      <w:ind w:left="420" w:leftChars="200"/>
    </w:pPr>
  </w:style>
  <w:style w:type="paragraph" w:styleId="1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5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 2"/>
    <w:basedOn w:val="8"/>
    <w:unhideWhenUsed/>
    <w:qFormat/>
    <w:uiPriority w:val="99"/>
    <w:pPr>
      <w:ind w:firstLine="420" w:firstLineChars="2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FollowedHyperlink"/>
    <w:basedOn w:val="19"/>
    <w:qFormat/>
    <w:uiPriority w:val="0"/>
    <w:rPr>
      <w:color w:val="333333"/>
      <w:u w:val="none"/>
    </w:rPr>
  </w:style>
  <w:style w:type="character" w:styleId="21">
    <w:name w:val="Emphasis"/>
    <w:basedOn w:val="19"/>
    <w:qFormat/>
    <w:uiPriority w:val="0"/>
    <w:rPr>
      <w:i/>
    </w:rPr>
  </w:style>
  <w:style w:type="character" w:styleId="22">
    <w:name w:val="Hyperlink"/>
    <w:basedOn w:val="19"/>
    <w:qFormat/>
    <w:uiPriority w:val="99"/>
    <w:rPr>
      <w:color w:val="333333"/>
      <w:u w:val="none"/>
    </w:rPr>
  </w:style>
  <w:style w:type="paragraph" w:customStyle="1" w:styleId="23">
    <w:name w:val="Body text|1"/>
    <w:basedOn w:val="1"/>
    <w:qFormat/>
    <w:uiPriority w:val="0"/>
    <w:pPr>
      <w:widowControl w:val="0"/>
      <w:shd w:val="clear" w:color="auto" w:fill="auto"/>
      <w:spacing w:after="180" w:line="391" w:lineRule="auto"/>
      <w:ind w:firstLine="24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24">
    <w:name w:val="font31"/>
    <w:basedOn w:val="1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01"/>
    <w:basedOn w:val="19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paragraph" w:customStyle="1" w:styleId="26">
    <w:name w:val="闻政正文"/>
    <w:qFormat/>
    <w:uiPriority w:val="0"/>
    <w:pPr>
      <w:widowControl w:val="0"/>
      <w:spacing w:line="500" w:lineRule="exact"/>
      <w:ind w:firstLine="560" w:firstLineChars="200"/>
    </w:pPr>
    <w:rPr>
      <w:rFonts w:ascii="Times New Roman" w:hAnsi="Times New Roman" w:eastAsia="仿宋_GB2312" w:cs="Times New Roman"/>
      <w:kern w:val="0"/>
      <w:sz w:val="28"/>
      <w:szCs w:val="28"/>
      <w:lang w:val="en-US" w:eastAsia="zh-CN" w:bidi="ar-SA"/>
    </w:rPr>
  </w:style>
  <w:style w:type="paragraph" w:customStyle="1" w:styleId="27">
    <w:name w:val="List Paragraph"/>
    <w:basedOn w:val="1"/>
    <w:qFormat/>
    <w:uiPriority w:val="34"/>
    <w:pPr>
      <w:ind w:firstLine="420" w:firstLineChars="200"/>
    </w:pPr>
  </w:style>
  <w:style w:type="paragraph" w:customStyle="1" w:styleId="28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9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0">
    <w:name w:val="闻政表"/>
    <w:qFormat/>
    <w:uiPriority w:val="99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spacing w:before="60" w:after="60"/>
      <w:jc w:val="center"/>
    </w:pPr>
    <w:rPr>
      <w:rFonts w:ascii="Arial Unicode MS" w:hAnsi="Arial Unicode MS" w:eastAsia="宋体" w:cs="Arial Unicode MS"/>
      <w:b/>
      <w:bCs/>
      <w:color w:val="000000"/>
      <w:sz w:val="24"/>
      <w:szCs w:val="24"/>
      <w:u w:val="none" w:color="000000"/>
      <w:lang w:val="en-US" w:eastAsia="zh-CN" w:bidi="ar-SA"/>
    </w:rPr>
  </w:style>
  <w:style w:type="paragraph" w:customStyle="1" w:styleId="31">
    <w:name w:val="Table Paragraph"/>
    <w:basedOn w:val="1"/>
    <w:qFormat/>
    <w:uiPriority w:val="1"/>
    <w:pPr>
      <w:jc w:val="center"/>
    </w:pPr>
    <w:rPr>
      <w:rFonts w:ascii="宋体" w:hAnsi="宋体" w:eastAsia="宋体" w:cs="宋体"/>
      <w:lang w:val="zh-CN" w:eastAsia="zh-CN" w:bidi="zh-CN"/>
    </w:rPr>
  </w:style>
  <w:style w:type="character" w:customStyle="1" w:styleId="32">
    <w:name w:val="font4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3">
    <w:name w:val="font21"/>
    <w:basedOn w:val="1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4">
    <w:name w:val="font51"/>
    <w:basedOn w:val="1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5">
    <w:name w:val="font71"/>
    <w:basedOn w:val="1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2445</Words>
  <Characters>2834</Characters>
  <Lines>0</Lines>
  <Paragraphs>0</Paragraphs>
  <TotalTime>30</TotalTime>
  <ScaleCrop>false</ScaleCrop>
  <LinksUpToDate>false</LinksUpToDate>
  <CharactersWithSpaces>2835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2021-07-02T01:52:00Z</dcterms:created>
  <dc:creator>信捷绩效</dc:creator>
  <cp:lastModifiedBy>甜蜜的微笑</cp:lastModifiedBy>
  <cp:lastPrinted>2022-03-16T01:43:00Z</cp:lastPrinted>
  <dcterms:modified xsi:type="dcterms:W3CDTF">2025-11-23T03:35:05Z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3410C0FA26A04E8780BAACF1F954F217</vt:lpwstr>
  </property>
  <property fmtid="{D5CDD505-2E9C-101B-9397-08002B2CF9AE}" pid="4" name="commondata">
    <vt:lpwstr>eyJoZGlkIjoiNDJiNjMyMjQyZGZlYmQxODRiZWQyYWMzNzE0YWUxNGIifQ==</vt:lpwstr>
  </property>
  <property fmtid="{D5CDD505-2E9C-101B-9397-08002B2CF9AE}" pid="5" name="KSOTemplateDocerSaveRecord">
    <vt:lpwstr>eyJoZGlkIjoiYWM3N2VmODg4MjZhZDk2YzkzY2Q2MDhmMGI5YzBiYzUiLCJ1c2VySWQiOiIzMTg1NTAxNTAifQ==</vt:lpwstr>
  </property>
</Properties>
</file>