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center"/>
        <w:rPr>
          <w:rFonts w:ascii="仿宋" w:hAnsi="仿宋" w:eastAsia="仿宋" w:cs="仿宋"/>
          <w:snapToGrid w:val="0"/>
          <w:kern w:val="0"/>
          <w:sz w:val="32"/>
          <w:szCs w:val="32"/>
        </w:rPr>
      </w:pPr>
    </w:p>
    <w:p>
      <w:pPr>
        <w:adjustRightInd w:val="0"/>
        <w:snapToGrid w:val="0"/>
        <w:rPr>
          <w:rFonts w:ascii="仿宋" w:hAnsi="仿宋" w:eastAsia="仿宋" w:cs="仿宋"/>
          <w:b/>
          <w:bCs/>
          <w:szCs w:val="21"/>
        </w:rPr>
      </w:pPr>
    </w:p>
    <w:p>
      <w:pPr>
        <w:adjustRightInd w:val="0"/>
        <w:snapToGrid w:val="0"/>
        <w:rPr>
          <w:rFonts w:ascii="仿宋" w:hAnsi="仿宋" w:eastAsia="仿宋" w:cs="仿宋"/>
          <w:b/>
          <w:bCs/>
          <w:szCs w:val="21"/>
        </w:rPr>
      </w:pPr>
    </w:p>
    <w:p>
      <w:pPr>
        <w:adjustRightInd w:val="0"/>
        <w:snapToGrid w:val="0"/>
        <w:rPr>
          <w:rFonts w:ascii="仿宋" w:hAnsi="仿宋" w:eastAsia="仿宋" w:cs="仿宋"/>
          <w:b/>
          <w:bCs/>
          <w:szCs w:val="21"/>
        </w:rPr>
      </w:pPr>
    </w:p>
    <w:p>
      <w:pPr>
        <w:adjustRightInd w:val="0"/>
        <w:snapToGrid w:val="0"/>
        <w:rPr>
          <w:rFonts w:ascii="仿宋" w:hAnsi="仿宋" w:eastAsia="仿宋" w:cs="仿宋"/>
          <w:b/>
          <w:bCs/>
          <w:szCs w:val="21"/>
        </w:rPr>
      </w:pPr>
    </w:p>
    <w:p>
      <w:pPr>
        <w:adjustRightInd w:val="0"/>
        <w:snapToGrid w:val="0"/>
        <w:rPr>
          <w:rFonts w:ascii="仿宋" w:hAnsi="仿宋" w:eastAsia="仿宋" w:cs="仿宋"/>
          <w:b/>
          <w:bCs/>
          <w:szCs w:val="21"/>
        </w:rPr>
      </w:pPr>
    </w:p>
    <w:p>
      <w:pPr>
        <w:adjustRightInd w:val="0"/>
        <w:snapToGrid w:val="0"/>
        <w:rPr>
          <w:rFonts w:ascii="仿宋" w:hAnsi="仿宋" w:eastAsia="仿宋" w:cs="仿宋"/>
          <w:b/>
          <w:bCs/>
          <w:szCs w:val="21"/>
        </w:rPr>
      </w:pPr>
    </w:p>
    <w:p>
      <w:pPr>
        <w:adjustRightInd w:val="0"/>
        <w:snapToGrid w:val="0"/>
        <w:rPr>
          <w:rFonts w:ascii="仿宋" w:hAnsi="仿宋" w:eastAsia="仿宋" w:cs="仿宋"/>
          <w:b/>
          <w:bCs/>
          <w:szCs w:val="21"/>
        </w:rPr>
      </w:pPr>
    </w:p>
    <w:p>
      <w:pPr>
        <w:widowControl/>
        <w:spacing w:line="604"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2020年大同市市级国有土地出让收入安排的支出（大同陆港租赁补助项目）财政支出项目支出绩效评价报告</w:t>
      </w:r>
    </w:p>
    <w:p>
      <w:pPr>
        <w:adjustRightInd w:val="0"/>
        <w:snapToGrid w:val="0"/>
        <w:rPr>
          <w:rFonts w:ascii="仿宋" w:hAnsi="仿宋" w:eastAsia="仿宋" w:cs="仿宋"/>
          <w:b/>
          <w:bCs/>
          <w:szCs w:val="21"/>
        </w:rPr>
      </w:pPr>
    </w:p>
    <w:p>
      <w:pPr>
        <w:adjustRightInd w:val="0"/>
        <w:snapToGrid w:val="0"/>
        <w:rPr>
          <w:rFonts w:ascii="仿宋" w:hAnsi="仿宋" w:eastAsia="仿宋" w:cs="仿宋"/>
          <w:b/>
          <w:bCs/>
          <w:szCs w:val="21"/>
        </w:rPr>
      </w:pPr>
    </w:p>
    <w:p>
      <w:pPr>
        <w:adjustRightInd w:val="0"/>
        <w:snapToGrid w:val="0"/>
        <w:rPr>
          <w:rFonts w:ascii="仿宋" w:hAnsi="仿宋" w:eastAsia="仿宋" w:cs="仿宋"/>
          <w:b/>
          <w:bCs/>
          <w:szCs w:val="21"/>
        </w:rPr>
      </w:pPr>
    </w:p>
    <w:p>
      <w:pPr>
        <w:adjustRightInd w:val="0"/>
        <w:snapToGrid w:val="0"/>
        <w:ind w:left="420" w:leftChars="200"/>
        <w:rPr>
          <w:rFonts w:ascii="仿宋" w:hAnsi="仿宋" w:eastAsia="仿宋" w:cs="仿宋"/>
          <w:b/>
          <w:bCs/>
          <w:szCs w:val="21"/>
        </w:rPr>
      </w:pPr>
    </w:p>
    <w:p>
      <w:pPr>
        <w:adjustRightInd w:val="0"/>
        <w:snapToGrid w:val="0"/>
        <w:rPr>
          <w:rFonts w:ascii="仿宋" w:hAnsi="仿宋" w:eastAsia="仿宋" w:cs="仿宋"/>
          <w:b/>
          <w:bCs/>
          <w:szCs w:val="21"/>
        </w:rPr>
      </w:pPr>
    </w:p>
    <w:p>
      <w:pPr>
        <w:rPr>
          <w:rFonts w:ascii="仿宋" w:hAnsi="仿宋" w:eastAsia="仿宋" w:cs="仿宋"/>
          <w:b/>
          <w:bCs/>
          <w:szCs w:val="21"/>
        </w:rPr>
      </w:pPr>
    </w:p>
    <w:p>
      <w:pPr>
        <w:ind w:left="420" w:leftChars="200"/>
        <w:rPr>
          <w:rFonts w:ascii="仿宋" w:hAnsi="仿宋" w:eastAsia="仿宋" w:cs="仿宋"/>
          <w:b/>
          <w:bCs/>
          <w:szCs w:val="21"/>
        </w:rPr>
      </w:pPr>
    </w:p>
    <w:p>
      <w:pPr>
        <w:rPr>
          <w:rFonts w:ascii="仿宋" w:hAnsi="仿宋" w:eastAsia="仿宋" w:cs="仿宋"/>
          <w:b/>
          <w:bCs/>
          <w:szCs w:val="21"/>
        </w:rPr>
      </w:pPr>
    </w:p>
    <w:p>
      <w:pPr>
        <w:ind w:left="420" w:leftChars="200"/>
        <w:rPr>
          <w:rFonts w:asciiTheme="minorHAnsi" w:hAnsiTheme="minorHAnsi" w:eastAsiaTheme="minorEastAsia" w:cstheme="minorBidi"/>
          <w:szCs w:val="24"/>
        </w:rPr>
      </w:pPr>
    </w:p>
    <w:p>
      <w:pPr>
        <w:rPr>
          <w:rFonts w:asciiTheme="minorHAnsi" w:hAnsiTheme="minorHAnsi" w:eastAsiaTheme="minorEastAsia"/>
        </w:rPr>
      </w:pPr>
    </w:p>
    <w:p>
      <w:pPr>
        <w:adjustRightInd w:val="0"/>
        <w:snapToGrid w:val="0"/>
        <w:rPr>
          <w:rFonts w:ascii="仿宋" w:hAnsi="仿宋" w:eastAsia="仿宋" w:cs="仿宋"/>
          <w:b/>
          <w:bCs/>
          <w:szCs w:val="21"/>
        </w:rPr>
      </w:pPr>
    </w:p>
    <w:p>
      <w:pPr>
        <w:spacing w:line="640" w:lineRule="exact"/>
        <w:ind w:left="2238" w:leftChars="456" w:hanging="1280" w:hangingChars="400"/>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项目名称：2020年大同市市级国有土地出让收入安排的支出（大同陆港租赁补助项目）财政支出项目</w:t>
      </w:r>
    </w:p>
    <w:p>
      <w:pPr>
        <w:spacing w:line="640" w:lineRule="exact"/>
        <w:ind w:firstLine="960" w:firstLineChars="300"/>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实施单位：大同国际陆港港务有限公司</w:t>
      </w:r>
    </w:p>
    <w:p>
      <w:pPr>
        <w:spacing w:line="640" w:lineRule="exact"/>
        <w:ind w:firstLine="960" w:firstLineChars="300"/>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委托单位：大同市财政局</w:t>
      </w:r>
    </w:p>
    <w:p>
      <w:pPr>
        <w:spacing w:line="640" w:lineRule="exact"/>
        <w:ind w:firstLine="960" w:firstLineChars="300"/>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评价机构：山西义河信息咨询有限公司</w:t>
      </w:r>
    </w:p>
    <w:p>
      <w:pPr>
        <w:spacing w:line="640" w:lineRule="exact"/>
        <w:ind w:firstLine="960" w:firstLineChars="300"/>
        <w:rPr>
          <w:rFonts w:ascii="仿宋" w:hAnsi="仿宋" w:eastAsia="仿宋" w:cs="仿宋"/>
          <w:b/>
          <w:sz w:val="32"/>
          <w:szCs w:val="32"/>
          <w:u w:val="single"/>
        </w:rPr>
      </w:pPr>
      <w:r>
        <w:rPr>
          <w:rFonts w:hint="eastAsia" w:ascii="Times New Roman" w:hAnsi="Times New Roman" w:eastAsia="方正小标宋简体" w:cs="Times New Roman"/>
          <w:sz w:val="32"/>
          <w:szCs w:val="32"/>
        </w:rPr>
        <w:t>主评人签字：</w:t>
      </w:r>
    </w:p>
    <w:p>
      <w:pPr>
        <w:rPr>
          <w:rFonts w:asciiTheme="minorHAnsi" w:hAnsiTheme="minorHAnsi" w:eastAsiaTheme="minorEastAsia"/>
        </w:rPr>
      </w:pPr>
    </w:p>
    <w:p>
      <w:pPr>
        <w:adjustRightInd w:val="0"/>
        <w:snapToGrid w:val="0"/>
        <w:rPr>
          <w:rFonts w:ascii="仿宋" w:hAnsi="仿宋" w:eastAsia="仿宋" w:cs="仿宋"/>
          <w:b/>
          <w:bCs/>
          <w:szCs w:val="21"/>
        </w:rPr>
      </w:pPr>
    </w:p>
    <w:p>
      <w:pPr>
        <w:spacing w:line="640" w:lineRule="exact"/>
        <w:ind w:firstLine="3200" w:firstLineChars="1000"/>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二〇二二年</w:t>
      </w:r>
      <w:r>
        <w:rPr>
          <w:rFonts w:hint="eastAsia" w:ascii="Times New Roman" w:hAnsi="Times New Roman" w:eastAsia="方正小标宋简体" w:cs="Times New Roman"/>
          <w:sz w:val="32"/>
          <w:szCs w:val="32"/>
          <w:lang w:val="en-US" w:eastAsia="zh-CN"/>
        </w:rPr>
        <w:t>六</w:t>
      </w:r>
      <w:r>
        <w:rPr>
          <w:rFonts w:hint="eastAsia" w:ascii="Times New Roman" w:hAnsi="Times New Roman" w:eastAsia="方正小标宋简体" w:cs="Times New Roman"/>
          <w:sz w:val="32"/>
          <w:szCs w:val="32"/>
        </w:rPr>
        <w:t>月</w:t>
      </w:r>
    </w:p>
    <w:p>
      <w:pPr>
        <w:rPr>
          <w:rFonts w:eastAsia="仿宋_GB2312"/>
        </w:rPr>
      </w:pPr>
    </w:p>
    <w:p>
      <w:pPr>
        <w:spacing w:line="640" w:lineRule="exact"/>
        <w:rPr>
          <w:rFonts w:ascii="Times New Roman" w:hAnsi="Times New Roman" w:eastAsia="仿宋_GB2312" w:cs="Times New Roman"/>
          <w:color w:val="BFBFBF" w:themeColor="background1" w:themeShade="BF"/>
          <w:sz w:val="32"/>
          <w:szCs w:val="32"/>
        </w:rPr>
      </w:pPr>
    </w:p>
    <w:p>
      <w:pPr>
        <w:pStyle w:val="3"/>
        <w:ind w:left="0" w:leftChars="0"/>
        <w:sectPr>
          <w:headerReference r:id="rId5" w:type="first"/>
          <w:footerReference r:id="rId6" w:type="first"/>
          <w:headerReference r:id="rId3" w:type="default"/>
          <w:headerReference r:id="rId4" w:type="even"/>
          <w:pgSz w:w="11850" w:h="16783"/>
          <w:pgMar w:top="1531" w:right="1531" w:bottom="1531" w:left="1531" w:header="851" w:footer="992" w:gutter="0"/>
          <w:pgNumType w:fmt="numberInDash" w:start="1"/>
          <w:cols w:space="425" w:num="1"/>
          <w:docGrid w:type="lines" w:linePitch="312" w:charSpace="0"/>
        </w:sectPr>
      </w:pPr>
    </w:p>
    <w:p>
      <w:pPr>
        <w:widowControl/>
        <w:adjustRightInd w:val="0"/>
        <w:snapToGrid w:val="0"/>
        <w:spacing w:line="360" w:lineRule="auto"/>
        <w:jc w:val="both"/>
        <w:outlineLvl w:val="0"/>
        <w:rPr>
          <w:rFonts w:ascii="Times New Roman" w:hAnsi="Times New Roman" w:eastAsia="仿宋_GB2312" w:cs="Times New Roman"/>
          <w:sz w:val="32"/>
          <w:szCs w:val="32"/>
        </w:rPr>
      </w:pPr>
    </w:p>
    <w:p>
      <w:pPr>
        <w:adjustRightInd w:val="0"/>
        <w:snapToGrid w:val="0"/>
        <w:spacing w:line="360" w:lineRule="auto"/>
        <w:ind w:firstLine="640" w:firstLineChars="200"/>
        <w:outlineLvl w:val="0"/>
        <w:rPr>
          <w:rFonts w:ascii="Times New Roman" w:hAnsi="Times New Roman" w:eastAsia="黑体" w:cs="Times New Roman"/>
          <w:sz w:val="32"/>
          <w:szCs w:val="32"/>
        </w:rPr>
      </w:pPr>
      <w:bookmarkStart w:id="0" w:name="_Toc26234"/>
      <w:bookmarkStart w:id="1" w:name="_Toc27121"/>
      <w:bookmarkStart w:id="2" w:name="_Toc3024"/>
      <w:r>
        <w:rPr>
          <w:rFonts w:ascii="Times New Roman" w:hAnsi="Times New Roman" w:eastAsia="黑体" w:cs="Times New Roman"/>
          <w:sz w:val="32"/>
          <w:szCs w:val="32"/>
        </w:rPr>
        <w:t>一、概述要素</w:t>
      </w:r>
      <w:bookmarkEnd w:id="0"/>
      <w:bookmarkEnd w:id="1"/>
      <w:bookmarkEnd w:id="2"/>
    </w:p>
    <w:p>
      <w:pPr>
        <w:adjustRightInd w:val="0"/>
        <w:snapToGrid w:val="0"/>
        <w:spacing w:line="360" w:lineRule="auto"/>
        <w:ind w:firstLine="640" w:firstLineChars="200"/>
        <w:outlineLvl w:val="1"/>
        <w:rPr>
          <w:rFonts w:ascii="Times New Roman" w:hAnsi="Times New Roman" w:eastAsia="楷体" w:cs="Times New Roman"/>
          <w:sz w:val="32"/>
          <w:szCs w:val="32"/>
        </w:rPr>
      </w:pPr>
      <w:bookmarkStart w:id="3" w:name="_Toc1450"/>
      <w:r>
        <w:rPr>
          <w:rFonts w:ascii="Times New Roman" w:hAnsi="Times New Roman" w:eastAsia="楷体" w:cs="Times New Roman"/>
          <w:sz w:val="32"/>
          <w:szCs w:val="32"/>
        </w:rPr>
        <w:t>（一）项目概况</w:t>
      </w:r>
      <w:bookmarkEnd w:id="3"/>
    </w:p>
    <w:p>
      <w:pPr>
        <w:adjustRightInd w:val="0"/>
        <w:snapToGrid w:val="0"/>
        <w:spacing w:line="360" w:lineRule="auto"/>
        <w:ind w:firstLine="640" w:firstLineChars="200"/>
        <w:rPr>
          <w:rFonts w:ascii="Times New Roman" w:hAnsi="Times New Roman" w:eastAsia="楷体" w:cs="Times New Roman"/>
          <w:sz w:val="32"/>
          <w:szCs w:val="32"/>
        </w:rPr>
      </w:pPr>
      <w:bookmarkStart w:id="4" w:name="_Toc14978"/>
      <w:r>
        <w:rPr>
          <w:rFonts w:hint="eastAsia" w:ascii="Times New Roman" w:hAnsi="Times New Roman" w:eastAsia="仿宋_GB2312" w:cs="Times New Roman"/>
          <w:sz w:val="32"/>
          <w:szCs w:val="32"/>
        </w:rPr>
        <w:t>大同国际陆港进口肉类指定查验场及海关监管区位于大同装备制造园区内，总占地面积为529.05亩。项目总投资55426.55万元，其中银行贷款38700万元，自筹资金16726.55万元。项目总投资中建筑工程费为29826万元；设备及工器具购置费为11667.06万元；工程建设其他费用13933.49万元。项目于2017年12月竣工并投入使用；主要建成：冷链查验储存一体化区35.4亩；普货进出口查验存储一体化区109.5亩；跨境电商查验存储一体化区64.8亩；海关监管货场区50.7亩；冷藏集装箱堆场区15亩；商用或查验冷库区91.2亩；H986查验区13.2亩；检疫处理区6.15亩；商用冷库区75.6亩；联检办公与配套生活区58.8亩；场内停车区8.7亩。</w:t>
      </w:r>
    </w:p>
    <w:p>
      <w:pPr>
        <w:adjustRightInd w:val="0"/>
        <w:snapToGrid w:val="0"/>
        <w:spacing w:line="360" w:lineRule="auto"/>
        <w:ind w:firstLine="640" w:firstLineChars="200"/>
        <w:outlineLvl w:val="1"/>
        <w:rPr>
          <w:rFonts w:ascii="Times New Roman" w:hAnsi="Times New Roman" w:eastAsia="楷体" w:cs="Times New Roman"/>
          <w:sz w:val="32"/>
          <w:szCs w:val="32"/>
          <w:highlight w:val="yellow"/>
        </w:rPr>
      </w:pPr>
      <w:r>
        <w:rPr>
          <w:rFonts w:ascii="Times New Roman" w:hAnsi="Times New Roman" w:eastAsia="楷体" w:cs="Times New Roman"/>
          <w:sz w:val="32"/>
          <w:szCs w:val="32"/>
        </w:rPr>
        <w:t>（二）项目绩效目标</w:t>
      </w:r>
      <w:bookmarkEnd w:id="4"/>
    </w:p>
    <w:p>
      <w:pPr>
        <w:adjustRightInd w:val="0"/>
        <w:snapToGrid w:val="0"/>
        <w:spacing w:line="360" w:lineRule="auto"/>
        <w:jc w:val="center"/>
        <w:rPr>
          <w:rFonts w:ascii="Times New Roman" w:hAnsi="Times New Roman" w:eastAsia="方正小标宋简体" w:cs="Times New Roman"/>
          <w:sz w:val="28"/>
          <w:szCs w:val="28"/>
        </w:rPr>
      </w:pPr>
      <w:r>
        <w:rPr>
          <w:rFonts w:ascii="Times New Roman" w:hAnsi="Times New Roman" w:eastAsia="黑体" w:cs="Times New Roman"/>
          <w:sz w:val="28"/>
          <w:szCs w:val="28"/>
        </w:rPr>
        <w:t>表</w:t>
      </w:r>
      <w:r>
        <w:rPr>
          <w:rFonts w:hint="eastAsia" w:ascii="Times New Roman" w:hAnsi="Times New Roman" w:eastAsia="黑体" w:cs="Times New Roman"/>
          <w:sz w:val="28"/>
          <w:szCs w:val="28"/>
        </w:rPr>
        <w:t>0</w:t>
      </w:r>
      <w:r>
        <w:rPr>
          <w:rFonts w:ascii="Times New Roman" w:hAnsi="Times New Roman" w:eastAsia="黑体" w:cs="Times New Roman"/>
          <w:sz w:val="28"/>
          <w:szCs w:val="28"/>
        </w:rPr>
        <w:t>-1 绩效目标表</w:t>
      </w:r>
    </w:p>
    <w:tbl>
      <w:tblPr>
        <w:tblStyle w:val="15"/>
        <w:tblW w:w="8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1478"/>
        <w:gridCol w:w="1950"/>
        <w:gridCol w:w="3059"/>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329" w:hRule="atLeast"/>
          <w:tblHeader/>
          <w:jc w:val="center"/>
        </w:trPr>
        <w:tc>
          <w:tcPr>
            <w:tcW w:w="1478" w:type="dxa"/>
            <w:shd w:val="clear" w:color="auto" w:fill="D7D7D7" w:themeFill="background1" w:themeFillShade="D8"/>
            <w:vAlign w:val="center"/>
          </w:tcPr>
          <w:p>
            <w:pPr>
              <w:autoSpaceDN w:val="0"/>
              <w:adjustRightInd w:val="0"/>
              <w:spacing w:line="360" w:lineRule="auto"/>
              <w:jc w:val="center"/>
              <w:textAlignment w:val="center"/>
              <w:rPr>
                <w:rFonts w:ascii="Times New Roman" w:hAnsi="Times New Roman" w:cs="Times New Roman"/>
                <w:b/>
                <w:bCs/>
                <w:sz w:val="20"/>
                <w:szCs w:val="20"/>
              </w:rPr>
            </w:pPr>
            <w:r>
              <w:rPr>
                <w:rFonts w:ascii="Times New Roman" w:hAnsi="Times New Roman" w:cs="Times New Roman"/>
                <w:b/>
                <w:bCs/>
                <w:sz w:val="20"/>
                <w:szCs w:val="20"/>
              </w:rPr>
              <w:t>一级指标</w:t>
            </w:r>
          </w:p>
        </w:tc>
        <w:tc>
          <w:tcPr>
            <w:tcW w:w="1950" w:type="dxa"/>
            <w:shd w:val="clear" w:color="auto" w:fill="D7D7D7" w:themeFill="background1" w:themeFillShade="D8"/>
            <w:vAlign w:val="center"/>
          </w:tcPr>
          <w:p>
            <w:pPr>
              <w:autoSpaceDN w:val="0"/>
              <w:adjustRightInd w:val="0"/>
              <w:spacing w:line="360" w:lineRule="auto"/>
              <w:jc w:val="center"/>
              <w:textAlignment w:val="center"/>
              <w:rPr>
                <w:rFonts w:ascii="Times New Roman" w:hAnsi="Times New Roman" w:cs="Times New Roman"/>
                <w:b/>
                <w:bCs/>
                <w:sz w:val="20"/>
                <w:szCs w:val="20"/>
              </w:rPr>
            </w:pPr>
            <w:r>
              <w:rPr>
                <w:rFonts w:ascii="Times New Roman" w:hAnsi="Times New Roman" w:cs="Times New Roman"/>
                <w:b/>
                <w:bCs/>
                <w:sz w:val="20"/>
                <w:szCs w:val="20"/>
              </w:rPr>
              <w:t>二级指标</w:t>
            </w:r>
          </w:p>
        </w:tc>
        <w:tc>
          <w:tcPr>
            <w:tcW w:w="3059" w:type="dxa"/>
            <w:shd w:val="clear" w:color="auto" w:fill="D7D7D7" w:themeFill="background1" w:themeFillShade="D8"/>
            <w:vAlign w:val="center"/>
          </w:tcPr>
          <w:p>
            <w:pPr>
              <w:autoSpaceDN w:val="0"/>
              <w:adjustRightInd w:val="0"/>
              <w:spacing w:line="360" w:lineRule="auto"/>
              <w:jc w:val="center"/>
              <w:textAlignment w:val="center"/>
              <w:rPr>
                <w:rFonts w:ascii="Times New Roman" w:hAnsi="Times New Roman" w:cs="Times New Roman"/>
                <w:b/>
                <w:bCs/>
                <w:sz w:val="20"/>
                <w:szCs w:val="20"/>
              </w:rPr>
            </w:pPr>
            <w:r>
              <w:rPr>
                <w:rFonts w:ascii="Times New Roman" w:hAnsi="Times New Roman" w:cs="Times New Roman"/>
                <w:b/>
                <w:bCs/>
                <w:sz w:val="20"/>
                <w:szCs w:val="20"/>
              </w:rPr>
              <w:t>三级指标</w:t>
            </w:r>
          </w:p>
        </w:tc>
        <w:tc>
          <w:tcPr>
            <w:tcW w:w="1869" w:type="dxa"/>
            <w:shd w:val="clear" w:color="auto" w:fill="D7D7D7" w:themeFill="background1" w:themeFillShade="D8"/>
            <w:vAlign w:val="center"/>
          </w:tcPr>
          <w:p>
            <w:pPr>
              <w:autoSpaceDN w:val="0"/>
              <w:adjustRightInd w:val="0"/>
              <w:spacing w:line="360" w:lineRule="auto"/>
              <w:jc w:val="center"/>
              <w:textAlignment w:val="center"/>
              <w:rPr>
                <w:rFonts w:ascii="Times New Roman" w:hAnsi="Times New Roman" w:cs="Times New Roman"/>
                <w:b/>
                <w:bCs/>
                <w:sz w:val="20"/>
                <w:szCs w:val="20"/>
              </w:rPr>
            </w:pPr>
            <w:r>
              <w:rPr>
                <w:rFonts w:ascii="Times New Roman" w:hAnsi="Times New Roman" w:cs="Times New Roman"/>
                <w:b/>
                <w:bCs/>
                <w:sz w:val="20"/>
                <w:szCs w:val="20"/>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22" w:hRule="atLeast"/>
          <w:jc w:val="center"/>
        </w:trPr>
        <w:tc>
          <w:tcPr>
            <w:tcW w:w="1478" w:type="dxa"/>
            <w:vMerge w:val="restart"/>
            <w:vAlign w:val="center"/>
          </w:tcPr>
          <w:p>
            <w:pPr>
              <w:autoSpaceDN w:val="0"/>
              <w:adjustRightInd w:val="0"/>
              <w:spacing w:line="360" w:lineRule="auto"/>
              <w:jc w:val="center"/>
              <w:textAlignment w:val="center"/>
              <w:rPr>
                <w:rFonts w:ascii="Times New Roman" w:hAnsi="Times New Roman" w:cs="Times New Roman"/>
                <w:sz w:val="20"/>
                <w:szCs w:val="20"/>
              </w:rPr>
            </w:pPr>
            <w:r>
              <w:rPr>
                <w:rFonts w:ascii="Times New Roman" w:hAnsi="Times New Roman" w:cs="Times New Roman"/>
                <w:sz w:val="20"/>
                <w:szCs w:val="20"/>
              </w:rPr>
              <w:t>产出</w:t>
            </w:r>
          </w:p>
        </w:tc>
        <w:tc>
          <w:tcPr>
            <w:tcW w:w="1950" w:type="dxa"/>
            <w:vMerge w:val="restart"/>
            <w:vAlign w:val="center"/>
          </w:tcPr>
          <w:p>
            <w:pPr>
              <w:autoSpaceDN w:val="0"/>
              <w:adjustRightInd w:val="0"/>
              <w:spacing w:line="360" w:lineRule="auto"/>
              <w:jc w:val="center"/>
              <w:textAlignment w:val="center"/>
              <w:rPr>
                <w:rFonts w:ascii="Times New Roman" w:hAnsi="Times New Roman" w:cs="Times New Roman"/>
                <w:sz w:val="20"/>
                <w:szCs w:val="20"/>
              </w:rPr>
            </w:pPr>
            <w:r>
              <w:rPr>
                <w:rFonts w:ascii="Times New Roman" w:hAnsi="Times New Roman" w:cs="Times New Roman"/>
                <w:sz w:val="20"/>
                <w:szCs w:val="20"/>
              </w:rPr>
              <w:t>产出数量</w:t>
            </w:r>
          </w:p>
        </w:tc>
        <w:tc>
          <w:tcPr>
            <w:tcW w:w="3059" w:type="dxa"/>
            <w:vAlign w:val="center"/>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大同国际陆港进出口值</w:t>
            </w:r>
          </w:p>
        </w:tc>
        <w:tc>
          <w:tcPr>
            <w:tcW w:w="1869" w:type="dxa"/>
            <w:vAlign w:val="center"/>
          </w:tcPr>
          <w:p>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12" w:hRule="atLeast"/>
          <w:jc w:val="center"/>
        </w:trPr>
        <w:tc>
          <w:tcPr>
            <w:tcW w:w="1478" w:type="dxa"/>
            <w:vMerge w:val="continue"/>
            <w:vAlign w:val="center"/>
          </w:tcPr>
          <w:p>
            <w:pPr>
              <w:autoSpaceDN w:val="0"/>
              <w:adjustRightInd w:val="0"/>
              <w:spacing w:line="360" w:lineRule="auto"/>
              <w:jc w:val="center"/>
              <w:textAlignment w:val="center"/>
              <w:rPr>
                <w:rFonts w:ascii="Times New Roman" w:hAnsi="Times New Roman" w:cs="Times New Roman"/>
                <w:sz w:val="20"/>
                <w:szCs w:val="20"/>
              </w:rPr>
            </w:pPr>
          </w:p>
        </w:tc>
        <w:tc>
          <w:tcPr>
            <w:tcW w:w="1950" w:type="dxa"/>
            <w:vMerge w:val="continue"/>
            <w:vAlign w:val="center"/>
          </w:tcPr>
          <w:p>
            <w:pPr>
              <w:autoSpaceDN w:val="0"/>
              <w:adjustRightInd w:val="0"/>
              <w:spacing w:line="360" w:lineRule="auto"/>
              <w:jc w:val="center"/>
              <w:textAlignment w:val="center"/>
              <w:rPr>
                <w:rFonts w:ascii="Times New Roman" w:hAnsi="Times New Roman" w:cs="Times New Roman"/>
                <w:sz w:val="20"/>
                <w:szCs w:val="20"/>
              </w:rPr>
            </w:pPr>
          </w:p>
        </w:tc>
        <w:tc>
          <w:tcPr>
            <w:tcW w:w="3059" w:type="dxa"/>
            <w:vAlign w:val="center"/>
          </w:tcPr>
          <w:p>
            <w:pPr>
              <w:spacing w:line="360" w:lineRule="auto"/>
              <w:jc w:val="center"/>
              <w:rPr>
                <w:rFonts w:ascii="Times New Roman" w:hAnsi="Times New Roman" w:cs="Times New Roman"/>
                <w:sz w:val="20"/>
                <w:szCs w:val="20"/>
              </w:rPr>
            </w:pPr>
            <w:r>
              <w:rPr>
                <w:rFonts w:ascii="Times New Roman" w:hAnsi="Times New Roman" w:cs="Times New Roman"/>
                <w:color w:val="000000"/>
                <w:sz w:val="20"/>
                <w:szCs w:val="20"/>
              </w:rPr>
              <w:t>引进生产加工企业数量</w:t>
            </w:r>
          </w:p>
        </w:tc>
        <w:tc>
          <w:tcPr>
            <w:tcW w:w="1869" w:type="dxa"/>
            <w:vAlign w:val="center"/>
          </w:tcPr>
          <w:p>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42" w:hRule="atLeast"/>
          <w:jc w:val="center"/>
        </w:trPr>
        <w:tc>
          <w:tcPr>
            <w:tcW w:w="1478" w:type="dxa"/>
            <w:vMerge w:val="continue"/>
            <w:vAlign w:val="center"/>
          </w:tcPr>
          <w:p>
            <w:pPr>
              <w:autoSpaceDN w:val="0"/>
              <w:adjustRightInd w:val="0"/>
              <w:spacing w:line="360" w:lineRule="auto"/>
              <w:jc w:val="center"/>
              <w:textAlignment w:val="center"/>
              <w:rPr>
                <w:rFonts w:ascii="Times New Roman" w:hAnsi="Times New Roman" w:cs="Times New Roman"/>
                <w:sz w:val="20"/>
                <w:szCs w:val="20"/>
              </w:rPr>
            </w:pPr>
          </w:p>
        </w:tc>
        <w:tc>
          <w:tcPr>
            <w:tcW w:w="1950" w:type="dxa"/>
            <w:vAlign w:val="center"/>
          </w:tcPr>
          <w:p>
            <w:pPr>
              <w:autoSpaceDN w:val="0"/>
              <w:adjustRightInd w:val="0"/>
              <w:spacing w:line="360" w:lineRule="auto"/>
              <w:jc w:val="center"/>
              <w:textAlignment w:val="center"/>
              <w:rPr>
                <w:rFonts w:ascii="Times New Roman" w:hAnsi="Times New Roman" w:cs="Times New Roman"/>
                <w:sz w:val="20"/>
                <w:szCs w:val="20"/>
              </w:rPr>
            </w:pPr>
            <w:r>
              <w:rPr>
                <w:rFonts w:ascii="Times New Roman" w:hAnsi="Times New Roman" w:cs="Times New Roman"/>
                <w:sz w:val="20"/>
                <w:szCs w:val="20"/>
              </w:rPr>
              <w:t>产出质量</w:t>
            </w:r>
          </w:p>
        </w:tc>
        <w:tc>
          <w:tcPr>
            <w:tcW w:w="3059" w:type="dxa"/>
            <w:vAlign w:val="center"/>
          </w:tcPr>
          <w:p>
            <w:pPr>
              <w:autoSpaceDN w:val="0"/>
              <w:adjustRightInd w:val="0"/>
              <w:spacing w:line="360" w:lineRule="auto"/>
              <w:jc w:val="center"/>
              <w:textAlignment w:val="center"/>
              <w:rPr>
                <w:rFonts w:ascii="Times New Roman" w:hAnsi="Times New Roman" w:cs="Times New Roman"/>
                <w:sz w:val="20"/>
                <w:szCs w:val="20"/>
              </w:rPr>
            </w:pPr>
            <w:r>
              <w:rPr>
                <w:rFonts w:ascii="Times New Roman" w:hAnsi="Times New Roman" w:cs="Times New Roman"/>
                <w:color w:val="000000"/>
                <w:sz w:val="20"/>
                <w:szCs w:val="20"/>
              </w:rPr>
              <w:t>大同陆港有业绩企业数量</w:t>
            </w:r>
          </w:p>
        </w:tc>
        <w:tc>
          <w:tcPr>
            <w:tcW w:w="1869" w:type="dxa"/>
            <w:vAlign w:val="center"/>
          </w:tcPr>
          <w:p>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44" w:hRule="atLeast"/>
          <w:jc w:val="center"/>
        </w:trPr>
        <w:tc>
          <w:tcPr>
            <w:tcW w:w="1478" w:type="dxa"/>
            <w:vMerge w:val="continue"/>
            <w:vAlign w:val="center"/>
          </w:tcPr>
          <w:p>
            <w:pPr>
              <w:autoSpaceDN w:val="0"/>
              <w:adjustRightInd w:val="0"/>
              <w:spacing w:line="360" w:lineRule="auto"/>
              <w:jc w:val="center"/>
              <w:textAlignment w:val="center"/>
              <w:rPr>
                <w:rFonts w:ascii="Times New Roman" w:hAnsi="Times New Roman" w:cs="Times New Roman"/>
                <w:sz w:val="20"/>
                <w:szCs w:val="20"/>
              </w:rPr>
            </w:pPr>
          </w:p>
        </w:tc>
        <w:tc>
          <w:tcPr>
            <w:tcW w:w="1950" w:type="dxa"/>
            <w:vAlign w:val="center"/>
          </w:tcPr>
          <w:p>
            <w:pPr>
              <w:autoSpaceDN w:val="0"/>
              <w:adjustRightInd w:val="0"/>
              <w:spacing w:line="360" w:lineRule="auto"/>
              <w:jc w:val="center"/>
              <w:textAlignment w:val="center"/>
              <w:rPr>
                <w:rFonts w:ascii="Times New Roman" w:hAnsi="Times New Roman" w:cs="Times New Roman"/>
                <w:sz w:val="20"/>
                <w:szCs w:val="20"/>
              </w:rPr>
            </w:pPr>
            <w:r>
              <w:rPr>
                <w:rFonts w:ascii="Times New Roman" w:hAnsi="Times New Roman" w:cs="Times New Roman"/>
                <w:sz w:val="20"/>
                <w:szCs w:val="20"/>
              </w:rPr>
              <w:t>产出时效</w:t>
            </w:r>
          </w:p>
        </w:tc>
        <w:tc>
          <w:tcPr>
            <w:tcW w:w="3059" w:type="dxa"/>
            <w:vAlign w:val="center"/>
          </w:tcPr>
          <w:p>
            <w:pPr>
              <w:autoSpaceDN w:val="0"/>
              <w:adjustRightInd w:val="0"/>
              <w:spacing w:line="360" w:lineRule="auto"/>
              <w:jc w:val="center"/>
              <w:textAlignment w:val="center"/>
              <w:rPr>
                <w:rFonts w:ascii="Times New Roman" w:hAnsi="Times New Roman" w:cs="Times New Roman"/>
                <w:sz w:val="20"/>
                <w:szCs w:val="20"/>
              </w:rPr>
            </w:pPr>
            <w:r>
              <w:rPr>
                <w:rFonts w:ascii="Times New Roman" w:hAnsi="Times New Roman" w:cs="Times New Roman"/>
                <w:color w:val="000000"/>
                <w:sz w:val="20"/>
                <w:szCs w:val="20"/>
              </w:rPr>
              <w:t>当年新培育有业绩企业数量</w:t>
            </w:r>
          </w:p>
        </w:tc>
        <w:tc>
          <w:tcPr>
            <w:tcW w:w="1869" w:type="dxa"/>
            <w:vAlign w:val="center"/>
          </w:tcPr>
          <w:p>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380" w:hRule="atLeast"/>
          <w:jc w:val="center"/>
        </w:trPr>
        <w:tc>
          <w:tcPr>
            <w:tcW w:w="1478" w:type="dxa"/>
            <w:vMerge w:val="continue"/>
            <w:vAlign w:val="center"/>
          </w:tcPr>
          <w:p>
            <w:pPr>
              <w:autoSpaceDN w:val="0"/>
              <w:adjustRightInd w:val="0"/>
              <w:spacing w:line="360" w:lineRule="auto"/>
              <w:jc w:val="center"/>
              <w:textAlignment w:val="center"/>
              <w:rPr>
                <w:rFonts w:ascii="Times New Roman" w:hAnsi="Times New Roman" w:cs="Times New Roman"/>
                <w:sz w:val="20"/>
                <w:szCs w:val="20"/>
              </w:rPr>
            </w:pPr>
          </w:p>
        </w:tc>
        <w:tc>
          <w:tcPr>
            <w:tcW w:w="1950" w:type="dxa"/>
            <w:vAlign w:val="center"/>
          </w:tcPr>
          <w:p>
            <w:pPr>
              <w:autoSpaceDN w:val="0"/>
              <w:adjustRightInd w:val="0"/>
              <w:spacing w:line="360" w:lineRule="auto"/>
              <w:jc w:val="center"/>
              <w:textAlignment w:val="center"/>
              <w:rPr>
                <w:rFonts w:ascii="Times New Roman" w:hAnsi="Times New Roman" w:cs="Times New Roman"/>
                <w:sz w:val="20"/>
                <w:szCs w:val="20"/>
              </w:rPr>
            </w:pPr>
            <w:r>
              <w:rPr>
                <w:rFonts w:hint="eastAsia" w:ascii="Times New Roman" w:hAnsi="Times New Roman" w:cs="Times New Roman"/>
                <w:sz w:val="20"/>
                <w:szCs w:val="20"/>
              </w:rPr>
              <w:t>产出成本</w:t>
            </w:r>
          </w:p>
        </w:tc>
        <w:tc>
          <w:tcPr>
            <w:tcW w:w="3059" w:type="dxa"/>
            <w:vAlign w:val="center"/>
          </w:tcPr>
          <w:p>
            <w:pPr>
              <w:autoSpaceDN w:val="0"/>
              <w:adjustRightInd w:val="0"/>
              <w:spacing w:line="360" w:lineRule="auto"/>
              <w:jc w:val="center"/>
              <w:textAlignment w:val="center"/>
              <w:rPr>
                <w:rFonts w:ascii="Times New Roman" w:hAnsi="Times New Roman" w:cs="Times New Roman"/>
                <w:sz w:val="20"/>
                <w:szCs w:val="20"/>
              </w:rPr>
            </w:pPr>
            <w:r>
              <w:rPr>
                <w:rFonts w:ascii="Times New Roman" w:hAnsi="Times New Roman" w:cs="Times New Roman"/>
                <w:color w:val="000000"/>
                <w:sz w:val="20"/>
                <w:szCs w:val="20"/>
              </w:rPr>
              <w:t>陆港运营成本降低</w:t>
            </w:r>
          </w:p>
        </w:tc>
        <w:tc>
          <w:tcPr>
            <w:tcW w:w="1869" w:type="dxa"/>
            <w:vAlign w:val="center"/>
          </w:tcPr>
          <w:p>
            <w:pPr>
              <w:spacing w:line="360" w:lineRule="auto"/>
              <w:jc w:val="center"/>
              <w:rPr>
                <w:rFonts w:ascii="Times New Roman" w:hAnsi="Times New Roman" w:cs="Times New Roman"/>
                <w:sz w:val="20"/>
                <w:szCs w:val="20"/>
              </w:rPr>
            </w:pPr>
            <w:r>
              <w:rPr>
                <w:rFonts w:hint="eastAsia" w:ascii="Times New Roman" w:hAnsi="Times New Roman" w:cs="Times New Roman"/>
                <w:sz w:val="20"/>
                <w:szCs w:val="20"/>
              </w:rPr>
              <w:t>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90" w:hRule="atLeast"/>
          <w:jc w:val="center"/>
        </w:trPr>
        <w:tc>
          <w:tcPr>
            <w:tcW w:w="1478" w:type="dxa"/>
            <w:vMerge w:val="restart"/>
            <w:vAlign w:val="center"/>
          </w:tcPr>
          <w:p>
            <w:pPr>
              <w:autoSpaceDN w:val="0"/>
              <w:adjustRightInd w:val="0"/>
              <w:spacing w:line="360" w:lineRule="auto"/>
              <w:jc w:val="center"/>
              <w:textAlignment w:val="center"/>
              <w:rPr>
                <w:rFonts w:ascii="Times New Roman" w:hAnsi="Times New Roman" w:cs="Times New Roman"/>
                <w:sz w:val="20"/>
                <w:szCs w:val="20"/>
              </w:rPr>
            </w:pPr>
            <w:bookmarkStart w:id="27" w:name="_GoBack"/>
            <w:bookmarkEnd w:id="27"/>
            <w:r>
              <w:rPr>
                <w:rFonts w:ascii="Times New Roman" w:hAnsi="Times New Roman" w:cs="Times New Roman"/>
                <w:sz w:val="20"/>
                <w:szCs w:val="20"/>
              </w:rPr>
              <w:t>效益</w:t>
            </w:r>
          </w:p>
        </w:tc>
        <w:tc>
          <w:tcPr>
            <w:tcW w:w="1950" w:type="dxa"/>
            <w:vAlign w:val="center"/>
          </w:tcPr>
          <w:p>
            <w:pPr>
              <w:autoSpaceDN w:val="0"/>
              <w:adjustRightInd w:val="0"/>
              <w:spacing w:line="360" w:lineRule="auto"/>
              <w:jc w:val="center"/>
              <w:textAlignment w:val="center"/>
              <w:rPr>
                <w:rFonts w:ascii="Times New Roman" w:hAnsi="Times New Roman" w:cs="Times New Roman"/>
                <w:sz w:val="20"/>
                <w:szCs w:val="20"/>
              </w:rPr>
            </w:pPr>
            <w:r>
              <w:rPr>
                <w:rFonts w:hint="eastAsia" w:ascii="Times New Roman" w:hAnsi="Times New Roman" w:cs="Times New Roman"/>
                <w:sz w:val="20"/>
                <w:szCs w:val="20"/>
              </w:rPr>
              <w:t>经济</w:t>
            </w:r>
            <w:r>
              <w:rPr>
                <w:rFonts w:ascii="Times New Roman" w:hAnsi="Times New Roman" w:cs="Times New Roman"/>
                <w:sz w:val="20"/>
                <w:szCs w:val="20"/>
              </w:rPr>
              <w:t>效益</w:t>
            </w:r>
          </w:p>
        </w:tc>
        <w:tc>
          <w:tcPr>
            <w:tcW w:w="3059" w:type="dxa"/>
            <w:vAlign w:val="center"/>
          </w:tcPr>
          <w:p>
            <w:pPr>
              <w:autoSpaceDN w:val="0"/>
              <w:adjustRightInd w:val="0"/>
              <w:spacing w:line="360" w:lineRule="auto"/>
              <w:jc w:val="center"/>
              <w:textAlignment w:val="center"/>
              <w:rPr>
                <w:rFonts w:ascii="Times New Roman" w:hAnsi="Times New Roman" w:cs="Times New Roman"/>
                <w:sz w:val="20"/>
                <w:szCs w:val="20"/>
              </w:rPr>
            </w:pPr>
            <w:r>
              <w:rPr>
                <w:rFonts w:ascii="Times New Roman" w:hAnsi="Times New Roman" w:cs="Times New Roman"/>
                <w:color w:val="000000"/>
                <w:sz w:val="20"/>
                <w:szCs w:val="20"/>
              </w:rPr>
              <w:t>主营业务利润增加</w:t>
            </w:r>
            <w:r>
              <w:rPr>
                <w:rFonts w:hint="eastAsia" w:ascii="Times New Roman" w:hAnsi="Times New Roman" w:cs="Times New Roman"/>
                <w:sz w:val="20"/>
                <w:szCs w:val="20"/>
              </w:rPr>
              <w:t>情况</w:t>
            </w:r>
          </w:p>
        </w:tc>
        <w:tc>
          <w:tcPr>
            <w:tcW w:w="1869" w:type="dxa"/>
            <w:vAlign w:val="center"/>
          </w:tcPr>
          <w:p>
            <w:pPr>
              <w:spacing w:line="360" w:lineRule="auto"/>
              <w:jc w:val="center"/>
              <w:rPr>
                <w:rFonts w:ascii="Times New Roman" w:hAnsi="Times New Roman" w:cs="Times New Roman"/>
                <w:sz w:val="20"/>
                <w:szCs w:val="20"/>
              </w:rPr>
            </w:pPr>
            <w:r>
              <w:rPr>
                <w:rFonts w:hint="eastAsia" w:ascii="Times New Roman" w:hAnsi="Times New Roman" w:cs="Times New Roman"/>
                <w:sz w:val="20"/>
                <w:szCs w:val="20"/>
              </w:rPr>
              <w:t>未增加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90" w:hRule="atLeast"/>
          <w:jc w:val="center"/>
        </w:trPr>
        <w:tc>
          <w:tcPr>
            <w:tcW w:w="1478" w:type="dxa"/>
            <w:vMerge w:val="continue"/>
            <w:vAlign w:val="center"/>
          </w:tcPr>
          <w:p>
            <w:pPr>
              <w:autoSpaceDN w:val="0"/>
              <w:adjustRightInd w:val="0"/>
              <w:spacing w:line="360" w:lineRule="auto"/>
              <w:jc w:val="center"/>
              <w:textAlignment w:val="center"/>
              <w:rPr>
                <w:rFonts w:ascii="Times New Roman" w:hAnsi="Times New Roman" w:cs="Times New Roman"/>
                <w:sz w:val="20"/>
                <w:szCs w:val="20"/>
              </w:rPr>
            </w:pPr>
          </w:p>
        </w:tc>
        <w:tc>
          <w:tcPr>
            <w:tcW w:w="1950" w:type="dxa"/>
            <w:vAlign w:val="center"/>
          </w:tcPr>
          <w:p>
            <w:pPr>
              <w:autoSpaceDN w:val="0"/>
              <w:adjustRightInd w:val="0"/>
              <w:spacing w:line="360" w:lineRule="auto"/>
              <w:jc w:val="center"/>
              <w:textAlignment w:val="center"/>
              <w:rPr>
                <w:rFonts w:ascii="Times New Roman" w:hAnsi="Times New Roman" w:cs="Times New Roman"/>
                <w:sz w:val="20"/>
                <w:szCs w:val="20"/>
              </w:rPr>
            </w:pPr>
            <w:r>
              <w:rPr>
                <w:rFonts w:hint="eastAsia" w:ascii="Times New Roman" w:hAnsi="Times New Roman" w:cs="Times New Roman"/>
                <w:sz w:val="20"/>
                <w:szCs w:val="20"/>
              </w:rPr>
              <w:t>社会效益</w:t>
            </w:r>
          </w:p>
        </w:tc>
        <w:tc>
          <w:tcPr>
            <w:tcW w:w="3059" w:type="dxa"/>
            <w:vAlign w:val="center"/>
          </w:tcPr>
          <w:p>
            <w:pPr>
              <w:autoSpaceDN w:val="0"/>
              <w:adjustRightInd w:val="0"/>
              <w:spacing w:line="360" w:lineRule="auto"/>
              <w:jc w:val="center"/>
              <w:textAlignment w:val="center"/>
              <w:rPr>
                <w:rFonts w:ascii="Times New Roman" w:hAnsi="Times New Roman" w:cs="Times New Roman"/>
                <w:sz w:val="20"/>
                <w:szCs w:val="20"/>
              </w:rPr>
            </w:pPr>
            <w:r>
              <w:rPr>
                <w:rFonts w:ascii="Times New Roman" w:hAnsi="Times New Roman" w:cs="Times New Roman"/>
                <w:color w:val="000000"/>
                <w:sz w:val="20"/>
                <w:szCs w:val="20"/>
              </w:rPr>
              <w:t>通过项目实施，区域吸附能力增加</w:t>
            </w:r>
          </w:p>
        </w:tc>
        <w:tc>
          <w:tcPr>
            <w:tcW w:w="1869" w:type="dxa"/>
            <w:vAlign w:val="center"/>
          </w:tcPr>
          <w:p>
            <w:pPr>
              <w:spacing w:line="360" w:lineRule="auto"/>
              <w:jc w:val="center"/>
              <w:rPr>
                <w:rFonts w:ascii="Times New Roman" w:hAnsi="Times New Roman" w:cs="Times New Roman"/>
                <w:sz w:val="20"/>
                <w:szCs w:val="20"/>
              </w:rPr>
            </w:pPr>
            <w:r>
              <w:rPr>
                <w:rFonts w:hint="eastAsia" w:ascii="Times New Roman" w:hAnsi="Times New Roman" w:cs="Times New Roman"/>
                <w:sz w:val="20"/>
                <w:szCs w:val="20"/>
              </w:rPr>
              <w:t>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43" w:hRule="atLeast"/>
          <w:jc w:val="center"/>
        </w:trPr>
        <w:tc>
          <w:tcPr>
            <w:tcW w:w="1478" w:type="dxa"/>
            <w:vMerge w:val="continue"/>
            <w:vAlign w:val="center"/>
          </w:tcPr>
          <w:p>
            <w:pPr>
              <w:autoSpaceDN w:val="0"/>
              <w:adjustRightInd w:val="0"/>
              <w:spacing w:line="360" w:lineRule="auto"/>
              <w:jc w:val="center"/>
              <w:textAlignment w:val="center"/>
              <w:rPr>
                <w:rFonts w:ascii="Times New Roman" w:hAnsi="Times New Roman" w:cs="Times New Roman"/>
                <w:sz w:val="20"/>
                <w:szCs w:val="20"/>
              </w:rPr>
            </w:pPr>
          </w:p>
        </w:tc>
        <w:tc>
          <w:tcPr>
            <w:tcW w:w="1950" w:type="dxa"/>
            <w:vAlign w:val="center"/>
          </w:tcPr>
          <w:p>
            <w:pPr>
              <w:autoSpaceDN w:val="0"/>
              <w:adjustRightInd w:val="0"/>
              <w:spacing w:line="360" w:lineRule="auto"/>
              <w:jc w:val="center"/>
              <w:textAlignment w:val="center"/>
              <w:rPr>
                <w:rFonts w:ascii="Times New Roman" w:hAnsi="Times New Roman" w:cs="Times New Roman"/>
                <w:sz w:val="20"/>
                <w:szCs w:val="20"/>
              </w:rPr>
            </w:pPr>
            <w:r>
              <w:rPr>
                <w:rFonts w:ascii="Times New Roman" w:hAnsi="Times New Roman" w:cs="Times New Roman"/>
                <w:sz w:val="20"/>
                <w:szCs w:val="20"/>
              </w:rPr>
              <w:t>可持续影响</w:t>
            </w:r>
          </w:p>
        </w:tc>
        <w:tc>
          <w:tcPr>
            <w:tcW w:w="3059" w:type="dxa"/>
            <w:vAlign w:val="center"/>
          </w:tcPr>
          <w:p>
            <w:pPr>
              <w:autoSpaceDN w:val="0"/>
              <w:adjustRightInd w:val="0"/>
              <w:spacing w:line="360" w:lineRule="auto"/>
              <w:jc w:val="center"/>
              <w:textAlignment w:val="center"/>
              <w:rPr>
                <w:rFonts w:ascii="Times New Roman" w:hAnsi="Times New Roman" w:cs="Times New Roman"/>
                <w:sz w:val="20"/>
                <w:szCs w:val="20"/>
              </w:rPr>
            </w:pPr>
            <w:r>
              <w:rPr>
                <w:rFonts w:ascii="Times New Roman" w:hAnsi="Times New Roman" w:cs="Times New Roman"/>
                <w:sz w:val="20"/>
                <w:szCs w:val="20"/>
              </w:rPr>
              <w:t>占全市外贸进出口比重增加</w:t>
            </w:r>
          </w:p>
        </w:tc>
        <w:tc>
          <w:tcPr>
            <w:tcW w:w="1869" w:type="dxa"/>
            <w:vAlign w:val="center"/>
          </w:tcPr>
          <w:p>
            <w:pPr>
              <w:spacing w:line="360" w:lineRule="auto"/>
              <w:jc w:val="center"/>
              <w:rPr>
                <w:rFonts w:ascii="Times New Roman" w:hAnsi="Times New Roman" w:cs="Times New Roman"/>
                <w:sz w:val="20"/>
                <w:szCs w:val="20"/>
              </w:rPr>
            </w:pPr>
            <w:r>
              <w:rPr>
                <w:rFonts w:hint="eastAsia" w:ascii="Times New Roman" w:hAnsi="Times New Roman" w:cs="Times New Roman"/>
                <w:sz w:val="20"/>
                <w:szCs w:val="20"/>
              </w:rPr>
              <w:t>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34" w:hRule="atLeast"/>
          <w:jc w:val="center"/>
        </w:trPr>
        <w:tc>
          <w:tcPr>
            <w:tcW w:w="1478" w:type="dxa"/>
            <w:vMerge w:val="continue"/>
            <w:vAlign w:val="center"/>
          </w:tcPr>
          <w:p>
            <w:pPr>
              <w:autoSpaceDN w:val="0"/>
              <w:adjustRightInd w:val="0"/>
              <w:spacing w:line="360" w:lineRule="auto"/>
              <w:jc w:val="center"/>
              <w:textAlignment w:val="center"/>
              <w:rPr>
                <w:rFonts w:ascii="Times New Roman" w:hAnsi="Times New Roman" w:cs="Times New Roman"/>
                <w:sz w:val="20"/>
                <w:szCs w:val="20"/>
              </w:rPr>
            </w:pPr>
          </w:p>
        </w:tc>
        <w:tc>
          <w:tcPr>
            <w:tcW w:w="1950" w:type="dxa"/>
            <w:vAlign w:val="center"/>
          </w:tcPr>
          <w:p>
            <w:pPr>
              <w:autoSpaceDN w:val="0"/>
              <w:adjustRightInd w:val="0"/>
              <w:spacing w:line="360" w:lineRule="auto"/>
              <w:jc w:val="center"/>
              <w:textAlignment w:val="center"/>
              <w:rPr>
                <w:rFonts w:ascii="Times New Roman" w:hAnsi="Times New Roman" w:cs="Times New Roman"/>
                <w:sz w:val="20"/>
                <w:szCs w:val="20"/>
              </w:rPr>
            </w:pPr>
            <w:r>
              <w:rPr>
                <w:rFonts w:hint="eastAsia" w:ascii="Times New Roman" w:hAnsi="Times New Roman" w:cs="Times New Roman"/>
                <w:sz w:val="20"/>
                <w:szCs w:val="20"/>
              </w:rPr>
              <w:t>满意度</w:t>
            </w:r>
          </w:p>
        </w:tc>
        <w:tc>
          <w:tcPr>
            <w:tcW w:w="3059" w:type="dxa"/>
            <w:vAlign w:val="center"/>
          </w:tcPr>
          <w:p>
            <w:pPr>
              <w:spacing w:line="360" w:lineRule="auto"/>
              <w:jc w:val="center"/>
              <w:rPr>
                <w:rFonts w:ascii="Times New Roman" w:hAnsi="Times New Roman" w:cs="Times New Roman"/>
                <w:sz w:val="20"/>
                <w:szCs w:val="20"/>
              </w:rPr>
            </w:pPr>
            <w:r>
              <w:rPr>
                <w:rFonts w:hint="eastAsia" w:ascii="Times New Roman" w:hAnsi="Times New Roman" w:cs="Times New Roman"/>
                <w:sz w:val="20"/>
                <w:szCs w:val="20"/>
              </w:rPr>
              <w:t>工作人员满意度</w:t>
            </w:r>
          </w:p>
        </w:tc>
        <w:tc>
          <w:tcPr>
            <w:tcW w:w="1869" w:type="dxa"/>
            <w:vAlign w:val="center"/>
          </w:tcPr>
          <w:p>
            <w:pPr>
              <w:spacing w:line="360" w:lineRule="auto"/>
              <w:jc w:val="center"/>
              <w:rPr>
                <w:rFonts w:ascii="Times New Roman" w:hAnsi="Times New Roman" w:cs="Times New Roman"/>
                <w:sz w:val="20"/>
                <w:szCs w:val="20"/>
              </w:rPr>
            </w:pPr>
            <w:r>
              <w:rPr>
                <w:rFonts w:hint="eastAsia" w:ascii="Times New Roman" w:hAnsi="Times New Roman" w:cs="Times New Roman"/>
                <w:sz w:val="20"/>
                <w:szCs w:val="20"/>
              </w:rPr>
              <w:t>≥95%</w:t>
            </w:r>
          </w:p>
        </w:tc>
      </w:tr>
    </w:tbl>
    <w:p>
      <w:pPr>
        <w:autoSpaceDE w:val="0"/>
        <w:autoSpaceDN w:val="0"/>
        <w:adjustRightInd w:val="0"/>
        <w:snapToGrid w:val="0"/>
        <w:spacing w:line="360" w:lineRule="auto"/>
        <w:ind w:firstLine="562" w:firstLineChars="200"/>
        <w:jc w:val="left"/>
        <w:rPr>
          <w:rFonts w:ascii="Times New Roman" w:hAnsi="Times New Roman" w:eastAsia="仿宋_GB2312" w:cs="Times New Roman"/>
          <w:b/>
          <w:bCs/>
          <w:color w:val="000000" w:themeColor="text1"/>
          <w:sz w:val="28"/>
          <w:szCs w:val="28"/>
          <w:highlight w:val="yellow"/>
          <w14:textFill>
            <w14:solidFill>
              <w14:schemeClr w14:val="tx1"/>
            </w14:solidFill>
          </w14:textFill>
        </w:rPr>
      </w:pPr>
    </w:p>
    <w:p>
      <w:pPr>
        <w:adjustRightInd w:val="0"/>
        <w:snapToGrid w:val="0"/>
        <w:spacing w:line="360" w:lineRule="auto"/>
        <w:ind w:firstLine="640" w:firstLineChars="200"/>
        <w:outlineLvl w:val="1"/>
        <w:rPr>
          <w:rFonts w:ascii="Times New Roman" w:hAnsi="Times New Roman" w:eastAsia="楷体" w:cs="Times New Roman"/>
          <w:sz w:val="32"/>
          <w:szCs w:val="32"/>
        </w:rPr>
      </w:pPr>
      <w:bookmarkStart w:id="5" w:name="_Toc28656"/>
      <w:r>
        <w:rPr>
          <w:rFonts w:ascii="Times New Roman" w:hAnsi="Times New Roman" w:eastAsia="楷体" w:cs="Times New Roman"/>
          <w:sz w:val="32"/>
          <w:szCs w:val="32"/>
        </w:rPr>
        <w:t>（三）资金性质及资金收支、结余及结转情况</w:t>
      </w:r>
      <w:bookmarkEnd w:id="5"/>
    </w:p>
    <w:p>
      <w:pPr>
        <w:adjustRightInd w:val="0"/>
        <w:snapToGrid w:val="0"/>
        <w:spacing w:line="360" w:lineRule="auto"/>
        <w:ind w:firstLine="640" w:firstLineChars="200"/>
        <w:rPr>
          <w:rFonts w:ascii="Times New Roman" w:hAnsi="Times New Roman" w:eastAsia="仿宋_GB2312" w:cs="Times New Roman"/>
          <w:sz w:val="32"/>
          <w:szCs w:val="32"/>
        </w:rPr>
      </w:pPr>
      <w:bookmarkStart w:id="6" w:name="_Toc10102"/>
      <w:bookmarkStart w:id="7" w:name="_Toc1209"/>
      <w:r>
        <w:rPr>
          <w:rFonts w:hint="eastAsia" w:ascii="Times New Roman" w:hAnsi="Times New Roman" w:eastAsia="仿宋_GB2312" w:cs="Times New Roman"/>
          <w:sz w:val="32"/>
          <w:szCs w:val="32"/>
        </w:rPr>
        <w:t>大同国际陆港租赁</w:t>
      </w:r>
      <w:bookmarkEnd w:id="6"/>
      <w:bookmarkEnd w:id="7"/>
      <w:r>
        <w:rPr>
          <w:rFonts w:hint="eastAsia" w:ascii="Times New Roman" w:hAnsi="Times New Roman" w:eastAsia="仿宋_GB2312" w:cs="Times New Roman"/>
          <w:sz w:val="32"/>
          <w:szCs w:val="32"/>
        </w:rPr>
        <w:t>补助费2020年全年预算数2500万元，全年执行数2500万元，无结余资金。</w:t>
      </w:r>
    </w:p>
    <w:p>
      <w:pPr>
        <w:adjustRightInd w:val="0"/>
        <w:snapToGrid w:val="0"/>
        <w:spacing w:line="360" w:lineRule="auto"/>
        <w:ind w:firstLine="640" w:firstLineChars="200"/>
        <w:outlineLvl w:val="1"/>
        <w:rPr>
          <w:rFonts w:ascii="Times New Roman" w:hAnsi="Times New Roman" w:eastAsia="楷体" w:cs="Times New Roman"/>
          <w:sz w:val="32"/>
          <w:szCs w:val="32"/>
        </w:rPr>
      </w:pPr>
      <w:bookmarkStart w:id="8" w:name="_Toc29238"/>
      <w:bookmarkStart w:id="9" w:name="_Toc4812"/>
      <w:bookmarkStart w:id="10" w:name="_Toc7803"/>
      <w:r>
        <w:rPr>
          <w:rFonts w:ascii="Times New Roman" w:hAnsi="Times New Roman" w:eastAsia="楷体" w:cs="Times New Roman"/>
          <w:sz w:val="32"/>
          <w:szCs w:val="32"/>
        </w:rPr>
        <w:t>（四）项目得分</w:t>
      </w:r>
      <w:bookmarkEnd w:id="8"/>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项目总得分</w:t>
      </w:r>
      <w:r>
        <w:rPr>
          <w:rFonts w:hint="eastAsia" w:ascii="Times New Roman" w:hAnsi="Times New Roman" w:eastAsia="仿宋_GB2312" w:cs="Times New Roman"/>
          <w:sz w:val="32"/>
          <w:szCs w:val="32"/>
        </w:rPr>
        <w:t>88.4</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rPr>
        <w:t>“良”</w:t>
      </w:r>
      <w:r>
        <w:rPr>
          <w:rFonts w:ascii="Times New Roman" w:hAnsi="Times New Roman" w:eastAsia="仿宋_GB2312" w:cs="Times New Roman"/>
          <w:sz w:val="32"/>
          <w:szCs w:val="32"/>
        </w:rPr>
        <w:t>。</w:t>
      </w:r>
      <w:bookmarkEnd w:id="9"/>
      <w:bookmarkEnd w:id="10"/>
    </w:p>
    <w:p>
      <w:pPr>
        <w:adjustRightInd w:val="0"/>
        <w:snapToGrid w:val="0"/>
        <w:spacing w:line="360" w:lineRule="auto"/>
        <w:ind w:firstLine="640" w:firstLineChars="200"/>
        <w:outlineLvl w:val="0"/>
        <w:rPr>
          <w:rFonts w:ascii="Times New Roman" w:hAnsi="Times New Roman" w:eastAsia="黑体" w:cs="Times New Roman"/>
          <w:sz w:val="32"/>
          <w:szCs w:val="32"/>
        </w:rPr>
      </w:pPr>
      <w:bookmarkStart w:id="11" w:name="_Toc8754"/>
      <w:bookmarkStart w:id="12" w:name="_Toc26722"/>
      <w:bookmarkStart w:id="13" w:name="_Toc9110"/>
      <w:r>
        <w:rPr>
          <w:rFonts w:ascii="Times New Roman" w:hAnsi="Times New Roman" w:eastAsia="黑体" w:cs="Times New Roman"/>
          <w:sz w:val="32"/>
          <w:szCs w:val="32"/>
        </w:rPr>
        <w:t>二、项目绩效</w:t>
      </w:r>
      <w:bookmarkEnd w:id="11"/>
      <w:bookmarkEnd w:id="12"/>
      <w:bookmarkEnd w:id="13"/>
    </w:p>
    <w:p>
      <w:pPr>
        <w:adjustRightInd w:val="0"/>
        <w:snapToGrid w:val="0"/>
        <w:spacing w:line="360" w:lineRule="auto"/>
        <w:ind w:firstLine="640" w:firstLineChars="200"/>
        <w:rPr>
          <w:rFonts w:ascii="Times New Roman" w:hAnsi="Times New Roman" w:eastAsia="仿宋_GB2312" w:cs="Times New Roman"/>
          <w:sz w:val="32"/>
          <w:szCs w:val="32"/>
        </w:rPr>
      </w:pPr>
      <w:bookmarkStart w:id="14" w:name="_Toc12174"/>
      <w:bookmarkStart w:id="15" w:name="_Toc8410"/>
      <w:bookmarkStart w:id="16" w:name="_Toc3450"/>
      <w:r>
        <w:rPr>
          <w:rFonts w:hint="eastAsia" w:ascii="Times New Roman" w:hAnsi="Times New Roman" w:eastAsia="仿宋_GB2312" w:cs="Times New Roman"/>
          <w:sz w:val="32"/>
          <w:szCs w:val="32"/>
        </w:rPr>
        <w:t>大同国际陆港运营租赁补助费主要意义在于满足大同市为推动大同进口肉类指定查验场建设和发展，响应国家质检总局为支持山西综改试验区建设，推动山西省外向型经济发展。本项目作为山西省首个经国家质检总局批准建设的进口肉类查验场，属于地方政府公共服务平台。大同市政府根据自身财政状况，为了节约政府投资成本，同时最大限度的发挥民间资本市场化作用，采用了PPP、BOO投资、建设和运营模式，由大同国际陆港港务有限公司投资建设和运营，市政府按年度支付公共部分租赁补助费。</w:t>
      </w:r>
    </w:p>
    <w:p>
      <w:pPr>
        <w:adjustRightInd w:val="0"/>
        <w:snapToGrid w:val="0"/>
        <w:spacing w:line="360" w:lineRule="auto"/>
        <w:ind w:firstLine="640" w:firstLineChars="200"/>
        <w:outlineLvl w:val="0"/>
        <w:rPr>
          <w:rFonts w:ascii="Times New Roman" w:hAnsi="Times New Roman" w:eastAsia="仿宋_GB2312" w:cs="Times New Roman"/>
          <w:kern w:val="0"/>
          <w:sz w:val="32"/>
          <w:szCs w:val="32"/>
        </w:rPr>
      </w:pPr>
      <w:r>
        <w:rPr>
          <w:rFonts w:ascii="Times New Roman" w:hAnsi="Times New Roman" w:eastAsia="黑体" w:cs="Times New Roman"/>
          <w:sz w:val="32"/>
          <w:szCs w:val="32"/>
        </w:rPr>
        <w:t>三、主要经验及做法</w:t>
      </w:r>
      <w:bookmarkEnd w:id="14"/>
      <w:bookmarkEnd w:id="15"/>
      <w:bookmarkEnd w:id="16"/>
      <w:bookmarkStart w:id="17" w:name="_Toc17016"/>
      <w:bookmarkStart w:id="18" w:name="_Toc5671"/>
    </w:p>
    <w:p>
      <w:pPr>
        <w:overflowPunct w:val="0"/>
        <w:adjustRightInd w:val="0"/>
        <w:snapToGrid w:val="0"/>
        <w:spacing w:line="360" w:lineRule="auto"/>
        <w:ind w:firstLine="640" w:firstLineChars="200"/>
        <w:rPr>
          <w:rFonts w:ascii="Times New Roman" w:hAnsi="Times New Roman" w:eastAsia="仿宋_GB2312" w:cs="Times New Roman"/>
          <w:sz w:val="32"/>
          <w:szCs w:val="32"/>
        </w:rPr>
      </w:pPr>
      <w:bookmarkStart w:id="19" w:name="_Toc12459"/>
      <w:r>
        <w:rPr>
          <w:rFonts w:hint="eastAsia" w:ascii="Times New Roman" w:hAnsi="Times New Roman" w:eastAsia="仿宋_GB2312" w:cs="Times New Roman"/>
          <w:sz w:val="32"/>
          <w:szCs w:val="32"/>
        </w:rPr>
        <w:t>大同国际陆港进口肉类指定查验场及海关监管区项目依托大同装备制造园区现有基础设施、政策条件，充分利用大同交通区位优势，建设发展肉类及其他农产品进口，农产品、医药、活性炭等出口货物的查验仓储一体化的综合性现代农产品流通体系。大同国际陆港进口肉类指定查验场及海关监管区，是大同国际陆港的核心功能之一，是适应新的国际贸易需求和增长，更好优化和配置检验检疫资源，提高检验检疫工作效率的平台，有利于保障地区食品安全，推动国际贸易便利化。</w:t>
      </w:r>
    </w:p>
    <w:p>
      <w:pPr>
        <w:overflowPunct w:val="0"/>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本项目位于大同装备制造园区内，总占地529.05亩。预测近期年进口肉类查验量10万吨，进出口普货查验量120万吨；远期年进口肉类查验量20万吨，进出口普货查验量310万吨，跨境电子商:进出口货物查验量180万吨。</w:t>
      </w:r>
    </w:p>
    <w:p>
      <w:pPr>
        <w:adjustRightInd w:val="0"/>
        <w:snapToGrid w:val="0"/>
        <w:spacing w:line="360" w:lineRule="auto"/>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四、需关注的主要问题</w:t>
      </w:r>
      <w:bookmarkEnd w:id="17"/>
      <w:bookmarkEnd w:id="18"/>
      <w:bookmarkEnd w:id="19"/>
    </w:p>
    <w:p>
      <w:pPr>
        <w:adjustRightInd w:val="0"/>
        <w:snapToGrid w:val="0"/>
        <w:spacing w:line="360" w:lineRule="auto"/>
        <w:ind w:firstLine="640" w:firstLineChars="200"/>
        <w:jc w:val="left"/>
        <w:outlineLvl w:val="1"/>
        <w:rPr>
          <w:rFonts w:ascii="Times New Roman" w:hAnsi="Times New Roman" w:eastAsia="楷体" w:cs="Times New Roman"/>
          <w:sz w:val="32"/>
          <w:szCs w:val="32"/>
        </w:rPr>
      </w:pPr>
      <w:bookmarkStart w:id="20" w:name="_Toc12307"/>
      <w:r>
        <w:rPr>
          <w:rFonts w:hint="eastAsia" w:ascii="Times New Roman" w:hAnsi="Times New Roman" w:eastAsia="楷体" w:cs="Times New Roman"/>
          <w:sz w:val="32"/>
          <w:szCs w:val="32"/>
        </w:rPr>
        <w:t>1.项目业务管理制度不健全且执行不规范</w:t>
      </w:r>
    </w:p>
    <w:p>
      <w:pPr>
        <w:adjustRightInd w:val="0"/>
        <w:snapToGrid w:val="0"/>
        <w:spacing w:line="360" w:lineRule="auto"/>
        <w:ind w:firstLine="640" w:firstLineChars="200"/>
        <w:rPr>
          <w:rFonts w:ascii="Times New Roman" w:hAnsi="Times New Roman" w:eastAsia="楷体" w:cs="Times New Roman"/>
          <w:sz w:val="32"/>
          <w:szCs w:val="32"/>
        </w:rPr>
      </w:pPr>
      <w:r>
        <w:rPr>
          <w:rFonts w:hint="eastAsia" w:ascii="Times New Roman" w:hAnsi="Times New Roman" w:eastAsia="仿宋_GB2312" w:cs="Times New Roman"/>
          <w:sz w:val="32"/>
          <w:szCs w:val="32"/>
        </w:rPr>
        <w:t>评价组通过现场核实相关资料，项目实施单位大同国际陆港港务有限公司制定了《财务管理制度》，对预算编制及执行、支出管理、财务审批程序、会计报表及档案、财务监督、财务审核、固定资产管理等方面作出了明确规定；但缺少《合同管理制度》、《档案保密制度》、《档案鉴定销毁制度》等。</w:t>
      </w:r>
    </w:p>
    <w:p>
      <w:pPr>
        <w:adjustRightInd w:val="0"/>
        <w:snapToGrid w:val="0"/>
        <w:spacing w:line="360" w:lineRule="auto"/>
        <w:ind w:firstLine="640" w:firstLineChars="200"/>
        <w:jc w:val="left"/>
        <w:outlineLvl w:val="1"/>
        <w:rPr>
          <w:rFonts w:ascii="Times New Roman" w:hAnsi="Times New Roman" w:eastAsia="楷体" w:cs="Times New Roman"/>
          <w:sz w:val="32"/>
          <w:szCs w:val="32"/>
        </w:rPr>
      </w:pPr>
      <w:r>
        <w:rPr>
          <w:rFonts w:hint="eastAsia" w:ascii="Times New Roman" w:hAnsi="Times New Roman" w:eastAsia="楷体" w:cs="Times New Roman"/>
          <w:sz w:val="32"/>
          <w:szCs w:val="32"/>
        </w:rPr>
        <w:t>2.未制定后续可持续运营方案</w:t>
      </w:r>
    </w:p>
    <w:p>
      <w:pPr>
        <w:adjustRightInd w:val="0"/>
        <w:snapToGrid w:val="0"/>
        <w:spacing w:line="360" w:lineRule="auto"/>
        <w:ind w:firstLine="640" w:firstLineChars="200"/>
        <w:rPr>
          <w:rFonts w:ascii="Times New Roman" w:hAnsi="Times New Roman" w:eastAsia="楷体" w:cs="Times New Roman"/>
          <w:sz w:val="32"/>
          <w:szCs w:val="32"/>
        </w:rPr>
      </w:pPr>
      <w:r>
        <w:rPr>
          <w:rFonts w:hint="eastAsia" w:ascii="Times New Roman" w:hAnsi="Times New Roman" w:eastAsia="仿宋_GB2312" w:cs="Times New Roman"/>
          <w:sz w:val="32"/>
          <w:szCs w:val="32"/>
        </w:rPr>
        <w:t>评价组通过对运营方大同国际陆港港务有限公司负责人访谈得知，本项目2020年至2021年持续运营，但大同国际陆港港务有限公司未对本项目制定运营保障管理方案，未制定运营补贴方案。</w:t>
      </w:r>
    </w:p>
    <w:p>
      <w:pPr>
        <w:adjustRightInd w:val="0"/>
        <w:snapToGrid w:val="0"/>
        <w:spacing w:line="360" w:lineRule="auto"/>
        <w:ind w:firstLine="640" w:firstLineChars="200"/>
        <w:jc w:val="left"/>
        <w:outlineLvl w:val="1"/>
        <w:rPr>
          <w:rFonts w:ascii="Times New Roman" w:hAnsi="Times New Roman" w:eastAsia="楷体" w:cs="Times New Roman"/>
          <w:sz w:val="32"/>
          <w:szCs w:val="32"/>
        </w:rPr>
      </w:pPr>
      <w:r>
        <w:rPr>
          <w:rFonts w:hint="eastAsia" w:ascii="Times New Roman" w:hAnsi="Times New Roman" w:eastAsia="楷体" w:cs="Times New Roman"/>
          <w:sz w:val="32"/>
          <w:szCs w:val="32"/>
        </w:rPr>
        <w:t>3.绩效指标不明确</w:t>
      </w:r>
    </w:p>
    <w:p>
      <w:pPr>
        <w:adjustRightInd w:val="0"/>
        <w:snapToGrid w:val="0"/>
        <w:spacing w:line="360" w:lineRule="auto"/>
        <w:ind w:firstLine="640" w:firstLineChars="200"/>
        <w:rPr>
          <w:rFonts w:ascii="Times New Roman" w:hAnsi="Times New Roman" w:eastAsia="楷体" w:cs="Times New Roman"/>
          <w:sz w:val="32"/>
          <w:szCs w:val="32"/>
        </w:rPr>
      </w:pPr>
      <w:r>
        <w:rPr>
          <w:rFonts w:hint="eastAsia" w:ascii="Times New Roman" w:hAnsi="Times New Roman" w:eastAsia="仿宋_GB2312" w:cs="Times New Roman"/>
          <w:sz w:val="32"/>
          <w:szCs w:val="32"/>
        </w:rPr>
        <w:t>评价组通过核实相关资料可知，项目实施单位设置绩效指标时存在以下几点问题：（1）数量指标指标值未设置采购完成率、基地面积利用率；（2）质量指标指标值未设置购置设备质量达标率、引进企业类别达标率；（3）时效指标指标值未设置资金发放及时性、技术支撑服务及时性；（4）成本指标指标值未设置房租控制率；（5）经济效益指标指标值未设置入站企业产值增长情况；（6）社会效益指标指标值未设置入站企业研发成就、科技创新荣誉情况、促进就业情况；（7）可持续影响指标指标值未设置陆港持续运营方案；（8）满意度指标指标值未设置企业满意度。</w:t>
      </w:r>
    </w:p>
    <w:p>
      <w:pPr>
        <w:overflowPunct w:val="0"/>
        <w:autoSpaceDE w:val="0"/>
        <w:autoSpaceDN w:val="0"/>
        <w:adjustRightInd w:val="0"/>
        <w:snapToGrid w:val="0"/>
        <w:spacing w:line="360" w:lineRule="auto"/>
        <w:ind w:firstLine="640" w:firstLineChars="200"/>
        <w:outlineLvl w:val="0"/>
        <w:rPr>
          <w:rFonts w:ascii="Times New Roman" w:hAnsi="Times New Roman" w:eastAsia="黑体" w:cs="Times New Roman"/>
          <w:kern w:val="0"/>
          <w:sz w:val="32"/>
          <w:szCs w:val="32"/>
          <w:shd w:val="clear" w:color="auto" w:fill="FFFFFF"/>
        </w:rPr>
      </w:pPr>
      <w:r>
        <w:rPr>
          <w:rFonts w:hint="eastAsia" w:ascii="Times New Roman" w:hAnsi="Times New Roman" w:eastAsia="黑体" w:cs="Times New Roman"/>
          <w:kern w:val="0"/>
          <w:sz w:val="32"/>
          <w:szCs w:val="32"/>
          <w:shd w:val="clear" w:color="auto" w:fill="FFFFFF"/>
        </w:rPr>
        <w:t>五</w:t>
      </w:r>
      <w:r>
        <w:rPr>
          <w:rFonts w:ascii="Times New Roman" w:hAnsi="Times New Roman" w:eastAsia="黑体" w:cs="Times New Roman"/>
          <w:kern w:val="0"/>
          <w:sz w:val="32"/>
          <w:szCs w:val="32"/>
          <w:shd w:val="clear" w:color="auto" w:fill="FFFFFF"/>
        </w:rPr>
        <w:t>、</w:t>
      </w:r>
      <w:r>
        <w:rPr>
          <w:rFonts w:hint="eastAsia" w:ascii="Times New Roman" w:hAnsi="Times New Roman" w:eastAsia="黑体" w:cs="Times New Roman"/>
          <w:kern w:val="0"/>
          <w:sz w:val="32"/>
          <w:szCs w:val="32"/>
          <w:shd w:val="clear" w:color="auto" w:fill="FFFFFF"/>
        </w:rPr>
        <w:t>有关建议</w:t>
      </w:r>
    </w:p>
    <w:p>
      <w:pPr>
        <w:adjustRightInd w:val="0"/>
        <w:snapToGrid w:val="0"/>
        <w:spacing w:line="360" w:lineRule="auto"/>
        <w:ind w:firstLine="640" w:firstLineChars="200"/>
        <w:outlineLvl w:val="1"/>
        <w:rPr>
          <w:rFonts w:ascii="Times New Roman" w:hAnsi="Times New Roman" w:eastAsia="楷体" w:cs="Times New Roman"/>
          <w:kern w:val="0"/>
          <w:sz w:val="32"/>
          <w:szCs w:val="32"/>
        </w:rPr>
      </w:pPr>
      <w:r>
        <w:rPr>
          <w:rFonts w:hint="eastAsia" w:ascii="Times New Roman" w:hAnsi="Times New Roman" w:eastAsia="楷体" w:cs="Times New Roman"/>
          <w:kern w:val="0"/>
          <w:sz w:val="32"/>
          <w:szCs w:val="32"/>
        </w:rPr>
        <w:t>（一）完善业务管理制度，加强业务管理制度执行</w:t>
      </w:r>
    </w:p>
    <w:p>
      <w:pPr>
        <w:adjustRightInd w:val="0"/>
        <w:snapToGrid w:val="0"/>
        <w:spacing w:line="360" w:lineRule="auto"/>
        <w:ind w:firstLine="640" w:firstLineChars="200"/>
        <w:outlineLvl w:val="1"/>
        <w:rPr>
          <w:rFonts w:ascii="Times New Roman" w:hAnsi="Times New Roman" w:eastAsia="楷体" w:cs="Times New Roman"/>
          <w:kern w:val="0"/>
          <w:sz w:val="32"/>
          <w:szCs w:val="32"/>
        </w:rPr>
      </w:pPr>
      <w:r>
        <w:rPr>
          <w:rFonts w:ascii="Times New Roman" w:hAnsi="Times New Roman" w:eastAsia="楷体" w:cs="Times New Roman"/>
          <w:kern w:val="0"/>
          <w:sz w:val="32"/>
          <w:szCs w:val="32"/>
        </w:rPr>
        <w:t>（</w:t>
      </w:r>
      <w:r>
        <w:rPr>
          <w:rFonts w:hint="eastAsia" w:ascii="Times New Roman" w:hAnsi="Times New Roman" w:eastAsia="楷体" w:cs="Times New Roman"/>
          <w:kern w:val="0"/>
          <w:sz w:val="32"/>
          <w:szCs w:val="32"/>
        </w:rPr>
        <w:t>二</w:t>
      </w:r>
      <w:r>
        <w:rPr>
          <w:rFonts w:ascii="Times New Roman" w:hAnsi="Times New Roman" w:eastAsia="楷体" w:cs="Times New Roman"/>
          <w:kern w:val="0"/>
          <w:sz w:val="32"/>
          <w:szCs w:val="32"/>
        </w:rPr>
        <w:t>）</w:t>
      </w:r>
      <w:r>
        <w:rPr>
          <w:rFonts w:hint="eastAsia" w:ascii="Times New Roman" w:hAnsi="Times New Roman" w:eastAsia="楷体" w:cs="Times New Roman"/>
          <w:kern w:val="0"/>
          <w:sz w:val="32"/>
          <w:szCs w:val="32"/>
        </w:rPr>
        <w:t>制定可持续运营方案，保障项目持续运营</w:t>
      </w:r>
    </w:p>
    <w:p>
      <w:pPr>
        <w:adjustRightInd w:val="0"/>
        <w:snapToGrid w:val="0"/>
        <w:spacing w:line="360" w:lineRule="auto"/>
        <w:ind w:firstLine="640" w:firstLineChars="200"/>
        <w:outlineLvl w:val="1"/>
        <w:rPr>
          <w:rFonts w:ascii="Times New Roman" w:hAnsi="Times New Roman" w:eastAsia="楷体" w:cs="Times New Roman"/>
          <w:kern w:val="0"/>
          <w:sz w:val="32"/>
          <w:szCs w:val="32"/>
        </w:rPr>
      </w:pPr>
      <w:r>
        <w:rPr>
          <w:rFonts w:ascii="Times New Roman" w:hAnsi="Times New Roman" w:eastAsia="楷体" w:cs="Times New Roman"/>
          <w:kern w:val="0"/>
          <w:sz w:val="32"/>
          <w:szCs w:val="32"/>
        </w:rPr>
        <w:t>（</w:t>
      </w:r>
      <w:r>
        <w:rPr>
          <w:rFonts w:hint="eastAsia" w:ascii="Times New Roman" w:hAnsi="Times New Roman" w:eastAsia="楷体" w:cs="Times New Roman"/>
          <w:kern w:val="0"/>
          <w:sz w:val="32"/>
          <w:szCs w:val="32"/>
        </w:rPr>
        <w:t>三）树立绩效管理理念，提高绩效管理水平</w:t>
      </w:r>
    </w:p>
    <w:bookmarkEnd w:id="20"/>
    <w:p>
      <w:pPr>
        <w:adjustRightInd w:val="0"/>
        <w:snapToGrid w:val="0"/>
        <w:spacing w:line="360" w:lineRule="auto"/>
        <w:ind w:firstLine="640" w:firstLineChars="200"/>
        <w:outlineLvl w:val="0"/>
        <w:rPr>
          <w:rFonts w:ascii="Times New Roman" w:hAnsi="Times New Roman" w:eastAsia="黑体" w:cs="Times New Roman"/>
          <w:sz w:val="32"/>
          <w:szCs w:val="32"/>
        </w:rPr>
      </w:pPr>
      <w:bookmarkStart w:id="21" w:name="_Toc28078"/>
      <w:bookmarkStart w:id="22" w:name="_Toc1446"/>
      <w:bookmarkStart w:id="23" w:name="_Toc3926"/>
      <w:bookmarkStart w:id="24" w:name="_Toc30346"/>
      <w:bookmarkStart w:id="25" w:name="_Toc28440"/>
      <w:bookmarkStart w:id="26" w:name="_Toc20813"/>
      <w:r>
        <w:rPr>
          <w:rFonts w:hint="eastAsia" w:ascii="Times New Roman" w:hAnsi="Times New Roman" w:eastAsia="黑体" w:cs="Times New Roman"/>
          <w:sz w:val="32"/>
          <w:szCs w:val="32"/>
        </w:rPr>
        <w:t>六、</w:t>
      </w:r>
      <w:r>
        <w:rPr>
          <w:rFonts w:ascii="Times New Roman" w:hAnsi="Times New Roman" w:eastAsia="黑体" w:cs="Times New Roman"/>
          <w:sz w:val="32"/>
          <w:szCs w:val="32"/>
        </w:rPr>
        <w:t>其他需说明的问题</w:t>
      </w:r>
      <w:bookmarkEnd w:id="21"/>
      <w:bookmarkEnd w:id="22"/>
      <w:bookmarkEnd w:id="23"/>
      <w:bookmarkEnd w:id="24"/>
      <w:bookmarkEnd w:id="25"/>
      <w:bookmarkEnd w:id="26"/>
    </w:p>
    <w:p>
      <w:pPr>
        <w:adjustRightInd w:val="0"/>
        <w:snapToGrid w:val="0"/>
        <w:spacing w:line="360" w:lineRule="auto"/>
        <w:ind w:firstLine="640" w:firstLineChars="200"/>
      </w:pPr>
      <w:r>
        <w:rPr>
          <w:rFonts w:hint="eastAsia" w:ascii="Times New Roman" w:hAnsi="Times New Roman" w:eastAsia="仿宋_GB2312" w:cs="Times New Roman"/>
          <w:sz w:val="32"/>
          <w:szCs w:val="32"/>
        </w:rPr>
        <w:t>无。</w:t>
      </w:r>
    </w:p>
    <w:sectPr>
      <w:headerReference r:id="rId7" w:type="default"/>
      <w:footerReference r:id="rId9" w:type="default"/>
      <w:headerReference r:id="rId8" w:type="even"/>
      <w:footerReference r:id="rId10" w:type="even"/>
      <w:pgSz w:w="11906" w:h="16838"/>
      <w:pgMar w:top="1531" w:right="1531" w:bottom="1531" w:left="1531" w:header="851" w:footer="992"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2MmrI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oUQzhYqffnw/&#10;/Xw4/fpGcAaBWutniLu3iAzdO9OhbYZzj8PIu6ucil8wIvBD3uNFXtEFwuOl6WQ6zeHi8A0b4GeP&#10;163z4b0wikSjoA71S7Kyw8aHPnQIidm0WTdSphpKTVqQeP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YyasiwCAABX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- 10 -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8pm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svKZoKwIAAFcEAAAOAAAAAAAAAAEAIAAAAB8BAABkcnMvZTJvRG9jLnhtbFBLBQYAAAAABgAG&#10;AFkBAAC8BQAAAAA=&#10;">
              <v:fill on="f" focussize="0,0"/>
              <v:stroke on="f" weight="0.5pt"/>
              <v:imagedata o:title=""/>
              <o:lock v:ext="edit" aspectratio="f"/>
              <v:textbox inset="0mm,0mm,0mm,0mm" style="mso-fit-shape-to-text:t;">
                <w:txbxContent>
                  <w:p>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- 10 -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adjustRightInd w:val="0"/>
      <w:rPr>
        <w:rFonts w:ascii="仿宋_GB2312" w:hAnsi="仿宋_GB2312" w:eastAsia="仿宋_GB2312" w:cs="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ckThinSmallGap" w:color="auto" w:sz="12" w:space="1"/>
      </w:pBdr>
      <w:adjustRightInd w:val="0"/>
      <w:snapToGrid w:val="0"/>
      <w:jc w:val="center"/>
    </w:pPr>
    <w:r>
      <w:rPr>
        <w:rFonts w:hint="eastAsia" w:ascii="仿宋" w:hAnsi="仿宋" w:eastAsia="仿宋" w:cs="仿宋"/>
        <w:b/>
        <w:bCs/>
        <w:sz w:val="18"/>
        <w:szCs w:val="18"/>
      </w:rPr>
      <w:t xml:space="preserve">2020年大同市市级国有土地出让收入安排的支出（大同陆港租赁补助项目）财政支出项目支出绩效评价报告                    </w:t>
    </w:r>
    <w:r>
      <w:rPr>
        <w:rFonts w:hint="eastAsia" w:ascii="仿宋_GB2312" w:hAnsi="仿宋_GB2312" w:eastAsia="仿宋_GB2312" w:cs="仿宋_GB2312"/>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ckThinSmallGap" w:color="auto" w:sz="12" w:space="1"/>
      </w:pBdr>
      <w:rPr>
        <w:rFonts w:ascii="仿宋" w:hAnsi="仿宋" w:eastAsia="仿宋" w:cs="仿宋"/>
        <w:b/>
        <w:bCs/>
      </w:rPr>
    </w:pPr>
    <w:r>
      <w:rPr>
        <w:rFonts w:hint="eastAsia" w:ascii="仿宋" w:hAnsi="仿宋" w:eastAsia="仿宋" w:cs="仿宋"/>
        <w:b/>
        <w:bCs/>
      </w:rPr>
      <w:t>2020年大同市市级国有土地出让收入安排的支出（大同陆港租赁补助项目）财政支出项目支出绩效评价报告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kMTE1NWU2NzRmNzNlNDBiM2JiYTAzNjI4NjMyYzUifQ=="/>
  </w:docVars>
  <w:rsids>
    <w:rsidRoot w:val="003E4047"/>
    <w:rsid w:val="003076C7"/>
    <w:rsid w:val="003E4047"/>
    <w:rsid w:val="00722F38"/>
    <w:rsid w:val="00755336"/>
    <w:rsid w:val="00F73F26"/>
    <w:rsid w:val="0210745F"/>
    <w:rsid w:val="04502B0E"/>
    <w:rsid w:val="04A325D8"/>
    <w:rsid w:val="04E81A9D"/>
    <w:rsid w:val="05322502"/>
    <w:rsid w:val="05526700"/>
    <w:rsid w:val="0614567F"/>
    <w:rsid w:val="06BE41B9"/>
    <w:rsid w:val="06F7130D"/>
    <w:rsid w:val="06F75791"/>
    <w:rsid w:val="070B6B66"/>
    <w:rsid w:val="07693639"/>
    <w:rsid w:val="07CF5DE6"/>
    <w:rsid w:val="096E7880"/>
    <w:rsid w:val="098B2E89"/>
    <w:rsid w:val="0A4C6D5E"/>
    <w:rsid w:val="0A777CB0"/>
    <w:rsid w:val="0B600ECB"/>
    <w:rsid w:val="0C533B83"/>
    <w:rsid w:val="0D8E5F16"/>
    <w:rsid w:val="0F2D4E44"/>
    <w:rsid w:val="0F3330FE"/>
    <w:rsid w:val="100E76C7"/>
    <w:rsid w:val="11572734"/>
    <w:rsid w:val="12706417"/>
    <w:rsid w:val="13500619"/>
    <w:rsid w:val="169652C3"/>
    <w:rsid w:val="1A820FED"/>
    <w:rsid w:val="1AC76DF0"/>
    <w:rsid w:val="1B10165B"/>
    <w:rsid w:val="1C18310F"/>
    <w:rsid w:val="1CB738E8"/>
    <w:rsid w:val="1F08738A"/>
    <w:rsid w:val="1FCA7A67"/>
    <w:rsid w:val="22294FA0"/>
    <w:rsid w:val="230C25D2"/>
    <w:rsid w:val="23190BEB"/>
    <w:rsid w:val="273176E3"/>
    <w:rsid w:val="281C1F4D"/>
    <w:rsid w:val="29EA55A7"/>
    <w:rsid w:val="2BF35C97"/>
    <w:rsid w:val="2C022390"/>
    <w:rsid w:val="2C7D3F82"/>
    <w:rsid w:val="2D1D62C3"/>
    <w:rsid w:val="2DA75651"/>
    <w:rsid w:val="2FF44DC1"/>
    <w:rsid w:val="314D3FB3"/>
    <w:rsid w:val="35907A94"/>
    <w:rsid w:val="37854085"/>
    <w:rsid w:val="38975BFC"/>
    <w:rsid w:val="3A105C66"/>
    <w:rsid w:val="3AAE12A1"/>
    <w:rsid w:val="3AD9108C"/>
    <w:rsid w:val="3B834CB8"/>
    <w:rsid w:val="3D4C5207"/>
    <w:rsid w:val="3EF67D02"/>
    <w:rsid w:val="3F035D9A"/>
    <w:rsid w:val="4193621D"/>
    <w:rsid w:val="41D9217B"/>
    <w:rsid w:val="424A205B"/>
    <w:rsid w:val="428754A2"/>
    <w:rsid w:val="446D70BB"/>
    <w:rsid w:val="44F436F8"/>
    <w:rsid w:val="46ED053A"/>
    <w:rsid w:val="484165C7"/>
    <w:rsid w:val="48C2736B"/>
    <w:rsid w:val="49940662"/>
    <w:rsid w:val="4A5B4CDC"/>
    <w:rsid w:val="4A995804"/>
    <w:rsid w:val="4D3B3999"/>
    <w:rsid w:val="4D435969"/>
    <w:rsid w:val="4D783925"/>
    <w:rsid w:val="4E342C17"/>
    <w:rsid w:val="4EA3273C"/>
    <w:rsid w:val="4ECA2430"/>
    <w:rsid w:val="4EED5D16"/>
    <w:rsid w:val="4F4E4E0F"/>
    <w:rsid w:val="4FE47521"/>
    <w:rsid w:val="51C370F3"/>
    <w:rsid w:val="5257222D"/>
    <w:rsid w:val="543C0296"/>
    <w:rsid w:val="544500C0"/>
    <w:rsid w:val="54484523"/>
    <w:rsid w:val="55125468"/>
    <w:rsid w:val="568820C7"/>
    <w:rsid w:val="568A7075"/>
    <w:rsid w:val="570404A9"/>
    <w:rsid w:val="58006252"/>
    <w:rsid w:val="59411D74"/>
    <w:rsid w:val="59896C8A"/>
    <w:rsid w:val="59912B1C"/>
    <w:rsid w:val="5A221372"/>
    <w:rsid w:val="5BE03293"/>
    <w:rsid w:val="5DEC5070"/>
    <w:rsid w:val="5F0604AB"/>
    <w:rsid w:val="5F316A03"/>
    <w:rsid w:val="5FF94902"/>
    <w:rsid w:val="60503F00"/>
    <w:rsid w:val="628B04C4"/>
    <w:rsid w:val="64082596"/>
    <w:rsid w:val="65C459D3"/>
    <w:rsid w:val="6643648D"/>
    <w:rsid w:val="669E2907"/>
    <w:rsid w:val="66E923EB"/>
    <w:rsid w:val="67E61C31"/>
    <w:rsid w:val="69E62F22"/>
    <w:rsid w:val="6AA638F9"/>
    <w:rsid w:val="6B717382"/>
    <w:rsid w:val="7225214A"/>
    <w:rsid w:val="72CA4EB4"/>
    <w:rsid w:val="730438B3"/>
    <w:rsid w:val="732559F5"/>
    <w:rsid w:val="73755CC0"/>
    <w:rsid w:val="7376025B"/>
    <w:rsid w:val="737C169B"/>
    <w:rsid w:val="7451673F"/>
    <w:rsid w:val="784B1274"/>
    <w:rsid w:val="78E65ECE"/>
    <w:rsid w:val="79346574"/>
    <w:rsid w:val="79EE2DCB"/>
    <w:rsid w:val="7B7E27E6"/>
    <w:rsid w:val="7D3354C1"/>
    <w:rsid w:val="7D6F5A09"/>
    <w:rsid w:val="7F032EEB"/>
    <w:rsid w:val="7F71407E"/>
    <w:rsid w:val="7FDE1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样式 10 磅7"/>
    <w:qFormat/>
    <w:uiPriority w:val="99"/>
    <w:pPr>
      <w:widowControl w:val="0"/>
      <w:jc w:val="both"/>
    </w:pPr>
    <w:rPr>
      <w:rFonts w:ascii="Calibri" w:hAnsi="Calibri" w:eastAsia="宋体" w:cs="Times New Roman"/>
      <w:kern w:val="2"/>
      <w:sz w:val="21"/>
      <w:szCs w:val="22"/>
      <w:lang w:val="en-US" w:eastAsia="zh-CN" w:bidi="ar-SA"/>
    </w:rPr>
  </w:style>
  <w:style w:type="paragraph" w:styleId="3">
    <w:name w:val="table of authorities"/>
    <w:basedOn w:val="1"/>
    <w:next w:val="1"/>
    <w:qFormat/>
    <w:uiPriority w:val="0"/>
    <w:pPr>
      <w:ind w:left="420" w:leftChars="200"/>
    </w:pPr>
  </w:style>
  <w:style w:type="paragraph" w:styleId="4">
    <w:name w:val="annotation text"/>
    <w:basedOn w:val="1"/>
    <w:link w:val="29"/>
    <w:qFormat/>
    <w:uiPriority w:val="0"/>
    <w:pPr>
      <w:jc w:val="left"/>
    </w:pPr>
  </w:style>
  <w:style w:type="paragraph" w:styleId="5">
    <w:name w:val="Body Text"/>
    <w:basedOn w:val="1"/>
    <w:next w:val="1"/>
    <w:qFormat/>
    <w:uiPriority w:val="99"/>
    <w:pPr>
      <w:spacing w:before="120" w:line="360" w:lineRule="auto"/>
    </w:pPr>
    <w:rPr>
      <w:sz w:val="28"/>
    </w:rPr>
  </w:style>
  <w:style w:type="paragraph" w:styleId="6">
    <w:name w:val="Body Text Indent"/>
    <w:basedOn w:val="1"/>
    <w:unhideWhenUsed/>
    <w:qFormat/>
    <w:uiPriority w:val="99"/>
    <w:pPr>
      <w:spacing w:after="120"/>
      <w:ind w:left="420" w:leftChars="200"/>
    </w:pPr>
  </w:style>
  <w:style w:type="paragraph" w:styleId="7">
    <w:name w:val="toc 3"/>
    <w:basedOn w:val="1"/>
    <w:next w:val="1"/>
    <w:qFormat/>
    <w:uiPriority w:val="0"/>
    <w:pPr>
      <w:ind w:left="840" w:leftChars="400"/>
    </w:pPr>
  </w:style>
  <w:style w:type="paragraph" w:styleId="8">
    <w:name w:val="Plain Text"/>
    <w:basedOn w:val="1"/>
    <w:qFormat/>
    <w:uiPriority w:val="0"/>
    <w:pPr>
      <w:spacing w:line="360" w:lineRule="auto"/>
      <w:ind w:firstLine="723" w:firstLineChars="200"/>
    </w:pPr>
    <w:rPr>
      <w:rFonts w:ascii="宋体" w:hAnsi="Courier New" w:cs="Times New Roman"/>
    </w:rPr>
  </w:style>
  <w:style w:type="paragraph" w:styleId="9">
    <w:name w:val="footer"/>
    <w:basedOn w:val="1"/>
    <w:semiHidden/>
    <w:unhideWhenUsed/>
    <w:qFormat/>
    <w:uiPriority w:val="99"/>
    <w:pPr>
      <w:tabs>
        <w:tab w:val="center" w:pos="4153"/>
        <w:tab w:val="right" w:pos="8306"/>
      </w:tabs>
      <w:snapToGrid w:val="0"/>
      <w:jc w:val="left"/>
    </w:pPr>
    <w:rPr>
      <w:sz w:val="18"/>
      <w:szCs w:val="18"/>
    </w:rPr>
  </w:style>
  <w:style w:type="paragraph" w:styleId="10">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nhideWhenUsed/>
    <w:qFormat/>
    <w:uiPriority w:val="39"/>
  </w:style>
  <w:style w:type="paragraph" w:styleId="12">
    <w:name w:val="toc 2"/>
    <w:basedOn w:val="1"/>
    <w:next w:val="1"/>
    <w:qFormat/>
    <w:uiPriority w:val="0"/>
    <w:pPr>
      <w:ind w:left="420" w:leftChars="200"/>
    </w:pPr>
  </w:style>
  <w:style w:type="paragraph" w:styleId="13">
    <w:name w:val="annotation subject"/>
    <w:basedOn w:val="4"/>
    <w:next w:val="4"/>
    <w:link w:val="30"/>
    <w:qFormat/>
    <w:uiPriority w:val="0"/>
    <w:rPr>
      <w:b/>
      <w:bCs/>
    </w:rPr>
  </w:style>
  <w:style w:type="paragraph" w:styleId="14">
    <w:name w:val="Body Text First Indent 2"/>
    <w:basedOn w:val="6"/>
    <w:unhideWhenUsed/>
    <w:qFormat/>
    <w:uiPriority w:val="99"/>
    <w:pPr>
      <w:ind w:firstLine="420" w:firstLineChars="200"/>
    </w:pPr>
  </w:style>
  <w:style w:type="table" w:styleId="16">
    <w:name w:val="Table Grid"/>
    <w:basedOn w:val="15"/>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basedOn w:val="17"/>
    <w:qFormat/>
    <w:uiPriority w:val="0"/>
    <w:rPr>
      <w:color w:val="800080"/>
      <w:u w:val="single"/>
    </w:rPr>
  </w:style>
  <w:style w:type="character" w:styleId="19">
    <w:name w:val="Hyperlink"/>
    <w:basedOn w:val="17"/>
    <w:qFormat/>
    <w:uiPriority w:val="0"/>
    <w:rPr>
      <w:color w:val="0000FF"/>
      <w:u w:val="single"/>
    </w:rPr>
  </w:style>
  <w:style w:type="character" w:styleId="20">
    <w:name w:val="annotation reference"/>
    <w:basedOn w:val="17"/>
    <w:qFormat/>
    <w:uiPriority w:val="0"/>
    <w:rPr>
      <w:sz w:val="21"/>
      <w:szCs w:val="21"/>
    </w:rPr>
  </w:style>
  <w:style w:type="paragraph" w:customStyle="1" w:styleId="21">
    <w:name w:val="Body text|1"/>
    <w:basedOn w:val="1"/>
    <w:qFormat/>
    <w:uiPriority w:val="0"/>
    <w:pPr>
      <w:spacing w:after="180" w:line="391" w:lineRule="auto"/>
      <w:ind w:firstLine="240"/>
    </w:pPr>
    <w:rPr>
      <w:rFonts w:ascii="宋体" w:hAnsi="宋体" w:cs="宋体"/>
      <w:sz w:val="30"/>
      <w:szCs w:val="30"/>
      <w:lang w:val="zh-TW" w:eastAsia="zh-TW" w:bidi="zh-TW"/>
    </w:rPr>
  </w:style>
  <w:style w:type="paragraph" w:customStyle="1" w:styleId="22">
    <w:name w:val="列表段落1"/>
    <w:basedOn w:val="1"/>
    <w:qFormat/>
    <w:uiPriority w:val="34"/>
    <w:pPr>
      <w:ind w:firstLine="420" w:firstLineChars="200"/>
    </w:pPr>
  </w:style>
  <w:style w:type="paragraph" w:customStyle="1" w:styleId="23">
    <w:name w:val="闻政正文"/>
    <w:qFormat/>
    <w:uiPriority w:val="0"/>
    <w:pPr>
      <w:widowControl w:val="0"/>
      <w:spacing w:line="500" w:lineRule="exact"/>
      <w:ind w:firstLine="560" w:firstLineChars="200"/>
    </w:pPr>
    <w:rPr>
      <w:rFonts w:ascii="Times New Roman" w:hAnsi="Times New Roman" w:eastAsia="仿宋_GB2312" w:cs="Times New Roman"/>
      <w:sz w:val="28"/>
      <w:szCs w:val="28"/>
      <w:lang w:val="en-US" w:eastAsia="zh-CN" w:bidi="ar-SA"/>
    </w:rPr>
  </w:style>
  <w:style w:type="paragraph" w:customStyle="1" w:styleId="24">
    <w:name w:val="闻政表"/>
    <w:qFormat/>
    <w:uiPriority w:val="99"/>
    <w:pPr>
      <w:widowControl w:val="0"/>
      <w:pBdr>
        <w:top w:val="none" w:color="FFFFFF" w:sz="0" w:space="31"/>
        <w:left w:val="none" w:color="FFFFFF" w:sz="0" w:space="31"/>
        <w:bottom w:val="none" w:color="FFFFFF" w:sz="0" w:space="31"/>
        <w:right w:val="none" w:color="FFFFFF" w:sz="0" w:space="31"/>
      </w:pBdr>
      <w:spacing w:before="60" w:after="60"/>
      <w:jc w:val="center"/>
    </w:pPr>
    <w:rPr>
      <w:rFonts w:ascii="Arial Unicode MS" w:hAnsi="Arial Unicode MS" w:eastAsia="宋体" w:cs="Arial Unicode MS"/>
      <w:b/>
      <w:bCs/>
      <w:color w:val="000000"/>
      <w:sz w:val="24"/>
      <w:szCs w:val="24"/>
      <w:u w:color="000000"/>
      <w:lang w:val="en-US" w:eastAsia="zh-CN" w:bidi="ar-SA"/>
    </w:rPr>
  </w:style>
  <w:style w:type="paragraph" w:customStyle="1" w:styleId="25">
    <w:name w:val="Table Paragraph"/>
    <w:basedOn w:val="1"/>
    <w:qFormat/>
    <w:uiPriority w:val="1"/>
    <w:pPr>
      <w:jc w:val="center"/>
    </w:pPr>
    <w:rPr>
      <w:rFonts w:ascii="宋体" w:hAnsi="宋体" w:cs="宋体"/>
      <w:lang w:val="zh-CN" w:bidi="zh-CN"/>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
    <w:name w:val="Revision"/>
    <w:hidden/>
    <w:semiHidden/>
    <w:qFormat/>
    <w:uiPriority w:val="99"/>
    <w:rPr>
      <w:rFonts w:ascii="Calibri" w:hAnsi="Calibri" w:eastAsia="宋体" w:cs="黑体"/>
      <w:kern w:val="2"/>
      <w:sz w:val="21"/>
      <w:szCs w:val="22"/>
      <w:lang w:val="en-US" w:eastAsia="zh-CN" w:bidi="ar-SA"/>
    </w:rPr>
  </w:style>
  <w:style w:type="character" w:customStyle="1" w:styleId="29">
    <w:name w:val="批注文字 字符"/>
    <w:basedOn w:val="17"/>
    <w:link w:val="4"/>
    <w:qFormat/>
    <w:uiPriority w:val="0"/>
    <w:rPr>
      <w:rFonts w:ascii="Calibri" w:hAnsi="Calibri" w:cs="黑体"/>
      <w:kern w:val="2"/>
      <w:sz w:val="21"/>
      <w:szCs w:val="22"/>
    </w:rPr>
  </w:style>
  <w:style w:type="character" w:customStyle="1" w:styleId="30">
    <w:name w:val="批注主题 字符"/>
    <w:basedOn w:val="29"/>
    <w:link w:val="13"/>
    <w:qFormat/>
    <w:uiPriority w:val="0"/>
    <w:rPr>
      <w:rFonts w:ascii="Calibri" w:hAnsi="Calibri" w:cs="黑体"/>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26237</Words>
  <Characters>28221</Characters>
  <Lines>225</Lines>
  <Paragraphs>63</Paragraphs>
  <TotalTime>38</TotalTime>
  <ScaleCrop>false</ScaleCrop>
  <LinksUpToDate>false</LinksUpToDate>
  <CharactersWithSpaces>28485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2022-03-07T02:59:00Z</dcterms:created>
  <dc:creator>22086</dc:creator>
  <cp:lastModifiedBy>小不点儿</cp:lastModifiedBy>
  <cp:lastPrinted>2022-08-29T02:28:00Z</cp:lastPrinted>
  <dcterms:modified xsi:type="dcterms:W3CDTF">2023-10-06T05:13:36Z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85B73416CEB546B18A3CD21AA23DBE98</vt:lpwstr>
  </property>
</Properties>
</file>