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156" w:beforeLines="50" w:line="600" w:lineRule="exact"/>
        <w:jc w:val="center"/>
        <w:rPr>
          <w:rFonts w:hint="default" w:ascii="Times New Roman" w:hAnsi="Times New Roman" w:eastAsia="仿宋" w:cs="Times New Roman"/>
          <w:color w:val="auto"/>
          <w:sz w:val="48"/>
          <w:szCs w:val="48"/>
          <w:highlight w:val="none"/>
          <w:lang w:val="en-US" w:eastAsia="zh-CN"/>
        </w:rPr>
      </w:pPr>
      <w:r>
        <w:rPr>
          <w:rFonts w:hint="eastAsia" w:ascii="Times New Roman" w:hAnsi="Times New Roman" w:eastAsia="仿宋" w:cs="Times New Roman"/>
          <w:color w:val="auto"/>
          <w:sz w:val="48"/>
          <w:szCs w:val="48"/>
          <w:highlight w:val="none"/>
          <w:lang w:val="en-US" w:eastAsia="zh-CN"/>
        </w:rPr>
        <w:t xml:space="preserve">  </w:t>
      </w:r>
      <w:r>
        <w:rPr>
          <w:rFonts w:hint="default" w:ascii="Times New Roman" w:hAnsi="Times New Roman" w:eastAsia="仿宋" w:cs="Times New Roman"/>
          <w:color w:val="auto"/>
          <w:sz w:val="48"/>
          <w:szCs w:val="48"/>
          <w:highlight w:val="none"/>
          <w:lang w:val="sq-AL" w:eastAsia="zh-CN"/>
        </w:rPr>
        <w:t xml:space="preserve"> </w:t>
      </w:r>
      <w:r>
        <w:rPr>
          <w:rFonts w:hint="default" w:ascii="Times New Roman" w:hAnsi="Times New Roman" w:eastAsia="仿宋" w:cs="Times New Roman"/>
          <w:color w:val="auto"/>
          <w:sz w:val="48"/>
          <w:szCs w:val="48"/>
          <w:highlight w:val="none"/>
          <w:lang w:val="en-US" w:eastAsia="zh-CN"/>
        </w:rPr>
        <w:t xml:space="preserve"> </w:t>
      </w:r>
    </w:p>
    <w:p>
      <w:pPr>
        <w:pageBreakBefore w:val="0"/>
        <w:kinsoku/>
        <w:wordWrap/>
        <w:overflowPunct/>
        <w:topLinePunct w:val="0"/>
        <w:bidi w:val="0"/>
        <w:snapToGrid/>
        <w:spacing w:before="156" w:beforeLines="50" w:line="600" w:lineRule="exact"/>
        <w:jc w:val="center"/>
        <w:rPr>
          <w:rFonts w:hint="default" w:ascii="Times New Roman" w:hAnsi="Times New Roman" w:eastAsia="仿宋" w:cs="Times New Roman"/>
          <w:color w:val="auto"/>
          <w:sz w:val="48"/>
          <w:szCs w:val="48"/>
          <w:highlight w:val="none"/>
        </w:rPr>
      </w:pPr>
    </w:p>
    <w:p>
      <w:pPr>
        <w:pageBreakBefore w:val="0"/>
        <w:kinsoku/>
        <w:wordWrap/>
        <w:overflowPunct/>
        <w:topLinePunct w:val="0"/>
        <w:bidi w:val="0"/>
        <w:snapToGrid/>
        <w:spacing w:before="156" w:beforeLines="50" w:line="600" w:lineRule="exact"/>
        <w:jc w:val="center"/>
        <w:rPr>
          <w:rFonts w:hint="default" w:ascii="Times New Roman" w:hAnsi="Times New Roman" w:eastAsia="仿宋" w:cs="Times New Roman"/>
          <w:color w:val="auto"/>
          <w:sz w:val="48"/>
          <w:szCs w:val="48"/>
          <w:highlight w:val="none"/>
        </w:rPr>
      </w:pPr>
    </w:p>
    <w:p>
      <w:pPr>
        <w:spacing w:before="120" w:beforeLines="50" w:line="500" w:lineRule="exact"/>
        <w:jc w:val="center"/>
        <w:rPr>
          <w:rFonts w:hint="default"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4"/>
          <w:szCs w:val="44"/>
          <w:highlight w:val="none"/>
          <w:lang w:val="en-US" w:eastAsia="zh-CN"/>
        </w:rPr>
        <w:t>2020年</w:t>
      </w:r>
      <w:r>
        <w:rPr>
          <w:rFonts w:hint="default" w:ascii="Times New Roman" w:hAnsi="Times New Roman" w:eastAsia="黑体" w:cs="Times New Roman"/>
          <w:color w:val="auto"/>
          <w:sz w:val="44"/>
          <w:szCs w:val="44"/>
          <w:highlight w:val="none"/>
          <w:lang w:val="en-US" w:eastAsia="zh-CN"/>
        </w:rPr>
        <w:t>企业职工基本养老保险分级负担</w:t>
      </w:r>
    </w:p>
    <w:p>
      <w:pPr>
        <w:spacing w:before="120" w:beforeLines="50" w:line="500" w:lineRule="exact"/>
        <w:jc w:val="center"/>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44"/>
          <w:szCs w:val="44"/>
          <w:highlight w:val="none"/>
          <w:lang w:val="en-US" w:eastAsia="zh-CN"/>
        </w:rPr>
        <w:t>项目支出绩效评价报告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48"/>
          <w:szCs w:val="48"/>
          <w:highlight w:val="none"/>
          <w:lang w:val="en-US" w:eastAsia="zh-CN"/>
        </w:rPr>
      </w:pPr>
    </w:p>
    <w:p>
      <w:pPr>
        <w:pageBreakBefore w:val="0"/>
        <w:kinsoku/>
        <w:wordWrap/>
        <w:overflowPunct/>
        <w:topLinePunct w:val="0"/>
        <w:bidi w:val="0"/>
        <w:snapToGrid/>
        <w:spacing w:line="600" w:lineRule="exact"/>
        <w:rPr>
          <w:rFonts w:hint="default" w:ascii="Times New Roman" w:hAnsi="Times New Roman" w:eastAsia="黑体" w:cs="Times New Roman"/>
          <w:color w:val="auto"/>
          <w:sz w:val="48"/>
          <w:szCs w:val="48"/>
          <w:highlight w:val="none"/>
          <w:lang w:val="en-US" w:eastAsia="zh-CN"/>
        </w:rPr>
      </w:pPr>
    </w:p>
    <w:p>
      <w:pPr>
        <w:pageBreakBefore w:val="0"/>
        <w:kinsoku/>
        <w:wordWrap/>
        <w:overflowPunct/>
        <w:topLinePunct w:val="0"/>
        <w:bidi w:val="0"/>
        <w:snapToGrid/>
        <w:spacing w:line="600" w:lineRule="exact"/>
        <w:rPr>
          <w:rFonts w:hint="default" w:ascii="Times New Roman" w:hAnsi="Times New Roman" w:eastAsia="仿宋" w:cs="Times New Roman"/>
          <w:b/>
          <w:color w:val="auto"/>
          <w:sz w:val="32"/>
          <w:szCs w:val="32"/>
          <w:highlight w:val="none"/>
        </w:rPr>
      </w:pPr>
    </w:p>
    <w:p>
      <w:pPr>
        <w:pageBreakBefore w:val="0"/>
        <w:kinsoku/>
        <w:wordWrap/>
        <w:overflowPunct/>
        <w:topLinePunct w:val="0"/>
        <w:bidi w:val="0"/>
        <w:snapToGrid/>
        <w:spacing w:line="600" w:lineRule="exact"/>
        <w:outlineLvl w:val="9"/>
        <w:rPr>
          <w:rFonts w:hint="default" w:ascii="Times New Roman" w:hAnsi="Times New Roman" w:eastAsia="仿宋" w:cs="Times New Roman"/>
          <w:b/>
          <w:color w:val="auto"/>
          <w:sz w:val="32"/>
          <w:szCs w:val="32"/>
          <w:highlight w:val="none"/>
        </w:rPr>
      </w:pPr>
    </w:p>
    <w:p>
      <w:pPr>
        <w:pageBreakBefore w:val="0"/>
        <w:kinsoku/>
        <w:wordWrap/>
        <w:overflowPunct/>
        <w:topLinePunct w:val="0"/>
        <w:bidi w:val="0"/>
        <w:snapToGrid/>
        <w:spacing w:line="600" w:lineRule="exact"/>
        <w:outlineLvl w:val="9"/>
        <w:rPr>
          <w:rFonts w:hint="default" w:ascii="Times New Roman" w:hAnsi="Times New Roman" w:eastAsia="仿宋" w:cs="Times New Roman"/>
          <w:b/>
          <w:color w:val="auto"/>
          <w:sz w:val="32"/>
          <w:szCs w:val="32"/>
          <w:highlight w:val="none"/>
        </w:rPr>
      </w:pPr>
    </w:p>
    <w:p>
      <w:pPr>
        <w:pageBreakBefore w:val="0"/>
        <w:kinsoku/>
        <w:wordWrap/>
        <w:overflowPunct/>
        <w:topLinePunct w:val="0"/>
        <w:bidi w:val="0"/>
        <w:snapToGrid/>
        <w:spacing w:line="600" w:lineRule="exact"/>
        <w:outlineLvl w:val="9"/>
        <w:rPr>
          <w:rFonts w:hint="default" w:ascii="Times New Roman" w:hAnsi="Times New Roman" w:eastAsia="仿宋" w:cs="Times New Roman"/>
          <w:b/>
          <w:color w:val="auto"/>
          <w:sz w:val="32"/>
          <w:szCs w:val="32"/>
          <w:highlight w:val="none"/>
        </w:rPr>
      </w:pPr>
    </w:p>
    <w:p>
      <w:pPr>
        <w:pageBreakBefore w:val="0"/>
        <w:kinsoku/>
        <w:wordWrap/>
        <w:overflowPunct/>
        <w:topLinePunct w:val="0"/>
        <w:bidi w:val="0"/>
        <w:snapToGrid/>
        <w:spacing w:line="600" w:lineRule="exact"/>
        <w:outlineLvl w:val="9"/>
        <w:rPr>
          <w:rFonts w:hint="default" w:ascii="Times New Roman" w:hAnsi="Times New Roman" w:eastAsia="仿宋" w:cs="Times New Roman"/>
          <w:b/>
          <w:color w:val="auto"/>
          <w:sz w:val="32"/>
          <w:szCs w:val="32"/>
          <w:highlight w:val="none"/>
        </w:rPr>
      </w:pPr>
    </w:p>
    <w:p>
      <w:pPr>
        <w:outlineLvl w:val="9"/>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1600" w:firstLineChars="500"/>
        <w:jc w:val="left"/>
        <w:textAlignment w:val="auto"/>
        <w:outlineLvl w:val="9"/>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1600" w:firstLineChars="500"/>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实施单位：大同市社会保险中心</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1600" w:firstLineChars="500"/>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委托单位：大同市财政局</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1600" w:firstLineChars="500"/>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评价机构：山西华普绩效管理咨询有限公司</w:t>
      </w:r>
    </w:p>
    <w:p>
      <w:pPr>
        <w:pageBreakBefore w:val="0"/>
        <w:kinsoku/>
        <w:wordWrap/>
        <w:overflowPunct/>
        <w:topLinePunct w:val="0"/>
        <w:bidi w:val="0"/>
        <w:snapToGrid/>
        <w:spacing w:line="600" w:lineRule="exact"/>
        <w:outlineLvl w:val="9"/>
        <w:rPr>
          <w:rFonts w:hint="default" w:ascii="Times New Roman" w:hAnsi="Times New Roman" w:eastAsia="黑体" w:cs="Times New Roman"/>
          <w:color w:val="auto"/>
          <w:sz w:val="36"/>
          <w:szCs w:val="36"/>
          <w:highlight w:val="none"/>
        </w:rPr>
      </w:pPr>
    </w:p>
    <w:p>
      <w:pPr>
        <w:pageBreakBefore w:val="0"/>
        <w:kinsoku/>
        <w:wordWrap/>
        <w:overflowPunct/>
        <w:topLinePunct w:val="0"/>
        <w:bidi w:val="0"/>
        <w:snapToGrid/>
        <w:spacing w:line="600" w:lineRule="exact"/>
        <w:jc w:val="center"/>
        <w:outlineLvl w:val="9"/>
        <w:rPr>
          <w:rFonts w:hint="default" w:ascii="Times New Roman" w:hAnsi="Times New Roman" w:eastAsia="宋体" w:cs="Times New Roman"/>
          <w:b/>
          <w:bCs w:val="0"/>
          <w:color w:val="auto"/>
          <w:sz w:val="36"/>
          <w:szCs w:val="36"/>
          <w:highlight w:val="none"/>
          <w:lang w:val="en-US" w:eastAsia="zh-CN"/>
        </w:rPr>
        <w:sectPr>
          <w:headerReference r:id="rId4" w:type="default"/>
          <w:footerReference r:id="rId5" w:type="default"/>
          <w:pgSz w:w="11906" w:h="16838"/>
          <w:pgMar w:top="1440" w:right="1559" w:bottom="1440" w:left="1559"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黑体" w:cs="Times New Roman"/>
          <w:color w:val="auto"/>
          <w:sz w:val="32"/>
          <w:szCs w:val="32"/>
          <w:highlight w:val="none"/>
          <w:lang w:eastAsia="zh-CN"/>
        </w:rPr>
        <w:t>2022年4月</w:t>
      </w:r>
      <w:bookmarkStart w:id="0" w:name="_Toc23326"/>
    </w:p>
    <w:bookmarkEnd w:id="0"/>
    <w:p>
      <w:pPr>
        <w:pStyle w:val="3"/>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宋体" w:cs="Times New Roman"/>
          <w:b/>
          <w:bCs w:val="0"/>
          <w:color w:val="auto"/>
          <w:sz w:val="36"/>
          <w:szCs w:val="36"/>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highlight w:val="none"/>
        </w:rPr>
      </w:pPr>
      <w:bookmarkStart w:id="1" w:name="_Toc3293"/>
      <w:bookmarkStart w:id="2" w:name="_Toc30515"/>
      <w:bookmarkStart w:id="3" w:name="_Toc32079"/>
      <w:r>
        <w:rPr>
          <w:rFonts w:hint="default" w:ascii="Times New Roman" w:hAnsi="Times New Roman" w:eastAsia="黑体" w:cs="Times New Roman"/>
          <w:b w:val="0"/>
          <w:bCs/>
          <w:color w:val="auto"/>
          <w:sz w:val="32"/>
          <w:szCs w:val="32"/>
          <w:highlight w:val="none"/>
          <w:lang w:val="en-US" w:eastAsia="zh-CN"/>
        </w:rPr>
        <w:t>基本</w:t>
      </w:r>
      <w:r>
        <w:rPr>
          <w:rFonts w:hint="default" w:ascii="Times New Roman" w:hAnsi="Times New Roman" w:eastAsia="黑体" w:cs="Times New Roman"/>
          <w:b w:val="0"/>
          <w:bCs/>
          <w:color w:val="auto"/>
          <w:sz w:val="32"/>
          <w:szCs w:val="32"/>
          <w:highlight w:val="none"/>
        </w:rPr>
        <w:t>概况</w:t>
      </w:r>
      <w:bookmarkEnd w:id="1"/>
      <w:bookmarkEnd w:id="2"/>
      <w:bookmarkEnd w:id="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 w:cs="Times New Roman"/>
          <w:b/>
          <w:color w:val="auto"/>
          <w:sz w:val="32"/>
          <w:szCs w:val="32"/>
          <w:highlight w:val="none"/>
          <w:lang w:val="en-US" w:eastAsia="zh-CN"/>
        </w:rPr>
      </w:pPr>
      <w:bookmarkStart w:id="4" w:name="_Toc6357"/>
      <w:bookmarkStart w:id="5" w:name="_Toc11923"/>
      <w:bookmarkStart w:id="6" w:name="_Toc1758"/>
      <w:r>
        <w:rPr>
          <w:rFonts w:hint="default" w:ascii="Times New Roman" w:hAnsi="Times New Roman" w:eastAsia="楷体" w:cs="Times New Roman"/>
          <w:b/>
          <w:color w:val="auto"/>
          <w:sz w:val="32"/>
          <w:szCs w:val="32"/>
          <w:highlight w:val="none"/>
          <w:lang w:val="en-US" w:eastAsia="zh-CN"/>
        </w:rPr>
        <w:t>项目概况</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为进一步明确全省企业职工基本养老保险基金省级统收统支后各级政府责任，合理确定省、市、县三级政府的缺口分担，大同市人社局、大同市财政局根据人社部、财政部《关于进一步完善企业职工基本养老保险省级统筹制度的通知》（人社部发〔2017〕72号）、《山西省人民政府关于完善企业职工基本养老保险省级统筹制度的通知》（晋政发〔2019〕4号）的相关要求，预算缺口通过年度基金预算予以确定。年度基金缺口按照事权财权、激励约束原则，依据缺口成因，由省、市、县三级政府进行责任分担。省级基金缺口由省级全部分担，市县基金缺口由省级与市县按照一定比例共同分担，分别纳入同级财政预算予以安排解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2017~2019年大同市本级企业职工参保人数分别为211551人次、204344人次、164187人次，实际征缴养老保险基金分别为147530.05万元、152746.90万元、182744.17万元，而</w:t>
      </w:r>
      <w:r>
        <w:rPr>
          <w:rFonts w:hint="eastAsia" w:eastAsia="仿宋" w:cs="Times New Roman"/>
          <w:color w:val="auto"/>
          <w:kern w:val="0"/>
          <w:sz w:val="32"/>
          <w:szCs w:val="32"/>
          <w:highlight w:val="none"/>
          <w:lang w:val="en-US" w:eastAsia="zh-CN" w:bidi="ar-SA"/>
        </w:rPr>
        <w:t>实际领取企业职工养老保险</w:t>
      </w:r>
      <w:r>
        <w:rPr>
          <w:rFonts w:hint="eastAsia" w:ascii="Times New Roman" w:hAnsi="Times New Roman" w:eastAsia="仿宋" w:cs="Times New Roman"/>
          <w:color w:val="auto"/>
          <w:kern w:val="0"/>
          <w:sz w:val="32"/>
          <w:szCs w:val="32"/>
          <w:highlight w:val="none"/>
          <w:lang w:val="en-US" w:eastAsia="zh-CN" w:bidi="ar-SA"/>
        </w:rPr>
        <w:t>人数</w:t>
      </w:r>
      <w:r>
        <w:rPr>
          <w:rFonts w:hint="eastAsia" w:eastAsia="仿宋" w:cs="Times New Roman"/>
          <w:color w:val="auto"/>
          <w:kern w:val="0"/>
          <w:sz w:val="32"/>
          <w:szCs w:val="32"/>
          <w:highlight w:val="none"/>
          <w:lang w:val="en-US" w:eastAsia="zh-CN" w:bidi="ar-SA"/>
        </w:rPr>
        <w:t>分别为</w:t>
      </w:r>
      <w:r>
        <w:rPr>
          <w:rFonts w:hint="eastAsia" w:ascii="Times New Roman" w:hAnsi="Times New Roman" w:eastAsia="仿宋" w:cs="Times New Roman"/>
          <w:color w:val="auto"/>
          <w:kern w:val="0"/>
          <w:sz w:val="32"/>
          <w:szCs w:val="32"/>
          <w:highlight w:val="none"/>
          <w:lang w:val="en-US" w:eastAsia="zh-CN" w:bidi="ar-SA"/>
        </w:rPr>
        <w:t>135999人次、141863人次、147684人次，发放金额477886.56万元、512984.08万元、564098.71 万元，</w:t>
      </w:r>
      <w:r>
        <w:rPr>
          <w:rFonts w:hint="eastAsia" w:eastAsia="仿宋" w:cs="Times New Roman"/>
          <w:color w:val="auto"/>
          <w:kern w:val="0"/>
          <w:sz w:val="32"/>
          <w:szCs w:val="32"/>
          <w:highlight w:val="none"/>
          <w:lang w:val="en-US" w:eastAsia="zh-CN" w:bidi="ar-SA"/>
        </w:rPr>
        <w:t>从数据中可以看出，企业职工基本养老保险发放</w:t>
      </w:r>
      <w:r>
        <w:rPr>
          <w:rFonts w:hint="eastAsia" w:ascii="Times New Roman" w:hAnsi="Times New Roman" w:eastAsia="仿宋" w:cs="Times New Roman"/>
          <w:color w:val="auto"/>
          <w:kern w:val="0"/>
          <w:sz w:val="32"/>
          <w:szCs w:val="32"/>
          <w:highlight w:val="none"/>
          <w:lang w:val="en-US" w:eastAsia="zh-CN" w:bidi="ar-SA"/>
        </w:rPr>
        <w:t>金额远远大于征缴金额，</w:t>
      </w:r>
      <w:r>
        <w:rPr>
          <w:rFonts w:hint="eastAsia" w:eastAsia="仿宋" w:cs="Times New Roman"/>
          <w:color w:val="auto"/>
          <w:kern w:val="0"/>
          <w:sz w:val="32"/>
          <w:szCs w:val="32"/>
          <w:highlight w:val="none"/>
          <w:lang w:val="en-US" w:eastAsia="zh-CN" w:bidi="ar-SA"/>
        </w:rPr>
        <w:t>养老保险基金收支连年出现赤字</w:t>
      </w:r>
      <w:r>
        <w:rPr>
          <w:rFonts w:hint="eastAsia" w:ascii="Times New Roman" w:hAnsi="Times New Roman" w:eastAsia="仿宋"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eastAsia="仿宋" w:cs="Times New Roman"/>
          <w:color w:val="auto"/>
          <w:kern w:val="0"/>
          <w:sz w:val="32"/>
          <w:szCs w:val="32"/>
          <w:highlight w:val="none"/>
          <w:lang w:val="en-US" w:eastAsia="zh-CN" w:bidi="ar-SA"/>
        </w:rPr>
      </w:pPr>
      <w:r>
        <w:rPr>
          <w:rFonts w:hint="eastAsia" w:eastAsia="仿宋" w:cs="Times New Roman"/>
          <w:color w:val="auto"/>
          <w:kern w:val="0"/>
          <w:sz w:val="32"/>
          <w:szCs w:val="32"/>
          <w:highlight w:val="none"/>
          <w:lang w:val="en-US" w:eastAsia="zh-CN" w:bidi="ar-SA"/>
        </w:rPr>
        <w:t>为促进养老保险持续稳定，山西省人民政府《关于完善企业职工基本养老保险省级统筹制度的通知》（</w:t>
      </w:r>
      <w:r>
        <w:rPr>
          <w:rFonts w:hint="default" w:ascii="Times New Roman" w:hAnsi="Times New Roman" w:eastAsia="仿宋" w:cs="Times New Roman"/>
          <w:color w:val="auto"/>
          <w:kern w:val="0"/>
          <w:sz w:val="32"/>
          <w:szCs w:val="32"/>
          <w:highlight w:val="none"/>
          <w:lang w:val="en-US" w:eastAsia="zh-CN"/>
        </w:rPr>
        <w:t>晋政发〔2019〕4号</w:t>
      </w:r>
      <w:r>
        <w:rPr>
          <w:rFonts w:hint="eastAsia" w:eastAsia="仿宋" w:cs="Times New Roman"/>
          <w:color w:val="auto"/>
          <w:kern w:val="0"/>
          <w:sz w:val="32"/>
          <w:szCs w:val="32"/>
          <w:highlight w:val="none"/>
          <w:lang w:val="en-US" w:eastAsia="zh-CN" w:bidi="ar-SA"/>
        </w:rPr>
        <w:t>）规定对基金缺口由各级财政按比例共同分担。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eastAsia="仿宋" w:cs="Times New Roman"/>
          <w:color w:val="auto"/>
          <w:kern w:val="0"/>
          <w:sz w:val="32"/>
          <w:szCs w:val="32"/>
          <w:highlight w:val="none"/>
          <w:lang w:val="en-US" w:eastAsia="zh-CN"/>
        </w:rPr>
        <w:t>2020年，</w:t>
      </w:r>
      <w:r>
        <w:rPr>
          <w:rFonts w:hint="default" w:ascii="Times New Roman" w:hAnsi="Times New Roman" w:eastAsia="仿宋" w:cs="Times New Roman"/>
          <w:color w:val="auto"/>
          <w:kern w:val="0"/>
          <w:sz w:val="32"/>
          <w:szCs w:val="32"/>
          <w:highlight w:val="none"/>
          <w:lang w:val="en-US" w:eastAsia="zh-CN"/>
        </w:rPr>
        <w:t>山西省财政厅、山西省人力资源和社会保障厅依据2018年决算退休人数占比，确定</w:t>
      </w:r>
      <w:r>
        <w:rPr>
          <w:rFonts w:hint="eastAsia" w:eastAsia="仿宋" w:cs="Times New Roman"/>
          <w:color w:val="auto"/>
          <w:kern w:val="0"/>
          <w:sz w:val="32"/>
          <w:szCs w:val="32"/>
          <w:highlight w:val="none"/>
          <w:lang w:val="en-US" w:eastAsia="zh-CN"/>
        </w:rPr>
        <w:t>2020年</w:t>
      </w:r>
      <w:r>
        <w:rPr>
          <w:rFonts w:hint="default" w:ascii="Times New Roman" w:hAnsi="Times New Roman" w:eastAsia="仿宋" w:cs="Times New Roman"/>
          <w:color w:val="auto"/>
          <w:kern w:val="0"/>
          <w:sz w:val="32"/>
          <w:szCs w:val="32"/>
          <w:highlight w:val="none"/>
          <w:lang w:val="en-US" w:eastAsia="zh-CN"/>
        </w:rPr>
        <w:t>各县区财政承担缺口补助资金，大同市分担49919万元，其中大同市本级负担32000万元。大同财政局为合理均衡地区间基本养老保险基金负担，结合大同市退休人口及地方经济发展作出资金分配。2018年</w:t>
      </w:r>
      <w:r>
        <w:rPr>
          <w:rFonts w:hint="eastAsia"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大同市决算退休人数225199人，其中市本级137609人，每人分担0.2325万元。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 w:cs="Times New Roman"/>
          <w:b/>
          <w:color w:val="auto"/>
          <w:sz w:val="32"/>
          <w:szCs w:val="32"/>
          <w:highlight w:val="none"/>
          <w:lang w:val="en-US" w:eastAsia="zh-CN"/>
        </w:rPr>
      </w:pPr>
      <w:bookmarkStart w:id="7" w:name="_Toc32412"/>
      <w:bookmarkStart w:id="8" w:name="_Toc14226"/>
      <w:bookmarkStart w:id="9" w:name="_Toc14089"/>
      <w:r>
        <w:rPr>
          <w:rFonts w:hint="default" w:ascii="Times New Roman" w:hAnsi="Times New Roman" w:eastAsia="楷体" w:cs="Times New Roman"/>
          <w:b/>
          <w:color w:val="auto"/>
          <w:sz w:val="32"/>
          <w:szCs w:val="32"/>
          <w:highlight w:val="none"/>
          <w:lang w:val="en-US" w:eastAsia="zh-CN"/>
        </w:rPr>
        <w:t>（二）绩效目标</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color w:val="auto"/>
          <w:sz w:val="32"/>
          <w:szCs w:val="32"/>
          <w:highlight w:val="none"/>
          <w:lang w:eastAsia="zh-CN"/>
        </w:rPr>
      </w:pPr>
      <w:bookmarkStart w:id="10" w:name="_Toc22037"/>
      <w:r>
        <w:rPr>
          <w:rFonts w:hint="default" w:ascii="Times New Roman" w:hAnsi="Times New Roman" w:eastAsia="仿宋" w:cs="Times New Roman"/>
          <w:b/>
          <w:bCs/>
          <w:color w:val="auto"/>
          <w:sz w:val="32"/>
          <w:szCs w:val="32"/>
          <w:highlight w:val="none"/>
        </w:rPr>
        <w:t>1.项目总体目标</w:t>
      </w:r>
      <w:bookmarkEnd w:id="1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sz w:val="32"/>
          <w:szCs w:val="32"/>
          <w:highlight w:val="none"/>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围绕建立健全更加公平、可持续的养老保险制度，遵循社会保险大数法则，明确各级政府责任，健全激励约束机制、企业职工基本养老保险分级负担机制，实现大同市养老保险基金保障持续有力，管理保质高效，为实现养老保险全国统筹管理打下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 w:cs="Times New Roman"/>
          <w:b/>
          <w:bCs/>
          <w:color w:val="auto"/>
          <w:sz w:val="32"/>
          <w:szCs w:val="32"/>
          <w:highlight w:val="none"/>
          <w:lang w:eastAsia="zh-CN"/>
        </w:rPr>
      </w:pPr>
      <w:bookmarkStart w:id="11" w:name="_Toc26654"/>
      <w:r>
        <w:rPr>
          <w:rFonts w:hint="default" w:ascii="Times New Roman" w:hAnsi="Times New Roman" w:eastAsia="仿宋" w:cs="Times New Roman"/>
          <w:b/>
          <w:bCs/>
          <w:color w:val="auto"/>
          <w:sz w:val="32"/>
          <w:szCs w:val="32"/>
          <w:highlight w:val="none"/>
        </w:rPr>
        <w:t>2.项目阶段性目标</w:t>
      </w:r>
      <w:bookmarkEnd w:id="1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项目根据大同市财政局 大同市人力资源和社会保障局《关于明确2020年企业职工养老保险基金省级统筹缺口分担资金的通知》（</w:t>
      </w:r>
      <w:r>
        <w:rPr>
          <w:rFonts w:hint="default" w:ascii="Times New Roman" w:hAnsi="Times New Roman" w:eastAsia="仿宋" w:cs="Times New Roman"/>
          <w:b w:val="0"/>
          <w:bCs/>
          <w:color w:val="auto"/>
          <w:sz w:val="32"/>
          <w:szCs w:val="32"/>
          <w:highlight w:val="none"/>
        </w:rPr>
        <w:t>同财社〔2020〕30号</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）确定大同市本级负担缺口资金32000万元，具体指标分解为：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（1）数量：保障企业离退休职工平均人数</w:t>
      </w:r>
      <w:r>
        <w:rPr>
          <w:rFonts w:hint="default" w:ascii="Times New Roman" w:hAnsi="Times New Roman" w:eastAsia="仿宋" w:cs="Times New Roman"/>
          <w:color w:val="auto"/>
          <w:kern w:val="0"/>
          <w:sz w:val="32"/>
          <w:szCs w:val="32"/>
          <w:highlight w:val="none"/>
          <w:lang w:val="en-US" w:eastAsia="zh-CN"/>
        </w:rPr>
        <w:t>137609</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人，</w:t>
      </w:r>
      <w:r>
        <w:rPr>
          <w:rFonts w:hint="eastAsia"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市本级社保基金预算足额上解</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32000万元。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（2）质量：参保增长率≥3.38%，养老金发放率100%。（3）时效：</w:t>
      </w:r>
      <w:r>
        <w:rPr>
          <w:rFonts w:hint="eastAsia"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按照规定时限</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及时上解，</w:t>
      </w:r>
      <w:r>
        <w:rPr>
          <w:rFonts w:hint="eastAsia"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养老金</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及时</w:t>
      </w:r>
      <w:r>
        <w:rPr>
          <w:rFonts w:hint="eastAsia"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发放</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（4）社会效益：有效促进企业职工养老基金统筹管理，企业职工养老保险替代率≥40%，养老保险基金征缴率100%</w:t>
      </w:r>
      <w:r>
        <w:rPr>
          <w:rFonts w:hint="eastAsia" w:eastAsia="仿宋" w:cs="Times New Roman"/>
          <w:b w:val="0"/>
          <w:bCs/>
          <w:i w:val="0"/>
          <w:iCs w:val="0"/>
          <w:caps w:val="0"/>
          <w:color w:val="auto"/>
          <w:spacing w:val="0"/>
          <w:kern w:val="0"/>
          <w:sz w:val="32"/>
          <w:szCs w:val="32"/>
          <w:highlight w:val="none"/>
          <w:shd w:val="clear" w:fill="FFFFFF"/>
          <w:lang w:val="en-US" w:eastAsia="zh-CN" w:bidi="ar"/>
        </w:rPr>
        <w:t>，</w:t>
      </w:r>
      <w:r>
        <w:rPr>
          <w:rFonts w:hint="eastAsia"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保障企业离退休职工的基本生活。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（5）可持续影响</w:t>
      </w:r>
      <w:r>
        <w:rPr>
          <w:rFonts w:hint="eastAsia" w:eastAsia="仿宋" w:cs="Times New Roman"/>
          <w:b w:val="0"/>
          <w:bCs/>
          <w:i w:val="0"/>
          <w:iCs w:val="0"/>
          <w:caps w:val="0"/>
          <w:color w:val="auto"/>
          <w:spacing w:val="0"/>
          <w:kern w:val="0"/>
          <w:sz w:val="32"/>
          <w:szCs w:val="32"/>
          <w:highlight w:val="none"/>
          <w:shd w:val="clear" w:fill="FFFFFF"/>
          <w:lang w:val="en-US" w:eastAsia="zh-CN" w:bidi="ar"/>
        </w:rPr>
        <w:t>：</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基础管理水平可以保障业务的正常运行。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（7）满意度：受益群众满意度≥85%。</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 w:cs="Times New Roman"/>
          <w:b/>
          <w:color w:val="auto"/>
          <w:sz w:val="32"/>
          <w:szCs w:val="32"/>
          <w:highlight w:val="none"/>
          <w:lang w:val="en-US" w:eastAsia="zh-CN"/>
        </w:rPr>
      </w:pPr>
      <w:bookmarkStart w:id="12" w:name="_Toc16879"/>
      <w:bookmarkStart w:id="13" w:name="_Toc23934"/>
      <w:bookmarkStart w:id="14" w:name="_Toc23337"/>
      <w:r>
        <w:rPr>
          <w:rFonts w:hint="default" w:ascii="Times New Roman" w:hAnsi="Times New Roman" w:eastAsia="楷体" w:cs="Times New Roman"/>
          <w:b/>
          <w:color w:val="auto"/>
          <w:sz w:val="32"/>
          <w:szCs w:val="32"/>
          <w:highlight w:val="none"/>
          <w:lang w:val="en-US" w:eastAsia="zh-CN"/>
        </w:rPr>
        <w:t>绩效完成情况</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2020年大同市本级负担的企业职工基本养老保险缺口补助资金3</w:t>
      </w:r>
      <w:r>
        <w:rPr>
          <w:rFonts w:hint="default" w:ascii="Times New Roman" w:hAnsi="Times New Roman" w:eastAsia="仿宋" w:cs="Times New Roman"/>
          <w:color w:val="auto"/>
          <w:sz w:val="32"/>
          <w:szCs w:val="32"/>
          <w:highlight w:val="none"/>
          <w:lang w:val="en-US" w:eastAsia="zh-CN"/>
        </w:rPr>
        <w:t>2000万元，已按要求及时上缴到省财政账户。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大同市社会保险中心将收缴的企业职工基本养老保险基金通过大同市财政局逐级上缴到山西省财政厅，在实际需要支付资金时由省社保局向省财政厅提出申请后逐级下</w:t>
      </w:r>
      <w:r>
        <w:rPr>
          <w:rFonts w:hint="eastAsia" w:eastAsia="仿宋" w:cs="Times New Roman"/>
          <w:b w:val="0"/>
          <w:bCs/>
          <w:i w:val="0"/>
          <w:iCs w:val="0"/>
          <w:caps w:val="0"/>
          <w:color w:val="auto"/>
          <w:spacing w:val="0"/>
          <w:kern w:val="0"/>
          <w:sz w:val="32"/>
          <w:szCs w:val="32"/>
          <w:highlight w:val="none"/>
          <w:shd w:val="clear" w:fill="FFFFFF"/>
          <w:lang w:val="en-US" w:eastAsia="zh-CN" w:bidi="ar"/>
        </w:rPr>
        <w:t>划</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到大同市社会保险中心，2020年</w:t>
      </w:r>
      <w:r>
        <w:rPr>
          <w:rFonts w:hint="default" w:ascii="Times New Roman" w:hAnsi="Times New Roman" w:eastAsia="仿宋" w:cs="Times New Roman"/>
          <w:b w:val="0"/>
          <w:bCs/>
          <w:color w:val="auto"/>
          <w:kern w:val="2"/>
          <w:sz w:val="32"/>
          <w:szCs w:val="32"/>
          <w:highlight w:val="none"/>
          <w:lang w:val="en-US" w:eastAsia="zh-CN" w:bidi="ar-SA"/>
        </w:rPr>
        <w:t>大同市企业职工基本养老保险分级负担项目发放平均人数148749人，</w:t>
      </w:r>
      <w:r>
        <w:rPr>
          <w:rFonts w:hint="default" w:ascii="Times New Roman" w:hAnsi="Times New Roman" w:eastAsia="仿宋" w:cs="Times New Roman"/>
          <w:color w:val="auto"/>
          <w:kern w:val="2"/>
          <w:sz w:val="32"/>
          <w:szCs w:val="32"/>
          <w:highlight w:val="none"/>
          <w:lang w:val="en-US" w:eastAsia="zh-CN" w:bidi="ar-SA"/>
        </w:rPr>
        <w:t>养老金社会发放率100%，</w:t>
      </w:r>
      <w:r>
        <w:rPr>
          <w:rFonts w:hint="default" w:ascii="Times New Roman" w:hAnsi="Times New Roman" w:eastAsia="仿宋" w:cs="Times New Roman"/>
          <w:bCs/>
          <w:color w:val="auto"/>
          <w:sz w:val="32"/>
          <w:szCs w:val="32"/>
          <w:highlight w:val="none"/>
        </w:rPr>
        <w:t>养老金替代率</w:t>
      </w:r>
      <w:r>
        <w:rPr>
          <w:rFonts w:hint="default" w:ascii="Times New Roman" w:hAnsi="Times New Roman" w:eastAsia="仿宋" w:cs="Times New Roman"/>
          <w:bCs/>
          <w:color w:val="auto"/>
          <w:sz w:val="32"/>
          <w:szCs w:val="32"/>
          <w:highlight w:val="none"/>
          <w:lang w:val="en-US" w:eastAsia="zh-CN"/>
        </w:rPr>
        <w:t>60</w:t>
      </w:r>
      <w:r>
        <w:rPr>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Cs/>
          <w:color w:val="auto"/>
          <w:sz w:val="32"/>
          <w:szCs w:val="32"/>
          <w:highlight w:val="none"/>
          <w:lang w:val="en-US" w:eastAsia="zh-CN"/>
        </w:rPr>
        <w:t>56</w:t>
      </w:r>
      <w:r>
        <w:rPr>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Cs/>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各项指标完成情况良好，</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有效的保</w:t>
      </w:r>
      <w:r>
        <w:rPr>
          <w:rFonts w:hint="eastAsia" w:eastAsia="仿宋" w:cs="Times New Roman"/>
          <w:b w:val="0"/>
          <w:bCs/>
          <w:i w:val="0"/>
          <w:iCs w:val="0"/>
          <w:caps w:val="0"/>
          <w:color w:val="auto"/>
          <w:spacing w:val="0"/>
          <w:kern w:val="0"/>
          <w:sz w:val="32"/>
          <w:szCs w:val="32"/>
          <w:highlight w:val="none"/>
          <w:shd w:val="clear" w:fill="FFFFFF"/>
          <w:lang w:val="en-US" w:eastAsia="zh-CN" w:bidi="ar"/>
        </w:rPr>
        <w:t>障</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了离退休人员生活水平</w:t>
      </w:r>
      <w:r>
        <w:rPr>
          <w:rFonts w:hint="eastAsia" w:eastAsia="仿宋" w:cs="Times New Roman"/>
          <w:b w:val="0"/>
          <w:bCs/>
          <w:i w:val="0"/>
          <w:iCs w:val="0"/>
          <w:caps w:val="0"/>
          <w:color w:val="auto"/>
          <w:spacing w:val="0"/>
          <w:kern w:val="0"/>
          <w:sz w:val="32"/>
          <w:szCs w:val="32"/>
          <w:highlight w:val="none"/>
          <w:shd w:val="clear" w:fill="FFFFFF"/>
          <w:lang w:val="en-US" w:eastAsia="zh-CN" w:bidi="ar"/>
        </w:rPr>
        <w:t>，</w:t>
      </w:r>
      <w:r>
        <w:rPr>
          <w:rFonts w:hint="default" w:ascii="Times New Roman" w:hAnsi="Times New Roman" w:eastAsia="仿宋" w:cs="Times New Roman"/>
          <w:color w:val="auto"/>
          <w:sz w:val="32"/>
          <w:szCs w:val="32"/>
          <w:highlight w:val="none"/>
          <w:lang w:val="en-US" w:eastAsia="zh-CN"/>
        </w:rPr>
        <w:t>促进养老保险全国统筹。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highlight w:val="none"/>
          <w:lang w:val="en-US" w:eastAsia="zh-CN"/>
        </w:rPr>
      </w:pPr>
      <w:bookmarkStart w:id="15" w:name="_Toc23537"/>
      <w:bookmarkStart w:id="16" w:name="_Toc25222"/>
      <w:bookmarkStart w:id="17" w:name="_Toc18189"/>
      <w:r>
        <w:rPr>
          <w:rFonts w:hint="default" w:ascii="Times New Roman" w:hAnsi="Times New Roman" w:eastAsia="黑体" w:cs="Times New Roman"/>
          <w:b w:val="0"/>
          <w:bCs/>
          <w:color w:val="auto"/>
          <w:sz w:val="32"/>
          <w:szCs w:val="32"/>
          <w:highlight w:val="none"/>
          <w:lang w:val="en-US" w:eastAsia="zh-CN"/>
        </w:rPr>
        <w:t>评价结果和结论</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highlight w:val="none"/>
          <w:lang w:val="en-US" w:eastAsia="zh-CN"/>
        </w:rPr>
      </w:pPr>
      <w:bookmarkStart w:id="18" w:name="_Toc11802"/>
      <w:bookmarkStart w:id="19" w:name="_Toc23600"/>
      <w:bookmarkStart w:id="20" w:name="_Toc22309"/>
      <w:r>
        <w:rPr>
          <w:rFonts w:hint="eastAsia" w:ascii="Times New Roman" w:hAnsi="Times New Roman" w:eastAsia="楷体" w:cs="Times New Roman"/>
          <w:b/>
          <w:bCs/>
          <w:color w:val="auto"/>
          <w:sz w:val="32"/>
          <w:szCs w:val="32"/>
          <w:highlight w:val="none"/>
          <w:lang w:val="en-US" w:eastAsia="zh-CN"/>
        </w:rPr>
        <w:t>（一）评价结果</w:t>
      </w:r>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项目决策方面，立项依据充分、规范，预算编制科学、资金分配合理，只是在质量和效益</w:t>
      </w:r>
      <w:r>
        <w:rPr>
          <w:rFonts w:hint="eastAsia" w:eastAsia="仿宋" w:cs="Times New Roman"/>
          <w:color w:val="auto"/>
          <w:kern w:val="2"/>
          <w:sz w:val="32"/>
          <w:szCs w:val="32"/>
          <w:highlight w:val="none"/>
          <w:lang w:val="en-US" w:eastAsia="zh-CN" w:bidi="ar-SA"/>
        </w:rPr>
        <w:t>指标</w:t>
      </w:r>
      <w:r>
        <w:rPr>
          <w:rFonts w:hint="default" w:ascii="Times New Roman" w:hAnsi="Times New Roman" w:eastAsia="仿宋" w:cs="Times New Roman"/>
          <w:color w:val="auto"/>
          <w:kern w:val="2"/>
          <w:sz w:val="32"/>
          <w:szCs w:val="32"/>
          <w:highlight w:val="none"/>
          <w:lang w:val="en-US" w:eastAsia="zh-CN" w:bidi="ar-SA"/>
        </w:rPr>
        <w:t>方面未细化为可衡量的绩效指标。过程方面，资金到位率、预算执行率高，资金使用合规，主要问题是</w:t>
      </w:r>
      <w:r>
        <w:rPr>
          <w:rFonts w:hint="eastAsia" w:eastAsia="仿宋" w:cs="Times New Roman"/>
          <w:color w:val="auto"/>
          <w:kern w:val="2"/>
          <w:sz w:val="32"/>
          <w:szCs w:val="32"/>
          <w:highlight w:val="none"/>
          <w:lang w:val="en-US" w:eastAsia="zh-CN" w:bidi="ar-SA"/>
        </w:rPr>
        <w:t>档案管理</w:t>
      </w:r>
      <w:r>
        <w:rPr>
          <w:rFonts w:hint="default" w:ascii="Times New Roman" w:hAnsi="Times New Roman" w:eastAsia="仿宋" w:cs="Times New Roman"/>
          <w:color w:val="auto"/>
          <w:kern w:val="2"/>
          <w:sz w:val="32"/>
          <w:szCs w:val="32"/>
          <w:highlight w:val="none"/>
          <w:lang w:val="en-US" w:eastAsia="zh-CN" w:bidi="ar-SA"/>
        </w:rPr>
        <w:t>制度不够健全。产出方面，项目资金已全部按时上</w:t>
      </w:r>
      <w:r>
        <w:rPr>
          <w:rFonts w:hint="eastAsia" w:eastAsia="仿宋" w:cs="Times New Roman"/>
          <w:color w:val="auto"/>
          <w:kern w:val="2"/>
          <w:sz w:val="32"/>
          <w:szCs w:val="32"/>
          <w:highlight w:val="none"/>
          <w:lang w:val="en-US" w:eastAsia="zh-CN" w:bidi="ar-SA"/>
        </w:rPr>
        <w:t>解</w:t>
      </w:r>
      <w:r>
        <w:rPr>
          <w:rFonts w:hint="default" w:ascii="Times New Roman" w:hAnsi="Times New Roman" w:eastAsia="仿宋" w:cs="Times New Roman"/>
          <w:color w:val="auto"/>
          <w:kern w:val="2"/>
          <w:sz w:val="32"/>
          <w:szCs w:val="32"/>
          <w:highlight w:val="none"/>
          <w:lang w:val="en-US" w:eastAsia="zh-CN" w:bidi="ar-SA"/>
        </w:rPr>
        <w:t>，养老金社会发放率100%，但</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参保增长率</w:t>
      </w:r>
      <w:r>
        <w:rPr>
          <w:rFonts w:hint="eastAsia" w:eastAsia="仿宋" w:cs="Times New Roman"/>
          <w:b w:val="0"/>
          <w:bCs/>
          <w:i w:val="0"/>
          <w:iCs w:val="0"/>
          <w:caps w:val="0"/>
          <w:color w:val="auto"/>
          <w:spacing w:val="0"/>
          <w:kern w:val="0"/>
          <w:sz w:val="32"/>
          <w:szCs w:val="32"/>
          <w:highlight w:val="none"/>
          <w:shd w:val="clear" w:fill="FFFFFF"/>
          <w:lang w:val="en-US" w:eastAsia="zh-CN" w:bidi="ar"/>
        </w:rPr>
        <w:t>仍有</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提升空间</w:t>
      </w:r>
      <w:r>
        <w:rPr>
          <w:rFonts w:hint="default" w:ascii="Times New Roman" w:hAnsi="Times New Roman" w:eastAsia="仿宋" w:cs="Times New Roman"/>
          <w:color w:val="auto"/>
          <w:kern w:val="2"/>
          <w:sz w:val="32"/>
          <w:szCs w:val="32"/>
          <w:highlight w:val="none"/>
          <w:lang w:val="en-US" w:eastAsia="zh-CN" w:bidi="ar-SA"/>
        </w:rPr>
        <w:t>。效益方面，</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企业职工养老保险替代率较高，</w:t>
      </w:r>
      <w:r>
        <w:rPr>
          <w:rFonts w:hint="default" w:ascii="Times New Roman" w:hAnsi="Times New Roman" w:eastAsia="仿宋" w:cs="Times New Roman"/>
          <w:color w:val="auto"/>
          <w:kern w:val="2"/>
          <w:sz w:val="32"/>
          <w:szCs w:val="32"/>
          <w:highlight w:val="none"/>
          <w:lang w:val="en-US" w:eastAsia="zh-CN" w:bidi="ar-SA"/>
        </w:rPr>
        <w:t>保障了离退休人员生活水平，</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养老保险基金征缴率达到预期水平，</w:t>
      </w:r>
      <w:r>
        <w:rPr>
          <w:rFonts w:hint="default" w:ascii="Times New Roman" w:hAnsi="Times New Roman" w:eastAsia="仿宋" w:cs="Times New Roman"/>
          <w:color w:val="auto"/>
          <w:kern w:val="2"/>
          <w:sz w:val="32"/>
          <w:szCs w:val="32"/>
          <w:highlight w:val="none"/>
          <w:lang w:val="en-US" w:eastAsia="zh-CN" w:bidi="ar-SA"/>
        </w:rPr>
        <w:t>可以有效促进养老基金统筹管理，只是受益对象满意度未达理想值。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highlight w:val="none"/>
        </w:rPr>
      </w:pPr>
      <w:bookmarkStart w:id="21" w:name="_Toc11442"/>
      <w:bookmarkStart w:id="22" w:name="_Toc16914"/>
      <w:bookmarkStart w:id="23" w:name="_Toc5264"/>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rPr>
        <w:t>总体评分结果</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color w:val="auto"/>
          <w:sz w:val="32"/>
          <w:szCs w:val="32"/>
          <w:highlight w:val="none"/>
        </w:rPr>
        <w:t>评价组对</w:t>
      </w:r>
      <w:r>
        <w:rPr>
          <w:rFonts w:hint="default" w:ascii="Times New Roman" w:hAnsi="Times New Roman" w:eastAsia="仿宋" w:cs="Times New Roman"/>
          <w:color w:val="auto"/>
          <w:sz w:val="32"/>
          <w:szCs w:val="32"/>
          <w:highlight w:val="none"/>
          <w:lang w:eastAsia="zh-CN"/>
        </w:rPr>
        <w:t>企业职工基本养老保险分级负担项目</w:t>
      </w:r>
      <w:r>
        <w:rPr>
          <w:rFonts w:hint="default" w:ascii="Times New Roman" w:hAnsi="Times New Roman" w:eastAsia="仿宋" w:cs="Times New Roman"/>
          <w:color w:val="auto"/>
          <w:sz w:val="32"/>
          <w:szCs w:val="32"/>
          <w:highlight w:val="none"/>
        </w:rPr>
        <w:t>四个一级指标</w:t>
      </w:r>
      <w:r>
        <w:rPr>
          <w:rFonts w:hint="default" w:ascii="Times New Roman" w:hAnsi="Times New Roman" w:eastAsia="仿宋" w:cs="Times New Roman"/>
          <w:bCs/>
          <w:color w:val="auto"/>
          <w:sz w:val="32"/>
          <w:szCs w:val="32"/>
          <w:highlight w:val="none"/>
        </w:rPr>
        <w:t>综合评价得分</w:t>
      </w:r>
      <w:r>
        <w:rPr>
          <w:rFonts w:hint="default" w:ascii="Times New Roman" w:hAnsi="Times New Roman" w:eastAsia="仿宋" w:cs="Times New Roman"/>
          <w:bCs/>
          <w:color w:val="auto"/>
          <w:sz w:val="32"/>
          <w:szCs w:val="32"/>
          <w:highlight w:val="none"/>
          <w:lang w:val="en-US" w:eastAsia="zh-CN"/>
        </w:rPr>
        <w:t>92.12</w:t>
      </w:r>
      <w:r>
        <w:rPr>
          <w:rFonts w:hint="default" w:ascii="Times New Roman" w:hAnsi="Times New Roman" w:eastAsia="仿宋" w:cs="Times New Roman"/>
          <w:bCs/>
          <w:color w:val="auto"/>
          <w:sz w:val="32"/>
          <w:szCs w:val="32"/>
          <w:highlight w:val="none"/>
        </w:rPr>
        <w:t>分，评级为“</w:t>
      </w:r>
      <w:r>
        <w:rPr>
          <w:rFonts w:hint="default" w:ascii="Times New Roman" w:hAnsi="Times New Roman" w:eastAsia="仿宋" w:cs="Times New Roman"/>
          <w:bCs/>
          <w:color w:val="auto"/>
          <w:sz w:val="32"/>
          <w:szCs w:val="32"/>
          <w:highlight w:val="none"/>
          <w:lang w:val="en-US" w:eastAsia="zh-CN"/>
        </w:rPr>
        <w:t>优</w:t>
      </w:r>
      <w:r>
        <w:rPr>
          <w:rStyle w:val="28"/>
          <w:rFonts w:hint="default" w:ascii="Times New Roman" w:hAnsi="Times New Roman" w:eastAsia="仿宋" w:cs="Times New Roman"/>
          <w:bCs/>
          <w:color w:val="auto"/>
          <w:sz w:val="32"/>
          <w:szCs w:val="32"/>
          <w:highlight w:val="none"/>
        </w:rPr>
        <w:footnoteReference w:id="0"/>
      </w:r>
      <w:r>
        <w:rPr>
          <w:rFonts w:hint="default" w:ascii="Times New Roman" w:hAnsi="Times New Roman" w:eastAsia="仿宋" w:cs="Times New Roman"/>
          <w:bCs/>
          <w:color w:val="auto"/>
          <w:sz w:val="32"/>
          <w:szCs w:val="32"/>
          <w:highlight w:val="none"/>
        </w:rPr>
        <w:t>”。一级指标结果见表1。</w:t>
      </w:r>
    </w:p>
    <w:p>
      <w:pPr>
        <w:pageBreakBefore w:val="0"/>
        <w:wordWrap/>
        <w:topLinePunct w:val="0"/>
        <w:bidi w:val="0"/>
        <w:spacing w:line="600" w:lineRule="exact"/>
        <w:ind w:firstLine="440" w:firstLineChars="200"/>
        <w:jc w:val="center"/>
        <w:outlineLvl w:val="9"/>
        <w:rPr>
          <w:rFonts w:hint="eastAsia" w:ascii="黑体" w:hAnsi="黑体" w:eastAsia="黑体" w:cs="黑体"/>
          <w:b w:val="0"/>
          <w:bCs/>
          <w:color w:val="auto"/>
          <w:kern w:val="0"/>
          <w:sz w:val="22"/>
          <w:szCs w:val="22"/>
          <w:highlight w:val="none"/>
        </w:rPr>
      </w:pPr>
      <w:r>
        <w:rPr>
          <w:rFonts w:hint="eastAsia" w:ascii="黑体" w:hAnsi="黑体" w:eastAsia="黑体" w:cs="黑体"/>
          <w:b w:val="0"/>
          <w:bCs/>
          <w:color w:val="auto"/>
          <w:kern w:val="0"/>
          <w:sz w:val="22"/>
          <w:szCs w:val="22"/>
          <w:highlight w:val="none"/>
        </w:rPr>
        <w:t xml:space="preserve">表1 </w:t>
      </w:r>
      <w:r>
        <w:rPr>
          <w:rFonts w:hint="eastAsia" w:ascii="黑体" w:hAnsi="黑体" w:eastAsia="黑体" w:cs="黑体"/>
          <w:b w:val="0"/>
          <w:bCs/>
          <w:color w:val="auto"/>
          <w:sz w:val="22"/>
          <w:szCs w:val="22"/>
          <w:highlight w:val="none"/>
          <w:lang w:eastAsia="zh-CN"/>
        </w:rPr>
        <w:t>企业职工基本养老保险分级负担项目</w:t>
      </w:r>
      <w:r>
        <w:rPr>
          <w:rFonts w:hint="eastAsia" w:ascii="黑体" w:hAnsi="黑体" w:eastAsia="黑体" w:cs="黑体"/>
          <w:b w:val="0"/>
          <w:bCs/>
          <w:color w:val="auto"/>
          <w:kern w:val="0"/>
          <w:sz w:val="22"/>
          <w:szCs w:val="22"/>
          <w:highlight w:val="none"/>
          <w:lang w:val="en-US" w:eastAsia="zh-CN"/>
        </w:rPr>
        <w:t>支出</w:t>
      </w:r>
      <w:r>
        <w:rPr>
          <w:rFonts w:hint="eastAsia" w:ascii="黑体" w:hAnsi="黑体" w:eastAsia="黑体" w:cs="黑体"/>
          <w:b w:val="0"/>
          <w:bCs/>
          <w:color w:val="auto"/>
          <w:kern w:val="0"/>
          <w:sz w:val="22"/>
          <w:szCs w:val="22"/>
          <w:highlight w:val="none"/>
        </w:rPr>
        <w:t>一级指标得分情况表</w:t>
      </w:r>
    </w:p>
    <w:tbl>
      <w:tblPr>
        <w:tblStyle w:val="21"/>
        <w:tblW w:w="89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96"/>
        <w:gridCol w:w="1701"/>
        <w:gridCol w:w="1276"/>
        <w:gridCol w:w="1276"/>
        <w:gridCol w:w="1417"/>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atLeast"/>
          <w:tblHeader/>
          <w:jc w:val="center"/>
        </w:trPr>
        <w:tc>
          <w:tcPr>
            <w:tcW w:w="1696"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firstLine="402" w:firstLineChars="200"/>
              <w:outlineLvl w:val="9"/>
              <w:rPr>
                <w:rFonts w:hint="eastAsia" w:ascii="宋体" w:hAnsi="宋体" w:eastAsia="宋体" w:cs="宋体"/>
                <w:b/>
                <w:bCs/>
                <w:color w:val="auto"/>
                <w:kern w:val="0"/>
                <w:sz w:val="20"/>
                <w:szCs w:val="20"/>
                <w:highlight w:val="none"/>
              </w:rPr>
            </w:pPr>
          </w:p>
        </w:tc>
        <w:tc>
          <w:tcPr>
            <w:tcW w:w="1701"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决策</w:t>
            </w:r>
          </w:p>
        </w:tc>
        <w:tc>
          <w:tcPr>
            <w:tcW w:w="1276"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过程</w:t>
            </w:r>
          </w:p>
        </w:tc>
        <w:tc>
          <w:tcPr>
            <w:tcW w:w="1276"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产出</w:t>
            </w:r>
          </w:p>
        </w:tc>
        <w:tc>
          <w:tcPr>
            <w:tcW w:w="1417"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效益</w:t>
            </w:r>
          </w:p>
        </w:tc>
        <w:tc>
          <w:tcPr>
            <w:tcW w:w="1560" w:type="dxa"/>
            <w:shd w:val="clear" w:color="auto" w:fill="BEBEBE" w:themeFill="background1" w:themeFillShade="BF"/>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696" w:type="dxa"/>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总分</w:t>
            </w:r>
          </w:p>
        </w:tc>
        <w:tc>
          <w:tcPr>
            <w:tcW w:w="1701"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w:t>
            </w:r>
            <w:r>
              <w:rPr>
                <w:rFonts w:hint="eastAsia" w:ascii="宋体" w:hAnsi="宋体" w:eastAsia="宋体" w:cs="宋体"/>
                <w:bCs/>
                <w:color w:val="auto"/>
                <w:kern w:val="0"/>
                <w:sz w:val="20"/>
                <w:szCs w:val="20"/>
                <w:highlight w:val="none"/>
                <w:lang w:val="en-US" w:eastAsia="zh-CN"/>
              </w:rPr>
              <w:t>0</w:t>
            </w:r>
            <w:r>
              <w:rPr>
                <w:rFonts w:hint="eastAsia" w:ascii="宋体" w:hAnsi="宋体" w:eastAsia="宋体" w:cs="宋体"/>
                <w:bCs/>
                <w:color w:val="auto"/>
                <w:kern w:val="0"/>
                <w:sz w:val="20"/>
                <w:szCs w:val="20"/>
                <w:highlight w:val="none"/>
              </w:rPr>
              <w:t>.00</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w:t>
            </w:r>
            <w:r>
              <w:rPr>
                <w:rFonts w:hint="eastAsia" w:ascii="宋体" w:hAnsi="宋体" w:eastAsia="宋体" w:cs="宋体"/>
                <w:bCs/>
                <w:color w:val="auto"/>
                <w:kern w:val="0"/>
                <w:sz w:val="20"/>
                <w:szCs w:val="20"/>
                <w:highlight w:val="none"/>
                <w:lang w:val="en-US" w:eastAsia="zh-CN"/>
              </w:rPr>
              <w:t>0</w:t>
            </w:r>
            <w:r>
              <w:rPr>
                <w:rFonts w:hint="eastAsia" w:ascii="宋体" w:hAnsi="宋体" w:eastAsia="宋体" w:cs="宋体"/>
                <w:bCs/>
                <w:color w:val="auto"/>
                <w:kern w:val="0"/>
                <w:sz w:val="20"/>
                <w:szCs w:val="20"/>
                <w:highlight w:val="none"/>
              </w:rPr>
              <w:t>.00</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30.00</w:t>
            </w:r>
          </w:p>
        </w:tc>
        <w:tc>
          <w:tcPr>
            <w:tcW w:w="1417"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val="en-US" w:eastAsia="zh-CN"/>
              </w:rPr>
              <w:t>3</w:t>
            </w:r>
            <w:r>
              <w:rPr>
                <w:rFonts w:hint="eastAsia" w:ascii="宋体" w:hAnsi="宋体" w:eastAsia="宋体" w:cs="宋体"/>
                <w:bCs/>
                <w:color w:val="auto"/>
                <w:kern w:val="0"/>
                <w:sz w:val="20"/>
                <w:szCs w:val="20"/>
                <w:highlight w:val="none"/>
              </w:rPr>
              <w:t>0.00</w:t>
            </w:r>
          </w:p>
        </w:tc>
        <w:tc>
          <w:tcPr>
            <w:tcW w:w="1560"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696" w:type="dxa"/>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得分</w:t>
            </w:r>
          </w:p>
        </w:tc>
        <w:tc>
          <w:tcPr>
            <w:tcW w:w="1701"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18.00</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19.00</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27</w:t>
            </w:r>
            <w:r>
              <w:rPr>
                <w:rFonts w:hint="eastAsia" w:ascii="宋体" w:hAnsi="宋体" w:eastAsia="宋体" w:cs="宋体"/>
                <w:bCs/>
                <w:color w:val="auto"/>
                <w:kern w:val="0"/>
                <w:sz w:val="20"/>
                <w:szCs w:val="20"/>
                <w:highlight w:val="none"/>
              </w:rPr>
              <w:t>.00</w:t>
            </w:r>
          </w:p>
        </w:tc>
        <w:tc>
          <w:tcPr>
            <w:tcW w:w="1417" w:type="dxa"/>
            <w:shd w:val="clear" w:color="auto" w:fill="auto"/>
            <w:vAlign w:val="center"/>
          </w:tcPr>
          <w:p>
            <w:pPr>
              <w:keepNext w:val="0"/>
              <w:keepLines w:val="0"/>
              <w:pageBreakBefore w:val="0"/>
              <w:suppressLineNumbers w:val="0"/>
              <w:tabs>
                <w:tab w:val="left" w:pos="555"/>
                <w:tab w:val="center" w:pos="813"/>
              </w:tabs>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28.12</w:t>
            </w:r>
          </w:p>
        </w:tc>
        <w:tc>
          <w:tcPr>
            <w:tcW w:w="1560" w:type="dxa"/>
            <w:shd w:val="clear" w:color="auto" w:fill="auto"/>
            <w:vAlign w:val="center"/>
          </w:tcPr>
          <w:p>
            <w:pPr>
              <w:keepNext w:val="0"/>
              <w:keepLines w:val="0"/>
              <w:pageBreakBefore w:val="0"/>
              <w:suppressLineNumbers w:val="0"/>
              <w:tabs>
                <w:tab w:val="left" w:pos="555"/>
                <w:tab w:val="center" w:pos="813"/>
              </w:tabs>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92.12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696" w:type="dxa"/>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占比</w:t>
            </w:r>
          </w:p>
        </w:tc>
        <w:tc>
          <w:tcPr>
            <w:tcW w:w="1701"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90%</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95%</w:t>
            </w:r>
          </w:p>
        </w:tc>
        <w:tc>
          <w:tcPr>
            <w:tcW w:w="1276"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90%</w:t>
            </w:r>
          </w:p>
        </w:tc>
        <w:tc>
          <w:tcPr>
            <w:tcW w:w="1417"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93.73%</w:t>
            </w:r>
          </w:p>
        </w:tc>
        <w:tc>
          <w:tcPr>
            <w:tcW w:w="1560" w:type="dxa"/>
            <w:shd w:val="clear" w:color="auto" w:fill="auto"/>
            <w:vAlign w:val="center"/>
          </w:tcPr>
          <w:p>
            <w:pPr>
              <w:keepNext w:val="0"/>
              <w:keepLines w:val="0"/>
              <w:pageBreakBefore w:val="0"/>
              <w:suppressLineNumbers w:val="0"/>
              <w:wordWrap/>
              <w:topLinePunct w:val="0"/>
              <w:bidi w:val="0"/>
              <w:spacing w:before="0" w:beforeAutospacing="0" w:after="0" w:afterAutospacing="0" w:line="600" w:lineRule="exact"/>
              <w:ind w:left="0" w:right="0"/>
              <w:jc w:val="center"/>
              <w:outlineLvl w:val="9"/>
              <w:rPr>
                <w:rFonts w:hint="eastAsia" w:ascii="宋体" w:hAnsi="宋体" w:eastAsia="宋体" w:cs="宋体"/>
                <w:bCs/>
                <w:color w:val="auto"/>
                <w:kern w:val="0"/>
                <w:sz w:val="20"/>
                <w:szCs w:val="20"/>
                <w:highlight w:val="none"/>
                <w:lang w:val="en-US"/>
              </w:rPr>
            </w:pPr>
            <w:r>
              <w:rPr>
                <w:rFonts w:hint="eastAsia" w:ascii="宋体" w:hAnsi="宋体" w:eastAsia="宋体" w:cs="宋体"/>
                <w:bCs/>
                <w:color w:val="auto"/>
                <w:kern w:val="0"/>
                <w:sz w:val="20"/>
                <w:szCs w:val="20"/>
                <w:highlight w:val="none"/>
                <w:lang w:val="en-US" w:eastAsia="zh-CN"/>
              </w:rPr>
              <w:t>92.12%</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color w:val="auto"/>
          <w:sz w:val="32"/>
          <w:szCs w:val="32"/>
          <w:highlight w:val="none"/>
          <w:lang w:val="en-US" w:eastAsia="zh-CN"/>
        </w:rPr>
      </w:pPr>
      <w:bookmarkStart w:id="24" w:name="_Toc6185"/>
      <w:bookmarkStart w:id="25" w:name="_Toc10301"/>
      <w:bookmarkStart w:id="26" w:name="_Toc30941"/>
      <w:r>
        <w:rPr>
          <w:rFonts w:hint="default" w:ascii="Times New Roman" w:hAnsi="Times New Roman" w:eastAsia="黑体" w:cs="Times New Roman"/>
          <w:b w:val="0"/>
          <w:bCs/>
          <w:color w:val="auto"/>
          <w:sz w:val="32"/>
          <w:szCs w:val="32"/>
          <w:highlight w:val="none"/>
          <w:lang w:val="en-US" w:eastAsia="zh-CN"/>
        </w:rPr>
        <w:t>主要经验及做法、存在问题及原因分析</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hint="default" w:ascii="Times New Roman" w:hAnsi="Times New Roman" w:eastAsia="楷体" w:cs="Times New Roman"/>
          <w:b/>
          <w:bCs/>
          <w:color w:val="auto"/>
          <w:sz w:val="32"/>
          <w:szCs w:val="32"/>
          <w:highlight w:val="none"/>
          <w:lang w:val="en-US" w:eastAsia="zh-CN"/>
        </w:rPr>
      </w:pPr>
      <w:bookmarkStart w:id="27" w:name="_Toc2869"/>
      <w:bookmarkStart w:id="28" w:name="_Toc21238"/>
      <w:bookmarkStart w:id="29" w:name="_Toc28868"/>
      <w:r>
        <w:rPr>
          <w:rFonts w:hint="default" w:ascii="Times New Roman" w:hAnsi="Times New Roman" w:eastAsia="楷体" w:cs="Times New Roman"/>
          <w:b/>
          <w:bCs/>
          <w:color w:val="auto"/>
          <w:sz w:val="32"/>
          <w:szCs w:val="32"/>
          <w:highlight w:val="none"/>
          <w:lang w:val="en-US" w:eastAsia="zh-CN"/>
        </w:rPr>
        <w:t>（一）经验及做法</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outlineLvl w:val="9"/>
        <w:rPr>
          <w:rFonts w:hint="default" w:ascii="Times New Roman" w:hAnsi="Times New Roman" w:eastAsia="仿宋" w:cs="Times New Roman"/>
          <w:b/>
          <w:color w:val="auto"/>
          <w:sz w:val="32"/>
          <w:szCs w:val="32"/>
          <w:highlight w:val="none"/>
          <w:lang w:val="en-US" w:eastAsia="zh-CN"/>
        </w:rPr>
      </w:pPr>
      <w:bookmarkStart w:id="30" w:name="_Toc14323"/>
      <w:r>
        <w:rPr>
          <w:rFonts w:hint="default" w:ascii="Times New Roman" w:hAnsi="Times New Roman" w:eastAsia="仿宋" w:cs="Times New Roman"/>
          <w:b/>
          <w:color w:val="auto"/>
          <w:sz w:val="32"/>
          <w:szCs w:val="32"/>
          <w:highlight w:val="none"/>
          <w:lang w:val="en-US" w:eastAsia="zh-CN"/>
        </w:rPr>
        <w:t>1.养老保险基金征缴情况良好</w:t>
      </w:r>
      <w:bookmarkEnd w:id="3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通过查看</w:t>
      </w:r>
      <w:r>
        <w:rPr>
          <w:rFonts w:hint="default" w:ascii="Times New Roman" w:hAnsi="Times New Roman" w:eastAsia="仿宋" w:cs="Times New Roman"/>
          <w:b w:val="0"/>
          <w:bCs/>
          <w:color w:val="auto"/>
          <w:kern w:val="2"/>
          <w:sz w:val="32"/>
          <w:szCs w:val="32"/>
          <w:highlight w:val="none"/>
          <w:lang w:val="en-US" w:eastAsia="zh-CN" w:bidi="ar-SA"/>
        </w:rPr>
        <w:t>大同市企业职工基本养老保险分级负担项目资料，2020年</w:t>
      </w:r>
      <w:r>
        <w:rPr>
          <w:rFonts w:hint="eastAsia" w:ascii="Times New Roman" w:hAnsi="Times New Roman" w:eastAsia="仿宋" w:cs="Times New Roman"/>
          <w:b w:val="0"/>
          <w:bCs/>
          <w:color w:val="auto"/>
          <w:kern w:val="2"/>
          <w:sz w:val="32"/>
          <w:szCs w:val="32"/>
          <w:highlight w:val="none"/>
          <w:lang w:val="en-US" w:eastAsia="zh-CN" w:bidi="ar-SA"/>
        </w:rPr>
        <w:t>，</w:t>
      </w:r>
      <w:r>
        <w:rPr>
          <w:rFonts w:hint="default" w:ascii="Times New Roman" w:hAnsi="Times New Roman" w:eastAsia="仿宋" w:cs="Times New Roman"/>
          <w:b w:val="0"/>
          <w:bCs/>
          <w:color w:val="auto"/>
          <w:kern w:val="2"/>
          <w:sz w:val="32"/>
          <w:szCs w:val="32"/>
          <w:highlight w:val="none"/>
          <w:lang w:val="en-US" w:eastAsia="zh-CN" w:bidi="ar-SA"/>
        </w:rPr>
        <w:t>企业职工基本养老保险</w:t>
      </w:r>
      <w:r>
        <w:rPr>
          <w:rFonts w:hint="eastAsia" w:eastAsia="仿宋" w:cs="Times New Roman"/>
          <w:b w:val="0"/>
          <w:bCs/>
          <w:color w:val="auto"/>
          <w:kern w:val="2"/>
          <w:sz w:val="32"/>
          <w:szCs w:val="32"/>
          <w:highlight w:val="none"/>
          <w:lang w:val="en-US" w:eastAsia="zh-CN" w:bidi="ar-SA"/>
        </w:rPr>
        <w:t>基金</w:t>
      </w:r>
      <w:r>
        <w:rPr>
          <w:rFonts w:hint="eastAsia" w:ascii="Times New Roman" w:hAnsi="Times New Roman" w:eastAsia="仿宋" w:cs="Times New Roman"/>
          <w:b w:val="0"/>
          <w:bCs/>
          <w:color w:val="auto"/>
          <w:kern w:val="2"/>
          <w:sz w:val="32"/>
          <w:szCs w:val="32"/>
          <w:highlight w:val="none"/>
          <w:lang w:val="en-US" w:eastAsia="zh-CN" w:bidi="ar-SA"/>
        </w:rPr>
        <w:t>计划</w:t>
      </w:r>
      <w:r>
        <w:rPr>
          <w:rFonts w:hint="default" w:ascii="Times New Roman" w:hAnsi="Times New Roman" w:eastAsia="仿宋" w:cs="Times New Roman"/>
          <w:b w:val="0"/>
          <w:bCs/>
          <w:color w:val="auto"/>
          <w:kern w:val="2"/>
          <w:sz w:val="32"/>
          <w:szCs w:val="32"/>
          <w:highlight w:val="none"/>
          <w:lang w:val="en-US" w:eastAsia="zh-CN" w:bidi="ar-SA"/>
        </w:rPr>
        <w:t>征缴额148078万元，实际征缴162167万元，征缴率109.51%，养老保险基金</w:t>
      </w:r>
      <w:r>
        <w:rPr>
          <w:rFonts w:hint="eastAsia" w:eastAsia="仿宋" w:cs="Times New Roman"/>
          <w:b w:val="0"/>
          <w:bCs/>
          <w:color w:val="auto"/>
          <w:kern w:val="2"/>
          <w:sz w:val="32"/>
          <w:szCs w:val="32"/>
          <w:highlight w:val="none"/>
          <w:lang w:val="en-US" w:eastAsia="zh-CN" w:bidi="ar-SA"/>
        </w:rPr>
        <w:t>征缴</w:t>
      </w:r>
      <w:r>
        <w:rPr>
          <w:rFonts w:hint="default" w:ascii="Times New Roman" w:hAnsi="Times New Roman" w:eastAsia="仿宋" w:cs="Times New Roman"/>
          <w:b w:val="0"/>
          <w:bCs/>
          <w:color w:val="auto"/>
          <w:kern w:val="2"/>
          <w:sz w:val="32"/>
          <w:szCs w:val="32"/>
          <w:highlight w:val="none"/>
          <w:lang w:val="en-US" w:eastAsia="zh-CN" w:bidi="ar-SA"/>
        </w:rPr>
        <w:t>工作取得了显著成效，</w:t>
      </w:r>
      <w:r>
        <w:rPr>
          <w:rFonts w:hint="eastAsia" w:eastAsia="仿宋" w:cs="Times New Roman"/>
          <w:b w:val="0"/>
          <w:bCs/>
          <w:color w:val="auto"/>
          <w:kern w:val="2"/>
          <w:sz w:val="32"/>
          <w:szCs w:val="32"/>
          <w:highlight w:val="none"/>
          <w:lang w:val="en-US" w:eastAsia="zh-CN" w:bidi="ar-SA"/>
        </w:rPr>
        <w:t>为</w:t>
      </w:r>
      <w:r>
        <w:rPr>
          <w:rFonts w:hint="default" w:ascii="Times New Roman" w:hAnsi="Times New Roman" w:eastAsia="仿宋" w:cs="Times New Roman"/>
          <w:b w:val="0"/>
          <w:bCs/>
          <w:color w:val="auto"/>
          <w:kern w:val="2"/>
          <w:sz w:val="32"/>
          <w:szCs w:val="32"/>
          <w:highlight w:val="none"/>
          <w:lang w:val="en-US" w:eastAsia="zh-CN" w:bidi="ar-SA"/>
        </w:rPr>
        <w:t>保障广大人民群众切身利益</w:t>
      </w:r>
      <w:r>
        <w:rPr>
          <w:rFonts w:hint="eastAsia" w:eastAsia="仿宋" w:cs="Times New Roman"/>
          <w:b w:val="0"/>
          <w:bCs/>
          <w:color w:val="auto"/>
          <w:kern w:val="2"/>
          <w:sz w:val="32"/>
          <w:szCs w:val="32"/>
          <w:highlight w:val="none"/>
          <w:lang w:val="en-US" w:eastAsia="zh-CN" w:bidi="ar-SA"/>
        </w:rPr>
        <w:t>起到了积极作用。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rPr>
          <w:rFonts w:hint="default" w:ascii="Times New Roman" w:hAnsi="Times New Roman" w:eastAsia="仿宋" w:cs="Times New Roman"/>
          <w:b/>
          <w:color w:val="auto"/>
          <w:sz w:val="32"/>
          <w:szCs w:val="32"/>
          <w:highlight w:val="none"/>
          <w:lang w:val="en-US" w:eastAsia="zh-CN"/>
        </w:rPr>
      </w:pPr>
      <w:bookmarkStart w:id="31" w:name="_Toc15827"/>
      <w:r>
        <w:rPr>
          <w:rFonts w:hint="default" w:ascii="Times New Roman" w:hAnsi="Times New Roman" w:eastAsia="仿宋" w:cs="Times New Roman"/>
          <w:b/>
          <w:color w:val="auto"/>
          <w:sz w:val="32"/>
          <w:szCs w:val="32"/>
          <w:highlight w:val="none"/>
          <w:lang w:val="en-US" w:eastAsia="zh-CN"/>
        </w:rPr>
        <w:t>2.财务管理水平较高</w:t>
      </w:r>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大同社会保险中心严格执行</w:t>
      </w:r>
      <w:r>
        <w:rPr>
          <w:rFonts w:hint="default" w:ascii="Times New Roman" w:hAnsi="Times New Roman" w:eastAsia="仿宋" w:cs="Times New Roman"/>
          <w:color w:val="auto"/>
          <w:sz w:val="32"/>
          <w:szCs w:val="32"/>
          <w:highlight w:val="none"/>
          <w:lang w:val="en-US" w:eastAsia="zh-CN"/>
        </w:rPr>
        <w:t>山西省人力资源和社会保障厅 山西省财政厅《关于印发山西省企业职工基本养老保险基金省级统收统支实施办法的通知》（晋人社厅发〔2019〕52号）和相关财务制度，</w:t>
      </w:r>
      <w:r>
        <w:rPr>
          <w:rFonts w:hint="eastAsia" w:eastAsia="仿宋" w:cs="Times New Roman"/>
          <w:b w:val="0"/>
          <w:bCs/>
          <w:color w:val="auto"/>
          <w:kern w:val="2"/>
          <w:sz w:val="32"/>
          <w:szCs w:val="32"/>
          <w:highlight w:val="none"/>
          <w:lang w:val="en-US" w:eastAsia="zh-CN" w:bidi="ar-SA"/>
        </w:rPr>
        <w:t>2020年</w:t>
      </w:r>
      <w:r>
        <w:rPr>
          <w:rFonts w:hint="default" w:ascii="Times New Roman" w:hAnsi="Times New Roman" w:eastAsia="仿宋" w:cs="Times New Roman"/>
          <w:b w:val="0"/>
          <w:bCs/>
          <w:color w:val="auto"/>
          <w:kern w:val="2"/>
          <w:sz w:val="32"/>
          <w:szCs w:val="32"/>
          <w:highlight w:val="none"/>
          <w:lang w:val="en-US" w:eastAsia="zh-CN" w:bidi="ar-SA"/>
        </w:rPr>
        <w:t>企业职工基本养老保险分级负担项目</w:t>
      </w:r>
      <w:r>
        <w:rPr>
          <w:rFonts w:hint="default" w:ascii="Times New Roman" w:hAnsi="Times New Roman" w:eastAsia="仿宋" w:cs="Times New Roman"/>
          <w:color w:val="auto"/>
          <w:sz w:val="32"/>
          <w:szCs w:val="32"/>
          <w:highlight w:val="none"/>
          <w:lang w:val="en-US" w:eastAsia="zh-CN"/>
        </w:rPr>
        <w:t>专账核算、专人管理</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及时、足额的</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将</w:t>
      </w:r>
      <w:r>
        <w:rPr>
          <w:rFonts w:hint="default" w:ascii="Times New Roman" w:hAnsi="Times New Roman" w:eastAsia="仿宋" w:cs="Times New Roman"/>
          <w:color w:val="auto"/>
          <w:sz w:val="32"/>
          <w:szCs w:val="32"/>
          <w:highlight w:val="none"/>
          <w:lang w:val="en-US" w:eastAsia="zh-CN"/>
        </w:rPr>
        <w:t>企业职工基本养老保险基金省级统筹缺口</w:t>
      </w:r>
      <w:r>
        <w:rPr>
          <w:rFonts w:hint="default" w:ascii="Times New Roman" w:hAnsi="Times New Roman" w:eastAsia="仿宋" w:cs="Times New Roman"/>
          <w:color w:val="auto"/>
          <w:kern w:val="2"/>
          <w:sz w:val="32"/>
          <w:szCs w:val="32"/>
          <w:highlight w:val="none"/>
          <w:lang w:val="en-US" w:eastAsia="zh-CN" w:bidi="ar-SA"/>
        </w:rPr>
        <w:t>资金</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上解至省级财政；支出审批程序</w:t>
      </w:r>
      <w:r>
        <w:rPr>
          <w:rFonts w:hint="eastAsia" w:eastAsia="仿宋" w:cs="Times New Roman"/>
          <w:b w:val="0"/>
          <w:bCs/>
          <w:i w:val="0"/>
          <w:iCs w:val="0"/>
          <w:caps w:val="0"/>
          <w:color w:val="auto"/>
          <w:spacing w:val="0"/>
          <w:kern w:val="0"/>
          <w:sz w:val="32"/>
          <w:szCs w:val="32"/>
          <w:highlight w:val="none"/>
          <w:shd w:val="clear" w:fill="FFFFFF"/>
          <w:lang w:val="en-US" w:eastAsia="zh-CN" w:bidi="ar"/>
        </w:rPr>
        <w:t>完备</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，未</w:t>
      </w:r>
      <w:r>
        <w:rPr>
          <w:rFonts w:hint="eastAsia" w:eastAsia="仿宋" w:cs="Times New Roman"/>
          <w:b w:val="0"/>
          <w:bCs/>
          <w:i w:val="0"/>
          <w:iCs w:val="0"/>
          <w:caps w:val="0"/>
          <w:color w:val="auto"/>
          <w:spacing w:val="0"/>
          <w:kern w:val="0"/>
          <w:sz w:val="32"/>
          <w:szCs w:val="32"/>
          <w:highlight w:val="none"/>
          <w:shd w:val="clear" w:fill="FFFFFF"/>
          <w:lang w:val="en-US" w:eastAsia="zh-CN" w:bidi="ar"/>
        </w:rPr>
        <w:t>发</w:t>
      </w:r>
      <w:r>
        <w:rPr>
          <w:rFonts w:hint="default" w:ascii="Times New Roman" w:hAnsi="Times New Roman" w:eastAsia="仿宋" w:cs="Times New Roman"/>
          <w:b w:val="0"/>
          <w:bCs/>
          <w:i w:val="0"/>
          <w:iCs w:val="0"/>
          <w:caps w:val="0"/>
          <w:color w:val="auto"/>
          <w:spacing w:val="0"/>
          <w:kern w:val="0"/>
          <w:sz w:val="32"/>
          <w:szCs w:val="32"/>
          <w:highlight w:val="none"/>
          <w:shd w:val="clear" w:fill="FFFFFF"/>
          <w:lang w:val="en-US" w:eastAsia="zh-CN" w:bidi="ar"/>
        </w:rPr>
        <w:t>现在截留、挤占、挪用、虚列支出等情况，确保了资金使用的合规，为基本养老保险统筹管理奠定了基础。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hint="default" w:ascii="Times New Roman" w:hAnsi="Times New Roman" w:eastAsia="楷体" w:cs="Times New Roman"/>
          <w:b/>
          <w:bCs/>
          <w:color w:val="auto"/>
          <w:sz w:val="32"/>
          <w:szCs w:val="32"/>
          <w:highlight w:val="none"/>
          <w:lang w:val="en-US" w:eastAsia="zh-CN"/>
        </w:rPr>
      </w:pPr>
      <w:bookmarkStart w:id="32" w:name="_Toc1428"/>
      <w:bookmarkStart w:id="33" w:name="_Toc19221"/>
      <w:bookmarkStart w:id="34" w:name="_Toc28316"/>
      <w:r>
        <w:rPr>
          <w:rFonts w:hint="default" w:ascii="Times New Roman" w:hAnsi="Times New Roman" w:eastAsia="楷体" w:cs="Times New Roman"/>
          <w:b/>
          <w:bCs/>
          <w:color w:val="auto"/>
          <w:sz w:val="32"/>
          <w:szCs w:val="32"/>
          <w:highlight w:val="none"/>
          <w:lang w:val="en-US" w:eastAsia="zh-CN"/>
        </w:rPr>
        <w:t>（二）存在的问题及原因分析</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outlineLvl w:val="9"/>
        <w:rPr>
          <w:rFonts w:hint="default" w:ascii="Times New Roman" w:hAnsi="Times New Roman" w:eastAsia="仿宋" w:cs="Times New Roman"/>
          <w:b/>
          <w:color w:val="auto"/>
          <w:sz w:val="32"/>
          <w:szCs w:val="32"/>
          <w:highlight w:val="none"/>
          <w:lang w:val="en-US" w:eastAsia="zh-CN"/>
        </w:rPr>
      </w:pPr>
      <w:bookmarkStart w:id="35" w:name="_Toc22266"/>
      <w:r>
        <w:rPr>
          <w:rFonts w:hint="default" w:ascii="Times New Roman" w:hAnsi="Times New Roman" w:eastAsia="仿宋" w:cs="Times New Roman"/>
          <w:b/>
          <w:color w:val="auto"/>
          <w:sz w:val="32"/>
          <w:szCs w:val="32"/>
          <w:highlight w:val="none"/>
          <w:lang w:val="en-US" w:eastAsia="zh-CN"/>
        </w:rPr>
        <w:t>1.</w:t>
      </w:r>
      <w:r>
        <w:rPr>
          <w:rFonts w:hint="eastAsia" w:eastAsia="仿宋" w:cs="Times New Roman"/>
          <w:b/>
          <w:color w:val="auto"/>
          <w:sz w:val="32"/>
          <w:szCs w:val="32"/>
          <w:highlight w:val="none"/>
          <w:lang w:val="en-US" w:eastAsia="zh-CN"/>
        </w:rPr>
        <w:t>档案</w:t>
      </w:r>
      <w:r>
        <w:rPr>
          <w:rFonts w:hint="default" w:ascii="Times New Roman" w:hAnsi="Times New Roman" w:eastAsia="仿宋" w:cs="Times New Roman"/>
          <w:b/>
          <w:color w:val="auto"/>
          <w:sz w:val="32"/>
          <w:szCs w:val="32"/>
          <w:highlight w:val="none"/>
          <w:lang w:val="en-US" w:eastAsia="zh-CN"/>
        </w:rPr>
        <w:t>管理制度不够健全</w:t>
      </w:r>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查阅</w:t>
      </w:r>
      <w:r>
        <w:rPr>
          <w:rFonts w:hint="eastAsia" w:eastAsia="仿宋" w:cs="Times New Roman"/>
          <w:b w:val="0"/>
          <w:bCs/>
          <w:color w:val="auto"/>
          <w:sz w:val="32"/>
          <w:szCs w:val="32"/>
          <w:highlight w:val="none"/>
          <w:lang w:val="en-US" w:eastAsia="zh-CN"/>
        </w:rPr>
        <w:t>2020年</w:t>
      </w:r>
      <w:r>
        <w:rPr>
          <w:rFonts w:hint="default" w:ascii="Times New Roman" w:hAnsi="Times New Roman" w:eastAsia="仿宋" w:cs="Times New Roman"/>
          <w:b w:val="0"/>
          <w:bCs/>
          <w:color w:val="auto"/>
          <w:sz w:val="32"/>
          <w:szCs w:val="32"/>
          <w:highlight w:val="none"/>
          <w:lang w:val="en-US" w:eastAsia="zh-CN"/>
        </w:rPr>
        <w:t>企业职工基本养老保险分级负担项目相关资料，大同市社会保险中心建立健全相应的财务管理制度、基金管理办法及基金预警预测制度，但由于对档案管理工作的认知不够深刻，忽视了档案管理工作的重要性，所以未</w:t>
      </w:r>
      <w:r>
        <w:rPr>
          <w:rFonts w:hint="eastAsia" w:eastAsia="仿宋" w:cs="Times New Roman"/>
          <w:b w:val="0"/>
          <w:bCs/>
          <w:color w:val="auto"/>
          <w:sz w:val="32"/>
          <w:szCs w:val="32"/>
          <w:highlight w:val="none"/>
          <w:lang w:val="en-US" w:eastAsia="zh-CN"/>
        </w:rPr>
        <w:t>建立</w:t>
      </w:r>
      <w:r>
        <w:rPr>
          <w:rFonts w:hint="default" w:ascii="Times New Roman" w:hAnsi="Times New Roman" w:eastAsia="仿宋" w:cs="Times New Roman"/>
          <w:b w:val="0"/>
          <w:bCs/>
          <w:color w:val="auto"/>
          <w:sz w:val="32"/>
          <w:szCs w:val="32"/>
          <w:highlight w:val="none"/>
          <w:lang w:val="en-US" w:eastAsia="zh-CN"/>
        </w:rPr>
        <w:t>健全档案管理制度，档案管理标准化、规范化有待加强。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outlineLvl w:val="9"/>
        <w:rPr>
          <w:rFonts w:hint="default" w:ascii="Times New Roman" w:hAnsi="Times New Roman" w:eastAsia="仿宋" w:cs="Times New Roman"/>
          <w:b/>
          <w:color w:val="auto"/>
          <w:sz w:val="32"/>
          <w:szCs w:val="32"/>
          <w:highlight w:val="none"/>
          <w:lang w:val="en-US" w:eastAsia="zh-CN"/>
        </w:rPr>
      </w:pPr>
      <w:bookmarkStart w:id="36" w:name="_Toc10213"/>
      <w:r>
        <w:rPr>
          <w:rFonts w:hint="default" w:ascii="Times New Roman" w:hAnsi="Times New Roman" w:eastAsia="仿宋" w:cs="Times New Roman"/>
          <w:b/>
          <w:color w:val="auto"/>
          <w:sz w:val="32"/>
          <w:szCs w:val="32"/>
          <w:highlight w:val="none"/>
          <w:lang w:val="en-US" w:eastAsia="zh-CN"/>
        </w:rPr>
        <w:t>2.参保率较</w:t>
      </w:r>
      <w:r>
        <w:rPr>
          <w:rFonts w:hint="eastAsia" w:eastAsia="仿宋" w:cs="Times New Roman"/>
          <w:b/>
          <w:color w:val="auto"/>
          <w:sz w:val="32"/>
          <w:szCs w:val="32"/>
          <w:highlight w:val="none"/>
          <w:lang w:val="en-US" w:eastAsia="zh-CN"/>
        </w:rPr>
        <w:t>上年出现负增长</w:t>
      </w:r>
      <w:bookmarkEnd w:id="36"/>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仿宋" w:cs="Times New Roman"/>
          <w:b w:val="0"/>
          <w:bCs/>
          <w:color w:val="auto"/>
          <w:kern w:val="2"/>
          <w:sz w:val="32"/>
          <w:szCs w:val="32"/>
          <w:highlight w:val="none"/>
          <w:lang w:val="en-US" w:eastAsia="zh-CN" w:bidi="ar-SA"/>
        </w:rPr>
      </w:pPr>
      <w:r>
        <w:rPr>
          <w:rFonts w:hint="default" w:ascii="Times New Roman" w:hAnsi="Times New Roman" w:eastAsia="仿宋" w:cs="Times New Roman"/>
          <w:b w:val="0"/>
          <w:bCs/>
          <w:color w:val="auto"/>
          <w:kern w:val="2"/>
          <w:sz w:val="32"/>
          <w:szCs w:val="32"/>
          <w:highlight w:val="none"/>
          <w:lang w:val="en-US" w:eastAsia="zh-CN" w:bidi="ar-SA"/>
        </w:rPr>
        <w:t>根据</w:t>
      </w:r>
      <w:r>
        <w:rPr>
          <w:rFonts w:hint="eastAsia" w:ascii="Times New Roman" w:hAnsi="Times New Roman" w:eastAsia="仿宋" w:cs="Times New Roman"/>
          <w:b w:val="0"/>
          <w:bCs/>
          <w:color w:val="auto"/>
          <w:kern w:val="2"/>
          <w:sz w:val="32"/>
          <w:szCs w:val="32"/>
          <w:highlight w:val="none"/>
          <w:lang w:val="en-US" w:eastAsia="zh-CN" w:bidi="ar-SA"/>
        </w:rPr>
        <w:t>2020年</w:t>
      </w:r>
      <w:r>
        <w:rPr>
          <w:rFonts w:hint="default" w:ascii="Times New Roman" w:hAnsi="Times New Roman" w:eastAsia="仿宋" w:cs="Times New Roman"/>
          <w:b w:val="0"/>
          <w:bCs/>
          <w:color w:val="auto"/>
          <w:kern w:val="2"/>
          <w:sz w:val="32"/>
          <w:szCs w:val="32"/>
          <w:highlight w:val="none"/>
          <w:lang w:val="en-US" w:eastAsia="zh-CN" w:bidi="ar-SA"/>
        </w:rPr>
        <w:t>企业职工基本养老保险分级负担项目资料显示，2020年大同市企业职工参保人数为平均194814人，2019企业参保平均人数196498人，参保增长率为-0.86%，</w:t>
      </w:r>
      <w:r>
        <w:rPr>
          <w:rFonts w:hint="eastAsia" w:eastAsia="仿宋" w:cs="Times New Roman"/>
          <w:b w:val="0"/>
          <w:bCs/>
          <w:color w:val="auto"/>
          <w:kern w:val="2"/>
          <w:sz w:val="32"/>
          <w:szCs w:val="32"/>
          <w:highlight w:val="none"/>
          <w:lang w:val="en-US" w:eastAsia="zh-CN" w:bidi="ar-SA"/>
        </w:rPr>
        <w:t>出现了负增长情况</w:t>
      </w:r>
      <w:r>
        <w:rPr>
          <w:rFonts w:hint="default" w:ascii="Times New Roman" w:hAnsi="Times New Roman" w:eastAsia="仿宋" w:cs="Times New Roman"/>
          <w:b w:val="0"/>
          <w:bCs/>
          <w:color w:val="auto"/>
          <w:kern w:val="2"/>
          <w:sz w:val="32"/>
          <w:szCs w:val="32"/>
          <w:highlight w:val="none"/>
          <w:lang w:val="en-US" w:eastAsia="zh-CN" w:bidi="ar-SA"/>
        </w:rPr>
        <w:t>。经评价组调研分析，参保</w:t>
      </w:r>
      <w:r>
        <w:rPr>
          <w:rFonts w:hint="eastAsia" w:eastAsia="仿宋" w:cs="Times New Roman"/>
          <w:b w:val="0"/>
          <w:bCs/>
          <w:color w:val="auto"/>
          <w:kern w:val="2"/>
          <w:sz w:val="32"/>
          <w:szCs w:val="32"/>
          <w:highlight w:val="none"/>
          <w:lang w:val="en-US" w:eastAsia="zh-CN" w:bidi="ar-SA"/>
        </w:rPr>
        <w:t>率出现负增长</w:t>
      </w:r>
      <w:r>
        <w:rPr>
          <w:rFonts w:hint="default" w:ascii="Times New Roman" w:hAnsi="Times New Roman" w:eastAsia="仿宋" w:cs="Times New Roman"/>
          <w:b w:val="0"/>
          <w:bCs/>
          <w:color w:val="auto"/>
          <w:kern w:val="2"/>
          <w:sz w:val="32"/>
          <w:szCs w:val="32"/>
          <w:highlight w:val="none"/>
          <w:lang w:val="en-US" w:eastAsia="zh-CN" w:bidi="ar-SA"/>
        </w:rPr>
        <w:t>原因包括</w:t>
      </w:r>
      <w:r>
        <w:rPr>
          <w:rFonts w:hint="eastAsia" w:eastAsia="仿宋" w:cs="Times New Roman"/>
          <w:b w:val="0"/>
          <w:bCs/>
          <w:color w:val="auto"/>
          <w:kern w:val="2"/>
          <w:sz w:val="32"/>
          <w:szCs w:val="32"/>
          <w:highlight w:val="none"/>
          <w:lang w:val="en-US" w:eastAsia="zh-CN" w:bidi="ar-SA"/>
        </w:rPr>
        <w:t>：一是</w:t>
      </w:r>
      <w:r>
        <w:rPr>
          <w:rFonts w:hint="default" w:ascii="Times New Roman" w:hAnsi="Times New Roman" w:eastAsia="仿宋" w:cs="Times New Roman"/>
          <w:b w:val="0"/>
          <w:bCs/>
          <w:color w:val="auto"/>
          <w:kern w:val="2"/>
          <w:sz w:val="32"/>
          <w:szCs w:val="32"/>
          <w:highlight w:val="none"/>
          <w:lang w:val="en-US" w:eastAsia="zh-CN" w:bidi="ar-SA"/>
        </w:rPr>
        <w:t>部分企业经营者法制观念不强，参保意识薄弱，为降低用人成本，节省开支，未给员工缴纳保险；</w:t>
      </w:r>
      <w:r>
        <w:rPr>
          <w:rFonts w:hint="eastAsia" w:eastAsia="仿宋" w:cs="Times New Roman"/>
          <w:b w:val="0"/>
          <w:bCs/>
          <w:color w:val="auto"/>
          <w:kern w:val="2"/>
          <w:sz w:val="32"/>
          <w:szCs w:val="32"/>
          <w:highlight w:val="none"/>
          <w:lang w:val="en-US" w:eastAsia="zh-CN" w:bidi="ar-SA"/>
        </w:rPr>
        <w:t>二是</w:t>
      </w:r>
      <w:r>
        <w:rPr>
          <w:rFonts w:hint="default" w:ascii="Times New Roman" w:hAnsi="Times New Roman" w:eastAsia="仿宋" w:cs="Times New Roman"/>
          <w:b w:val="0"/>
          <w:bCs/>
          <w:color w:val="auto"/>
          <w:kern w:val="2"/>
          <w:sz w:val="32"/>
          <w:szCs w:val="32"/>
          <w:highlight w:val="none"/>
          <w:lang w:val="en-US" w:eastAsia="zh-CN" w:bidi="ar-SA"/>
        </w:rPr>
        <w:t>由于部分企业职工受</w:t>
      </w:r>
      <w:r>
        <w:rPr>
          <w:rFonts w:hint="eastAsia" w:eastAsia="仿宋" w:cs="Times New Roman"/>
          <w:b w:val="0"/>
          <w:bCs/>
          <w:color w:val="auto"/>
          <w:kern w:val="2"/>
          <w:sz w:val="32"/>
          <w:szCs w:val="32"/>
          <w:highlight w:val="none"/>
          <w:lang w:val="en-US" w:eastAsia="zh-CN" w:bidi="ar-SA"/>
        </w:rPr>
        <w:t>“</w:t>
      </w:r>
      <w:r>
        <w:rPr>
          <w:rFonts w:hint="default" w:ascii="Times New Roman" w:hAnsi="Times New Roman" w:eastAsia="仿宋" w:cs="Times New Roman"/>
          <w:b w:val="0"/>
          <w:bCs/>
          <w:color w:val="auto"/>
          <w:kern w:val="2"/>
          <w:sz w:val="32"/>
          <w:szCs w:val="32"/>
          <w:highlight w:val="none"/>
          <w:lang w:val="en-US" w:eastAsia="zh-CN" w:bidi="ar-SA"/>
        </w:rPr>
        <w:t>拿到手里的才是自己的</w:t>
      </w:r>
      <w:r>
        <w:rPr>
          <w:rFonts w:hint="eastAsia" w:eastAsia="仿宋" w:cs="Times New Roman"/>
          <w:b w:val="0"/>
          <w:bCs/>
          <w:color w:val="auto"/>
          <w:kern w:val="2"/>
          <w:sz w:val="32"/>
          <w:szCs w:val="32"/>
          <w:highlight w:val="none"/>
          <w:lang w:val="en-US" w:eastAsia="zh-CN" w:bidi="ar-SA"/>
        </w:rPr>
        <w:t>”</w:t>
      </w:r>
      <w:r>
        <w:rPr>
          <w:rFonts w:hint="default" w:ascii="Times New Roman" w:hAnsi="Times New Roman" w:eastAsia="仿宋" w:cs="Times New Roman"/>
          <w:b w:val="0"/>
          <w:bCs/>
          <w:color w:val="auto"/>
          <w:kern w:val="2"/>
          <w:sz w:val="32"/>
          <w:szCs w:val="32"/>
          <w:highlight w:val="none"/>
          <w:lang w:val="en-US" w:eastAsia="zh-CN" w:bidi="ar-SA"/>
        </w:rPr>
        <w:t>等</w:t>
      </w:r>
      <w:r>
        <w:rPr>
          <w:rFonts w:hint="eastAsia" w:eastAsia="仿宋" w:cs="Times New Roman"/>
          <w:b w:val="0"/>
          <w:bCs/>
          <w:color w:val="auto"/>
          <w:kern w:val="2"/>
          <w:sz w:val="32"/>
          <w:szCs w:val="32"/>
          <w:highlight w:val="none"/>
          <w:lang w:val="en-US" w:eastAsia="zh-CN" w:bidi="ar-SA"/>
        </w:rPr>
        <w:t>观念</w:t>
      </w:r>
      <w:r>
        <w:rPr>
          <w:rFonts w:hint="default" w:ascii="Times New Roman" w:hAnsi="Times New Roman" w:eastAsia="仿宋" w:cs="Times New Roman"/>
          <w:b w:val="0"/>
          <w:bCs/>
          <w:color w:val="auto"/>
          <w:kern w:val="2"/>
          <w:sz w:val="32"/>
          <w:szCs w:val="32"/>
          <w:highlight w:val="none"/>
          <w:lang w:val="en-US" w:eastAsia="zh-CN" w:bidi="ar-SA"/>
        </w:rPr>
        <w:t>的影响，</w:t>
      </w:r>
      <w:r>
        <w:rPr>
          <w:rFonts w:hint="eastAsia" w:eastAsia="仿宋" w:cs="Times New Roman"/>
          <w:b w:val="0"/>
          <w:bCs/>
          <w:color w:val="auto"/>
          <w:kern w:val="2"/>
          <w:sz w:val="32"/>
          <w:szCs w:val="32"/>
          <w:highlight w:val="none"/>
          <w:lang w:val="en-US" w:eastAsia="zh-CN" w:bidi="ar-SA"/>
        </w:rPr>
        <w:t>对企业职工基本养老保险重要性认识不足，</w:t>
      </w:r>
      <w:r>
        <w:rPr>
          <w:rFonts w:hint="default" w:ascii="Times New Roman" w:hAnsi="Times New Roman" w:eastAsia="仿宋" w:cs="Times New Roman"/>
          <w:b w:val="0"/>
          <w:bCs/>
          <w:color w:val="auto"/>
          <w:kern w:val="2"/>
          <w:sz w:val="32"/>
          <w:szCs w:val="32"/>
          <w:highlight w:val="none"/>
          <w:lang w:val="en-US" w:eastAsia="zh-CN" w:bidi="ar-SA"/>
        </w:rPr>
        <w:t>参保自觉性不高。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default" w:ascii="Times New Roman" w:hAnsi="Times New Roman" w:eastAsia="黑体" w:cs="Times New Roman"/>
          <w:b w:val="0"/>
          <w:bCs w:val="0"/>
          <w:color w:val="auto"/>
          <w:sz w:val="32"/>
          <w:szCs w:val="32"/>
          <w:highlight w:val="none"/>
          <w:lang w:val="en-US" w:eastAsia="zh-CN"/>
        </w:rPr>
      </w:pPr>
      <w:bookmarkStart w:id="37" w:name="_Toc26755"/>
      <w:bookmarkStart w:id="38" w:name="_Toc5521"/>
      <w:bookmarkStart w:id="39" w:name="_Toc29933"/>
      <w:r>
        <w:rPr>
          <w:rFonts w:hint="eastAsia"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rPr>
        <w:t>、</w:t>
      </w:r>
      <w:r>
        <w:rPr>
          <w:rFonts w:hint="default" w:ascii="Times New Roman" w:hAnsi="Times New Roman" w:eastAsia="黑体" w:cs="Times New Roman"/>
          <w:b w:val="0"/>
          <w:bCs w:val="0"/>
          <w:color w:val="auto"/>
          <w:sz w:val="32"/>
          <w:szCs w:val="32"/>
          <w:highlight w:val="none"/>
          <w:lang w:val="en-US" w:eastAsia="zh-CN"/>
        </w:rPr>
        <w:t>有关建议</w:t>
      </w:r>
      <w:bookmarkEnd w:id="37"/>
      <w:bookmarkEnd w:id="38"/>
      <w:bookmarkEnd w:id="39"/>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baseline"/>
        <w:outlineLvl w:val="9"/>
        <w:rPr>
          <w:rFonts w:hint="default" w:ascii="Times New Roman" w:hAnsi="Times New Roman" w:eastAsia="楷体" w:cs="Times New Roman"/>
          <w:b/>
          <w:bCs/>
          <w:color w:val="auto"/>
          <w:kern w:val="2"/>
          <w:sz w:val="32"/>
          <w:szCs w:val="32"/>
          <w:highlight w:val="none"/>
          <w:lang w:val="en-US" w:eastAsia="zh-CN" w:bidi="ar-SA"/>
        </w:rPr>
      </w:pPr>
      <w:bookmarkStart w:id="40" w:name="_Toc2677"/>
      <w:bookmarkStart w:id="41" w:name="_Toc22587"/>
      <w:bookmarkStart w:id="42" w:name="_Toc29560"/>
      <w:r>
        <w:rPr>
          <w:rFonts w:hint="default" w:ascii="Times New Roman" w:hAnsi="Times New Roman" w:eastAsia="楷体" w:cs="Times New Roman"/>
          <w:b/>
          <w:bCs/>
          <w:color w:val="auto"/>
          <w:kern w:val="2"/>
          <w:sz w:val="32"/>
          <w:szCs w:val="32"/>
          <w:highlight w:val="none"/>
          <w:lang w:val="en-US" w:eastAsia="zh-CN" w:bidi="ar-SA"/>
        </w:rPr>
        <w:t>（一）建立健全</w:t>
      </w:r>
      <w:r>
        <w:rPr>
          <w:rFonts w:hint="eastAsia" w:eastAsia="楷体" w:cs="Times New Roman"/>
          <w:b/>
          <w:bCs/>
          <w:color w:val="auto"/>
          <w:kern w:val="2"/>
          <w:sz w:val="32"/>
          <w:szCs w:val="32"/>
          <w:highlight w:val="none"/>
          <w:lang w:val="en-US" w:eastAsia="zh-CN" w:bidi="ar-SA"/>
        </w:rPr>
        <w:t>档案</w:t>
      </w:r>
      <w:r>
        <w:rPr>
          <w:rFonts w:hint="default" w:ascii="Times New Roman" w:hAnsi="Times New Roman" w:eastAsia="楷体" w:cs="Times New Roman"/>
          <w:b/>
          <w:bCs/>
          <w:color w:val="auto"/>
          <w:kern w:val="2"/>
          <w:sz w:val="32"/>
          <w:szCs w:val="32"/>
          <w:highlight w:val="none"/>
          <w:lang w:val="en-US" w:eastAsia="zh-CN" w:bidi="ar-SA"/>
        </w:rPr>
        <w:t>管理制度</w:t>
      </w:r>
      <w:bookmarkEnd w:id="40"/>
      <w:bookmarkEnd w:id="41"/>
      <w:bookmarkEnd w:id="42"/>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baseline"/>
        <w:outlineLvl w:val="9"/>
        <w:rPr>
          <w:rFonts w:hint="default" w:ascii="Times New Roman" w:hAnsi="Times New Roman" w:eastAsia="仿宋" w:cs="Times New Roman"/>
          <w:b w:val="0"/>
          <w:bCs/>
          <w:color w:val="auto"/>
          <w:kern w:val="2"/>
          <w:sz w:val="32"/>
          <w:szCs w:val="32"/>
          <w:highlight w:val="none"/>
          <w:lang w:val="en-US" w:eastAsia="zh-CN" w:bidi="ar-SA"/>
        </w:rPr>
      </w:pPr>
      <w:r>
        <w:rPr>
          <w:rFonts w:hint="default" w:ascii="Times New Roman" w:hAnsi="Times New Roman" w:eastAsia="仿宋" w:cs="Times New Roman"/>
          <w:b w:val="0"/>
          <w:bCs/>
          <w:color w:val="auto"/>
          <w:kern w:val="2"/>
          <w:sz w:val="32"/>
          <w:szCs w:val="32"/>
          <w:highlight w:val="none"/>
          <w:lang w:val="en-US" w:eastAsia="zh-CN" w:bidi="ar-SA"/>
        </w:rPr>
        <w:t>提高档案工作的认识程度、增强档案管理意识、重视档案管理工作；紧跟时代趋势，运用现代化的管理理念，创新档案管理理念和档案管理方式，提升档案管理效率和管理质量，把档案管理的作用最大化；结合单位实际情况，进一步建立健全档案管理制度，科学管理，规范档案操作管理，明确规定归档时间、归档范围、归档要求、档案保管等，充分发挥制度的双向约束力，坚持执行规章制度的严肃性，提升档案管理水平。</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baseline"/>
        <w:rPr>
          <w:rFonts w:hint="default" w:ascii="Times New Roman" w:hAnsi="Times New Roman" w:eastAsia="楷体" w:cs="Times New Roman"/>
          <w:b/>
          <w:bCs/>
          <w:color w:val="auto"/>
          <w:kern w:val="2"/>
          <w:sz w:val="32"/>
          <w:szCs w:val="32"/>
          <w:highlight w:val="none"/>
          <w:lang w:val="en-US" w:eastAsia="zh-CN" w:bidi="ar-SA"/>
        </w:rPr>
      </w:pPr>
      <w:bookmarkStart w:id="43" w:name="_Toc5806"/>
      <w:bookmarkStart w:id="44" w:name="_Toc11137"/>
      <w:bookmarkStart w:id="45" w:name="_Toc20810"/>
      <w:r>
        <w:rPr>
          <w:rFonts w:hint="default" w:ascii="Times New Roman" w:hAnsi="Times New Roman" w:eastAsia="楷体" w:cs="Times New Roman"/>
          <w:b/>
          <w:bCs/>
          <w:color w:val="auto"/>
          <w:kern w:val="2"/>
          <w:sz w:val="32"/>
          <w:szCs w:val="32"/>
          <w:highlight w:val="none"/>
          <w:lang w:val="en-US" w:eastAsia="zh-CN" w:bidi="ar-SA"/>
        </w:rPr>
        <w:t>（二）</w:t>
      </w:r>
      <w:r>
        <w:rPr>
          <w:rFonts w:hint="eastAsia" w:eastAsia="楷体" w:cs="Times New Roman"/>
          <w:b/>
          <w:bCs/>
          <w:color w:val="auto"/>
          <w:kern w:val="2"/>
          <w:sz w:val="32"/>
          <w:szCs w:val="32"/>
          <w:highlight w:val="none"/>
          <w:lang w:val="en-US" w:eastAsia="zh-CN" w:bidi="ar-SA"/>
        </w:rPr>
        <w:t>应保尽保</w:t>
      </w:r>
      <w:r>
        <w:rPr>
          <w:rFonts w:hint="default" w:ascii="Times New Roman" w:hAnsi="Times New Roman" w:eastAsia="楷体" w:cs="Times New Roman"/>
          <w:b/>
          <w:bCs/>
          <w:color w:val="auto"/>
          <w:kern w:val="2"/>
          <w:sz w:val="32"/>
          <w:szCs w:val="32"/>
          <w:highlight w:val="none"/>
          <w:lang w:val="en-US" w:eastAsia="zh-CN" w:bidi="ar-SA"/>
        </w:rPr>
        <w:t>，提高参保增长率</w:t>
      </w:r>
      <w:bookmarkEnd w:id="43"/>
      <w:bookmarkEnd w:id="44"/>
      <w:bookmarkEnd w:id="45"/>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baseline"/>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b w:val="0"/>
          <w:bCs/>
          <w:color w:val="auto"/>
          <w:kern w:val="2"/>
          <w:sz w:val="32"/>
          <w:szCs w:val="32"/>
          <w:highlight w:val="none"/>
          <w:lang w:val="en-US" w:eastAsia="zh-CN" w:bidi="ar-SA"/>
        </w:rPr>
        <w:t>1.</w:t>
      </w:r>
      <w:r>
        <w:rPr>
          <w:rFonts w:hint="default" w:ascii="Times New Roman" w:hAnsi="Times New Roman" w:eastAsia="仿宋" w:cs="Times New Roman"/>
          <w:b w:val="0"/>
          <w:bCs/>
          <w:color w:val="auto"/>
          <w:kern w:val="2"/>
          <w:sz w:val="32"/>
          <w:szCs w:val="32"/>
          <w:highlight w:val="none"/>
          <w:lang w:val="en-US" w:eastAsia="zh-CN" w:bidi="ar-SA"/>
        </w:rPr>
        <w:t>进一步完善养老保险参保工作机制，积极推广养老保险制度</w:t>
      </w:r>
      <w:r>
        <w:rPr>
          <w:rFonts w:hint="eastAsia" w:ascii="Times New Roman" w:hAnsi="Times New Roman" w:eastAsia="仿宋" w:cs="Times New Roman"/>
          <w:b w:val="0"/>
          <w:bCs/>
          <w:color w:val="auto"/>
          <w:kern w:val="2"/>
          <w:sz w:val="32"/>
          <w:szCs w:val="32"/>
          <w:highlight w:val="none"/>
          <w:lang w:val="en-US" w:eastAsia="zh-CN" w:bidi="ar-SA"/>
        </w:rPr>
        <w:t>，营造氛围，组织经办人员深入企业，宣传养老、工伤、失业三项保险</w:t>
      </w:r>
      <w:r>
        <w:rPr>
          <w:rFonts w:hint="eastAsia" w:ascii="Times New Roman" w:hAnsi="Times New Roman" w:eastAsia="仿宋" w:cs="Times New Roman"/>
          <w:color w:val="auto"/>
          <w:kern w:val="2"/>
          <w:sz w:val="32"/>
          <w:szCs w:val="32"/>
          <w:highlight w:val="none"/>
          <w:lang w:val="en-US" w:eastAsia="zh-CN" w:bidi="ar-SA"/>
        </w:rPr>
        <w:t>政策，让企业负责人明白参加社会保险是企业应尽的义务，让职工明白社会保险带来的好处；也通过公益短信大力宣传，引导群众早参保、持续保、长缴费、多收益，</w:t>
      </w:r>
      <w:r>
        <w:rPr>
          <w:rFonts w:hint="default" w:ascii="Times New Roman" w:hAnsi="Times New Roman" w:eastAsia="仿宋" w:cs="Times New Roman"/>
          <w:color w:val="auto"/>
          <w:kern w:val="2"/>
          <w:sz w:val="32"/>
          <w:szCs w:val="32"/>
          <w:highlight w:val="none"/>
          <w:lang w:val="en-US" w:eastAsia="zh-CN" w:bidi="ar-SA"/>
        </w:rPr>
        <w:t>努力将各企业及其职工纳入养老保险范围</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促进我国企业职工养老保险良好发展。</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baseline"/>
        <w:rPr>
          <w:rFonts w:hint="default" w:ascii="Times New Roman" w:hAnsi="Times New Roman" w:eastAsia="仿宋" w:cs="Times New Roman"/>
          <w:b w:val="0"/>
          <w:bCs/>
          <w:color w:val="auto"/>
          <w:kern w:val="2"/>
          <w:sz w:val="32"/>
          <w:szCs w:val="32"/>
          <w:highlight w:val="none"/>
          <w:lang w:val="en-US" w:eastAsia="zh-CN" w:bidi="ar-SA"/>
        </w:rPr>
      </w:pPr>
      <w:r>
        <w:rPr>
          <w:rFonts w:hint="eastAsia" w:ascii="Times New Roman" w:hAnsi="Times New Roman" w:eastAsia="仿宋" w:cs="Times New Roman"/>
          <w:b w:val="0"/>
          <w:bCs/>
          <w:color w:val="auto"/>
          <w:kern w:val="2"/>
          <w:sz w:val="32"/>
          <w:szCs w:val="32"/>
          <w:highlight w:val="none"/>
          <w:lang w:val="en-US" w:eastAsia="zh-CN" w:bidi="ar-SA"/>
        </w:rPr>
        <w:t>2.可以实施</w:t>
      </w:r>
      <w:r>
        <w:rPr>
          <w:rFonts w:hint="default" w:ascii="Times New Roman" w:hAnsi="Times New Roman" w:eastAsia="仿宋" w:cs="Times New Roman"/>
          <w:b w:val="0"/>
          <w:bCs/>
          <w:color w:val="auto"/>
          <w:kern w:val="2"/>
          <w:sz w:val="32"/>
          <w:szCs w:val="32"/>
          <w:highlight w:val="none"/>
          <w:lang w:val="en-US" w:eastAsia="zh-CN" w:bidi="ar-SA"/>
        </w:rPr>
        <w:t>部门联动，摸清底数。积极与税务、经信局等部门召开联席会议，通过数据共享摸清应参未参和未全员参保的用人单位和职工底数，为后续扩面征缴工作奠定基础。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baseline"/>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b w:val="0"/>
          <w:bCs/>
          <w:color w:val="auto"/>
          <w:kern w:val="2"/>
          <w:sz w:val="32"/>
          <w:szCs w:val="32"/>
          <w:highlight w:val="none"/>
          <w:lang w:val="en-US" w:eastAsia="zh-CN" w:bidi="ar-SA"/>
        </w:rPr>
        <w:t>3.简化流程，优化服务。时刻把“群众满意”作为衡量服务的标准，优化业务办理流程，比如要一次性告知业务流程和受理材料，让企业和办事群众减少来回趟的现象。同时，积极与上级部门沟通，开通部分业务网上办理功能，方便群众办事，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color w:val="auto"/>
          <w:sz w:val="32"/>
          <w:szCs w:val="32"/>
          <w:highlight w:val="none"/>
          <w:lang w:val="en-US" w:eastAsia="zh-CN"/>
        </w:rPr>
      </w:pPr>
      <w:bookmarkStart w:id="46" w:name="_Toc13989"/>
      <w:bookmarkStart w:id="47" w:name="_Toc23578"/>
      <w:bookmarkStart w:id="48" w:name="_Toc14727"/>
      <w:r>
        <w:rPr>
          <w:rFonts w:hint="eastAsia" w:ascii="Times New Roman" w:hAnsi="Times New Roman" w:eastAsia="黑体" w:cs="Times New Roman"/>
          <w:b w:val="0"/>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lang w:val="en-US" w:eastAsia="zh-CN"/>
        </w:rPr>
        <w:t>结果应用建议</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绩效评价结果应用，既是开展绩效评价工作的基本前提，又是加强支出管理、增强资金绩效理念、合理配置公共资源、优化支出结构、强化资金管理水平、提高资金使用效益的重要手段。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一</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评价组建议</w:t>
      </w:r>
      <w:r>
        <w:rPr>
          <w:rFonts w:hint="eastAsia" w:ascii="Times New Roman" w:hAnsi="Times New Roman" w:eastAsia="仿宋" w:cs="Times New Roman"/>
          <w:color w:val="auto"/>
          <w:sz w:val="32"/>
          <w:szCs w:val="32"/>
          <w:highlight w:val="none"/>
          <w:lang w:val="en-US" w:eastAsia="zh-CN"/>
        </w:rPr>
        <w:t>大同市</w:t>
      </w:r>
      <w:r>
        <w:rPr>
          <w:rFonts w:hint="eastAsia" w:ascii="Times New Roman" w:hAnsi="Times New Roman" w:eastAsia="仿宋" w:cs="Times New Roman"/>
          <w:color w:val="auto"/>
          <w:sz w:val="32"/>
          <w:szCs w:val="32"/>
          <w:highlight w:val="none"/>
        </w:rPr>
        <w:t>财政局将</w:t>
      </w:r>
      <w:r>
        <w:rPr>
          <w:rFonts w:hint="eastAsia" w:eastAsia="仿宋" w:cs="Times New Roman"/>
          <w:color w:val="auto"/>
          <w:sz w:val="32"/>
          <w:szCs w:val="32"/>
          <w:highlight w:val="none"/>
          <w:lang w:val="en-US" w:eastAsia="zh-CN"/>
        </w:rPr>
        <w:t>2020年</w:t>
      </w:r>
      <w:r>
        <w:rPr>
          <w:rFonts w:hint="eastAsia" w:ascii="Times New Roman" w:hAnsi="Times New Roman" w:eastAsia="仿宋" w:cs="Times New Roman"/>
          <w:color w:val="auto"/>
          <w:sz w:val="32"/>
          <w:szCs w:val="32"/>
          <w:highlight w:val="none"/>
          <w:lang w:eastAsia="zh-CN"/>
        </w:rPr>
        <w:t>企业职工基本养老保险分级负担项目</w:t>
      </w:r>
      <w:r>
        <w:rPr>
          <w:rFonts w:hint="eastAsia" w:ascii="Times New Roman" w:hAnsi="Times New Roman" w:eastAsia="仿宋" w:cs="Times New Roman"/>
          <w:color w:val="auto"/>
          <w:sz w:val="32"/>
          <w:szCs w:val="32"/>
          <w:highlight w:val="none"/>
        </w:rPr>
        <w:t>的评价结果、存在的问题、相关的改进建议反馈到</w:t>
      </w:r>
      <w:r>
        <w:rPr>
          <w:rFonts w:hint="eastAsia" w:ascii="Times New Roman" w:hAnsi="Times New Roman" w:eastAsia="仿宋" w:cs="Times New Roman"/>
          <w:color w:val="auto"/>
          <w:sz w:val="32"/>
          <w:szCs w:val="32"/>
          <w:highlight w:val="none"/>
          <w:lang w:val="en-US" w:eastAsia="zh-CN"/>
        </w:rPr>
        <w:t>大同市社会保险中心</w:t>
      </w:r>
      <w:r>
        <w:rPr>
          <w:rFonts w:hint="eastAsia" w:ascii="Times New Roman" w:hAnsi="Times New Roman" w:eastAsia="仿宋" w:cs="Times New Roman"/>
          <w:color w:val="auto"/>
          <w:sz w:val="32"/>
          <w:szCs w:val="32"/>
          <w:highlight w:val="none"/>
        </w:rPr>
        <w:t>并对整改落实情况监督检查。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二）</w:t>
      </w:r>
      <w:r>
        <w:rPr>
          <w:rFonts w:hint="eastAsia" w:ascii="Times New Roman" w:hAnsi="Times New Roman" w:eastAsia="仿宋" w:cs="Times New Roman"/>
          <w:color w:val="auto"/>
          <w:sz w:val="32"/>
          <w:szCs w:val="32"/>
          <w:highlight w:val="none"/>
        </w:rPr>
        <w:t>评价组建议</w:t>
      </w:r>
      <w:r>
        <w:rPr>
          <w:rFonts w:hint="eastAsia" w:ascii="Times New Roman" w:hAnsi="Times New Roman" w:eastAsia="仿宋" w:cs="Times New Roman"/>
          <w:color w:val="auto"/>
          <w:sz w:val="32"/>
          <w:szCs w:val="32"/>
          <w:highlight w:val="none"/>
          <w:lang w:val="en-US" w:eastAsia="zh-CN"/>
        </w:rPr>
        <w:t>按照政府有关信息公开要求，将评价情况、整改情况及时予以公开</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接受群众监督，再</w:t>
      </w:r>
      <w:r>
        <w:rPr>
          <w:rFonts w:hint="eastAsia" w:ascii="Times New Roman" w:hAnsi="Times New Roman" w:eastAsia="仿宋" w:cs="Times New Roman"/>
          <w:color w:val="auto"/>
          <w:sz w:val="32"/>
          <w:szCs w:val="32"/>
          <w:highlight w:val="none"/>
        </w:rPr>
        <w:t>将评价结果作为以后年度建设资金分配的重要依据。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hint="eastAsia" w:eastAsia="仿宋" w:cs="Times New Roman"/>
          <w:b w:val="0"/>
          <w:bCs/>
          <w:color w:val="auto"/>
          <w:sz w:val="32"/>
          <w:szCs w:val="32"/>
          <w:highlight w:val="none"/>
          <w:lang w:val="en-US" w:eastAsia="zh-CN"/>
        </w:rPr>
      </w:pP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三</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2020年作为首次养老保险缺口补助年度，</w:t>
      </w:r>
      <w:r>
        <w:rPr>
          <w:rFonts w:hint="default" w:ascii="Times New Roman" w:hAnsi="Times New Roman" w:eastAsia="仿宋" w:cs="Times New Roman"/>
          <w:color w:val="auto"/>
          <w:sz w:val="32"/>
          <w:szCs w:val="32"/>
          <w:highlight w:val="none"/>
        </w:rPr>
        <w:t>评价组建议</w:t>
      </w:r>
      <w:r>
        <w:rPr>
          <w:rFonts w:hint="default" w:ascii="Times New Roman" w:hAnsi="Times New Roman" w:eastAsia="仿宋" w:cs="Times New Roman"/>
          <w:color w:val="auto"/>
          <w:sz w:val="32"/>
          <w:szCs w:val="32"/>
          <w:highlight w:val="none"/>
          <w:lang w:val="en-US" w:eastAsia="zh-CN"/>
        </w:rPr>
        <w:t>大同市社会保险中心</w:t>
      </w:r>
      <w:r>
        <w:rPr>
          <w:rFonts w:hint="eastAsia" w:ascii="Times New Roman" w:hAnsi="Times New Roman" w:eastAsia="仿宋" w:cs="Times New Roman"/>
          <w:color w:val="auto"/>
          <w:sz w:val="32"/>
          <w:szCs w:val="32"/>
          <w:highlight w:val="none"/>
          <w:lang w:val="en-US" w:eastAsia="zh-CN"/>
        </w:rPr>
        <w:t>对本次绩效评价结果以及2020年企业职工基本养老保险分级负担项目中涉及到的数据及测算依据等</w:t>
      </w:r>
      <w:r>
        <w:rPr>
          <w:rFonts w:hint="eastAsia" w:eastAsia="仿宋" w:cs="Times New Roman"/>
          <w:color w:val="auto"/>
          <w:sz w:val="32"/>
          <w:szCs w:val="32"/>
          <w:highlight w:val="none"/>
          <w:lang w:val="en-US" w:eastAsia="zh-CN"/>
        </w:rPr>
        <w:t>资料</w:t>
      </w:r>
      <w:r>
        <w:rPr>
          <w:rFonts w:hint="eastAsia" w:ascii="Times New Roman" w:hAnsi="Times New Roman" w:eastAsia="仿宋" w:cs="Times New Roman"/>
          <w:color w:val="auto"/>
          <w:sz w:val="32"/>
          <w:szCs w:val="32"/>
          <w:highlight w:val="none"/>
          <w:lang w:val="en-US" w:eastAsia="zh-CN"/>
        </w:rPr>
        <w:t>全部予以保存</w:t>
      </w:r>
      <w:r>
        <w:rPr>
          <w:rFonts w:hint="eastAsia" w:eastAsia="仿宋" w:cs="Times New Roman"/>
          <w:color w:val="auto"/>
          <w:sz w:val="32"/>
          <w:szCs w:val="32"/>
          <w:highlight w:val="none"/>
          <w:lang w:val="en-US" w:eastAsia="zh-CN"/>
        </w:rPr>
        <w:t>归档</w:t>
      </w:r>
      <w:r>
        <w:rPr>
          <w:rFonts w:hint="eastAsia"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积累</w:t>
      </w:r>
      <w:r>
        <w:rPr>
          <w:rFonts w:hint="eastAsia" w:ascii="Times New Roman" w:hAnsi="Times New Roman" w:eastAsia="仿宋" w:cs="Times New Roman"/>
          <w:color w:val="auto"/>
          <w:sz w:val="32"/>
          <w:szCs w:val="32"/>
          <w:highlight w:val="none"/>
          <w:lang w:val="en-US" w:eastAsia="zh-CN"/>
        </w:rPr>
        <w:t>3~5年的参考数据，为养老保险缺口补助提供</w:t>
      </w:r>
      <w:r>
        <w:rPr>
          <w:rFonts w:hint="eastAsia" w:eastAsia="仿宋" w:cs="Times New Roman"/>
          <w:color w:val="auto"/>
          <w:sz w:val="32"/>
          <w:szCs w:val="32"/>
          <w:highlight w:val="none"/>
          <w:lang w:val="en-US" w:eastAsia="zh-CN"/>
        </w:rPr>
        <w:t>数据支撑</w:t>
      </w:r>
      <w:r>
        <w:rPr>
          <w:rFonts w:hint="eastAsia" w:ascii="Times New Roman" w:hAnsi="Times New Roman" w:eastAsia="仿宋" w:cs="Times New Roman"/>
          <w:color w:val="auto"/>
          <w:sz w:val="32"/>
          <w:szCs w:val="32"/>
          <w:highlight w:val="none"/>
          <w:lang w:val="en-US" w:eastAsia="zh-CN"/>
        </w:rPr>
        <w:t>，以便进行对比及</w:t>
      </w:r>
      <w:r>
        <w:rPr>
          <w:rFonts w:hint="eastAsia" w:eastAsia="仿宋" w:cs="Times New Roman"/>
          <w:color w:val="auto"/>
          <w:sz w:val="32"/>
          <w:szCs w:val="32"/>
          <w:highlight w:val="none"/>
          <w:lang w:val="en-US" w:eastAsia="zh-CN"/>
        </w:rPr>
        <w:t>中长期</w:t>
      </w:r>
      <w:r>
        <w:rPr>
          <w:rFonts w:hint="eastAsia" w:ascii="Times New Roman" w:hAnsi="Times New Roman" w:eastAsia="仿宋" w:cs="Times New Roman"/>
          <w:color w:val="auto"/>
          <w:sz w:val="32"/>
          <w:szCs w:val="32"/>
          <w:highlight w:val="none"/>
          <w:lang w:val="en-US" w:eastAsia="zh-CN"/>
        </w:rPr>
        <w:t>趋</w:t>
      </w:r>
      <w:r>
        <w:rPr>
          <w:rFonts w:hint="eastAsia" w:eastAsia="仿宋" w:cs="Times New Roman"/>
          <w:b w:val="0"/>
          <w:bCs/>
          <w:color w:val="auto"/>
          <w:sz w:val="32"/>
          <w:szCs w:val="32"/>
          <w:highlight w:val="none"/>
          <w:lang w:val="en-US" w:eastAsia="zh-CN"/>
        </w:rPr>
        <w:t>势分析。</w:t>
      </w:r>
    </w:p>
    <w:p>
      <w:pPr>
        <w:keepNext w:val="0"/>
        <w:keepLines w:val="0"/>
        <w:pageBreakBefore w:val="0"/>
        <w:widowControl w:val="0"/>
        <w:kinsoku/>
        <w:wordWrap/>
        <w:overflowPunct/>
        <w:topLinePunct w:val="0"/>
        <w:autoSpaceDE/>
        <w:autoSpaceDN/>
        <w:bidi w:val="0"/>
        <w:adjustRightInd/>
        <w:snapToGrid/>
        <w:spacing w:line="600" w:lineRule="exact"/>
        <w:ind w:right="0" w:rightChars="0"/>
        <w:rPr>
          <w:rFonts w:hint="eastAsia"/>
          <w:lang w:val="en-US" w:eastAsia="zh-CN"/>
        </w:rPr>
      </w:pPr>
      <w:bookmarkStart w:id="49" w:name="_GoBack"/>
      <w:bookmarkEnd w:id="49"/>
    </w:p>
    <w:sectPr>
      <w:headerReference r:id="rId6" w:type="default"/>
      <w:footerReference r:id="rId7" w:type="default"/>
      <w:pgSz w:w="11906" w:h="16838"/>
      <w:pgMar w:top="1440" w:right="1559" w:bottom="1440" w:left="1559"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thickThinSmallGap" w:color="auto" w:sz="24" w:space="1"/>
      </w:pBdr>
      <w:rPr>
        <w:rFonts w:ascii="Times New Roman" w:hAnsi="Times New Roman" w:eastAsia="仿宋"/>
      </w:rPr>
    </w:pPr>
    <w:r>
      <w:rPr>
        <w:rFonts w:hint="eastAsia" w:ascii="Times New Roman" w:hAnsi="Times New Roman" w:eastAsia="仿宋"/>
      </w:rPr>
      <w:t>地址：</w:t>
    </w:r>
    <w:r>
      <w:rPr>
        <w:rFonts w:hint="eastAsia" w:ascii="Times New Roman" w:hAnsi="Times New Roman" w:eastAsia="仿宋"/>
        <w:szCs w:val="21"/>
      </w:rPr>
      <w:t>太原高新区长治路</w:t>
    </w:r>
    <w:r>
      <w:rPr>
        <w:rFonts w:ascii="Times New Roman" w:hAnsi="Times New Roman" w:eastAsia="仿宋"/>
        <w:szCs w:val="21"/>
      </w:rPr>
      <w:t>266</w:t>
    </w:r>
    <w:r>
      <w:rPr>
        <w:rFonts w:hint="eastAsia" w:ascii="Times New Roman" w:hAnsi="Times New Roman" w:eastAsia="仿宋"/>
        <w:szCs w:val="21"/>
      </w:rPr>
      <w:t>号科祥大厦</w:t>
    </w:r>
    <w:r>
      <w:rPr>
        <w:rFonts w:ascii="Times New Roman" w:hAnsi="Times New Roman" w:eastAsia="仿宋"/>
        <w:szCs w:val="21"/>
      </w:rPr>
      <w:t>516</w:t>
    </w:r>
    <w:r>
      <w:rPr>
        <w:rFonts w:hint="eastAsia" w:ascii="Times New Roman" w:hAnsi="Times New Roman" w:eastAsia="仿宋"/>
        <w:szCs w:val="21"/>
      </w:rPr>
      <w:t>室</w:t>
    </w:r>
    <w:r>
      <w:rPr>
        <w:rFonts w:ascii="Times New Roman" w:hAnsi="Times New Roman" w:eastAsia="仿宋"/>
        <w:szCs w:val="21"/>
      </w:rPr>
      <w:t xml:space="preserve">    </w:t>
    </w:r>
    <w:r>
      <w:rPr>
        <w:rFonts w:hint="eastAsia" w:ascii="Times New Roman" w:hAnsi="Times New Roman" w:eastAsia="仿宋"/>
      </w:rPr>
      <w:t>电话：</w:t>
    </w:r>
    <w:r>
      <w:rPr>
        <w:rFonts w:ascii="Times New Roman" w:hAnsi="Times New Roman" w:eastAsia="仿宋"/>
        <w:szCs w:val="21"/>
      </w:rPr>
      <w:t>0351-7285466</w:t>
    </w:r>
    <w:r>
      <w:rPr>
        <w:rFonts w:hint="eastAsia" w:ascii="Times New Roman" w:hAnsi="Times New Roman" w:eastAsia="仿宋"/>
        <w:szCs w:val="21"/>
      </w:rPr>
      <w:t>、</w:t>
    </w:r>
    <w:r>
      <w:rPr>
        <w:rFonts w:ascii="Times New Roman" w:hAnsi="Times New Roman" w:eastAsia="仿宋"/>
        <w:szCs w:val="21"/>
      </w:rPr>
      <w:t>2917907</w:t>
    </w:r>
    <w:r>
      <w:rPr>
        <w:rFonts w:ascii="Times New Roman" w:hAnsi="Times New Roman" w:eastAsia="仿宋"/>
      </w:rPr>
      <w:t xml:space="preserve">     http</w:t>
    </w:r>
    <w:r>
      <w:rPr>
        <w:rFonts w:hint="eastAsia" w:ascii="Times New Roman" w:hAnsi="Times New Roman" w:eastAsia="仿宋"/>
      </w:rPr>
      <w:t>：</w:t>
    </w:r>
    <w:r>
      <w:rPr>
        <w:rFonts w:ascii="Times New Roman" w:hAnsi="Times New Roman" w:eastAsia="仿宋"/>
      </w:rPr>
      <w:t>//www.hwapow.cn</w:t>
    </w:r>
  </w:p>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25425" cy="137160"/>
              <wp:effectExtent l="0" t="0" r="0" b="0"/>
              <wp:wrapNone/>
              <wp:docPr id="4106" name="文本框 1"/>
              <wp:cNvGraphicFramePr/>
              <a:graphic xmlns:a="http://schemas.openxmlformats.org/drawingml/2006/main">
                <a:graphicData uri="http://schemas.microsoft.com/office/word/2010/wordprocessingShape">
                  <wps:wsp>
                    <wps:cNvSpPr/>
                    <wps:spPr>
                      <a:xfrm>
                        <a:off x="0" y="0"/>
                        <a:ext cx="225425" cy="137159"/>
                      </a:xfrm>
                      <a:prstGeom prst="rect">
                        <a:avLst/>
                      </a:prstGeom>
                      <a:ln>
                        <a:noFill/>
                      </a:ln>
                    </wps:spPr>
                    <wps:txbx>
                      <w:txbxContent>
                        <w:p/>
                      </w:txbxContent>
                    </wps:txbx>
                    <wps:bodyPr lIns="0" tIns="0" rIns="0" bIns="0" upright="1"/>
                  </wps:wsp>
                </a:graphicData>
              </a:graphic>
            </wp:anchor>
          </w:drawing>
        </mc:Choice>
        <mc:Fallback>
          <w:pict>
            <v:rect id="文本框 1" o:spid="_x0000_s1026" o:spt="1" style="position:absolute;left:0pt;margin-top:0pt;height:10.8pt;width:17.75pt;mso-position-horizontal:center;mso-position-horizontal-relative:margin;z-index:251659264;mso-width-relative:page;mso-height-relative:page;" filled="f" stroked="f" coordsize="21600,21600" o:gfxdata="UEsDBAoAAAAAAIdO4kAAAAAAAAAAAAAAAAAEAAAAZHJzL1BLAwQUAAAACACHTuJAHE4WU9YAAAAD&#10;AQAADwAAAGRycy9kb3ducmV2LnhtbE2PzW7CMBCE70h9B2sr9QZOqECQxkGoP6LHApWA2xJvkwh7&#10;HcWG0D593V7ay0qjGc18my+u1ogLdb5xrCAdJSCIS6cbrhS8b1+GMxA+IGs0jknBJ3lYFDeDHDPt&#10;el7TZRMqEUvYZ6igDqHNpPRlTRb9yLXE0ftwncUQZVdJ3WEfy62R4ySZSosNx4UaW3qsqTxtzlbB&#10;atYu96/uq6/M82G1e9vNn7bzoNTdbZo8gAh0DX9h+MGP6FBEpqM7s/bCKIiPhN8bvfvJBMRRwTid&#10;gixy+Z+9+AZQSwMEFAAAAAgAh07iQFybn5GyAQAAXwMAAA4AAABkcnMvZTJvRG9jLnhtbK1TS27b&#10;MBTcF+gdCO5rfRKnrWA5GyNFgaINkPYANEVaBPjDI23JF2hv0FU33fdcPkcfKdkp0k0W2VBDPmre&#10;zJBc3Y5Gk4OAoJxtabUoKRGWu07ZXUu/fb17846SEJntmHZWtPQoAr1dv361Gnwjatc73QkgSGJD&#10;M/iW9jH6pigC74VhYeG8sFiUDgyLOIVd0QEbkN3ooi7Lm2Jw0HlwXISAq5upSGdGeA6hk1JxsXF8&#10;b4SNEysIzSJaCr3yga6zWikFj1+kDCIS3VJ0GvOITRBv01isV6zZAfO94rME9hwJTzwZpiw2vVBt&#10;WGRkD+o/KqM4uOBkXHBnislITgRdVOWTbB565kX2glEHfwk9vBwt/3y4B6K6ll5X5Q0llhk889PP&#10;H6dff06/v5MqJTT40ODGB38P8ywgTHZHCSZ90QgZc6rHS6pijITjYl0vr+slJRxL1dXbavk+cRaP&#10;P3sI8YNwhiTQUsBDy1myw6cQp63nLamXtmm07k5pPVXTSpFETrISiuN2nLVuXXdEj/qjxdzSHTgD&#10;OIPtGew9qF2PGrLtTIm5Z7HzHUkH++88N358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E4W&#10;U9YAAAADAQAADwAAAAAAAAABACAAAAAiAAAAZHJzL2Rvd25yZXYueG1sUEsBAhQAFAAAAAgAh07i&#10;QFybn5GyAQAAXwMAAA4AAAAAAAAAAQAgAAAAJQEAAGRycy9lMm9Eb2MueG1sUEsFBgAAAAAGAAYA&#10;WQEAAEkFAAAAAA==&#10;">
              <v:fill on="f" focussize="0,0"/>
              <v:stroke on="f"/>
              <v:imagedata o:title=""/>
              <o:lock v:ext="edit" aspectratio="f"/>
              <v:textbox inset="0mm,0mm,0mm,0mm">
                <w:txbxContent>
                  <w:p/>
                </w:txbxContent>
              </v:textbox>
            </v:rect>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thickThinSmallGap" w:color="auto" w:sz="24" w:space="1"/>
      </w:pBdr>
      <w:rPr>
        <w:rFonts w:ascii="Times New Roman" w:hAnsi="Times New Roman" w:eastAsia="仿宋"/>
      </w:rPr>
    </w:pPr>
    <w:r>
      <w:rPr>
        <w:rFonts w:hint="eastAsia" w:ascii="Times New Roman" w:hAnsi="Times New Roman" w:eastAsia="仿宋"/>
      </w:rPr>
      <w:t>地址：</w:t>
    </w:r>
    <w:r>
      <w:rPr>
        <w:rFonts w:hint="eastAsia" w:ascii="Times New Roman" w:hAnsi="Times New Roman" w:eastAsia="仿宋"/>
        <w:szCs w:val="21"/>
      </w:rPr>
      <w:t>太原高新区长治路</w:t>
    </w:r>
    <w:r>
      <w:rPr>
        <w:rFonts w:ascii="Times New Roman" w:hAnsi="Times New Roman" w:eastAsia="仿宋"/>
        <w:szCs w:val="21"/>
      </w:rPr>
      <w:t>266</w:t>
    </w:r>
    <w:r>
      <w:rPr>
        <w:rFonts w:hint="eastAsia" w:ascii="Times New Roman" w:hAnsi="Times New Roman" w:eastAsia="仿宋"/>
        <w:szCs w:val="21"/>
      </w:rPr>
      <w:t>号科祥大厦</w:t>
    </w:r>
    <w:r>
      <w:rPr>
        <w:rFonts w:ascii="Times New Roman" w:hAnsi="Times New Roman" w:eastAsia="仿宋"/>
        <w:szCs w:val="21"/>
      </w:rPr>
      <w:t>516</w:t>
    </w:r>
    <w:r>
      <w:rPr>
        <w:rFonts w:hint="eastAsia" w:ascii="Times New Roman" w:hAnsi="Times New Roman" w:eastAsia="仿宋"/>
        <w:szCs w:val="21"/>
      </w:rPr>
      <w:t>室</w:t>
    </w:r>
    <w:r>
      <w:rPr>
        <w:rFonts w:ascii="Times New Roman" w:hAnsi="Times New Roman" w:eastAsia="仿宋"/>
        <w:szCs w:val="21"/>
      </w:rPr>
      <w:t xml:space="preserve">   </w:t>
    </w:r>
    <w:r>
      <w:rPr>
        <w:rFonts w:hint="eastAsia" w:ascii="Times New Roman" w:hAnsi="Times New Roman" w:eastAsia="仿宋"/>
        <w:szCs w:val="21"/>
        <w:lang w:val="en-US" w:eastAsia="zh-CN"/>
      </w:rPr>
      <w:t xml:space="preserve"> </w:t>
    </w:r>
    <w:r>
      <w:rPr>
        <w:rFonts w:hint="eastAsia" w:ascii="Times New Roman" w:hAnsi="Times New Roman" w:eastAsia="仿宋"/>
      </w:rPr>
      <w:t>电话：</w:t>
    </w:r>
    <w:r>
      <w:rPr>
        <w:rFonts w:ascii="Times New Roman" w:hAnsi="Times New Roman" w:eastAsia="仿宋"/>
        <w:szCs w:val="21"/>
      </w:rPr>
      <w:t>0351-7285466</w:t>
    </w:r>
    <w:r>
      <w:rPr>
        <w:rFonts w:hint="eastAsia" w:ascii="Times New Roman" w:hAnsi="Times New Roman" w:eastAsia="仿宋"/>
        <w:szCs w:val="21"/>
      </w:rPr>
      <w:t>、</w:t>
    </w:r>
    <w:r>
      <w:rPr>
        <w:rFonts w:ascii="Times New Roman" w:hAnsi="Times New Roman" w:eastAsia="仿宋"/>
        <w:szCs w:val="21"/>
      </w:rPr>
      <w:t>2917907</w:t>
    </w:r>
    <w:r>
      <w:rPr>
        <w:rFonts w:ascii="Times New Roman" w:hAnsi="Times New Roman" w:eastAsia="仿宋"/>
      </w:rPr>
      <w:t xml:space="preserve">   </w:t>
    </w:r>
    <w:r>
      <w:rPr>
        <w:rFonts w:hint="eastAsia" w:ascii="Times New Roman" w:hAnsi="Times New Roman" w:eastAsia="仿宋"/>
        <w:lang w:val="en-US" w:eastAsia="zh-CN"/>
      </w:rPr>
      <w:t xml:space="preserve">  </w:t>
    </w:r>
    <w:r>
      <w:rPr>
        <w:rFonts w:ascii="Times New Roman" w:hAnsi="Times New Roman" w:eastAsia="仿宋"/>
      </w:rPr>
      <w:t xml:space="preserve">  http</w:t>
    </w:r>
    <w:r>
      <w:rPr>
        <w:rFonts w:hint="eastAsia" w:ascii="Times New Roman" w:hAnsi="Times New Roman" w:eastAsia="仿宋"/>
      </w:rPr>
      <w:t>：</w:t>
    </w:r>
    <w:r>
      <w:rPr>
        <w:rFonts w:ascii="Times New Roman" w:hAnsi="Times New Roman" w:eastAsia="仿宋"/>
      </w:rPr>
      <w:t>//www.hwapow.cn</w:t>
    </w:r>
  </w:p>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2749550</wp:posOffset>
              </wp:positionH>
              <wp:positionV relativeFrom="paragraph">
                <wp:posOffset>34290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5pt;margin-top:2.7pt;height:144pt;width:144pt;mso-position-horizontal-relative:margin;mso-wrap-style:none;z-index:251660288;mso-width-relative:page;mso-height-relative:page;" filled="f" stroked="f" coordsize="21600,21600" o:gfxdata="UEsDBAoAAAAAAIdO4kAAAAAAAAAAAAAAAAAEAAAAZHJzL1BLAwQUAAAACACHTuJAXwWxANYAAAAJ&#10;AQAADwAAAGRycy9kb3ducmV2LnhtbE2PO0/EMBCEeyT+g7VIdJzz4hXinMSJUCJxoaD0xUsSiNeR&#10;7cuFf89SQTma0cw31Xa1k1jQh9GRgnSTgEDqnBmpV/DWNld3IELUZPTkCBV8Y4BtfX5W6dK4E73i&#10;so+94BIKpVYwxDiXUoZuQKvDxs1I7H04b3Vk6XtpvD5xuZ1kliQ30uqReGHQM+4G7L72R6tg17St&#10;XzD46R2fm/zz5bHAp1Wpy4s0eQARcY1/YfjFZ3SomengjmSCmBQUec5fooLrAgT7t1nK+qAgu88L&#10;kHUl/z+ofwBQSwMEFAAAAAgAh07iQHWFKJQzAgAAYwQAAA4AAABkcnMvZTJvRG9jLnhtbK1UzY7T&#10;MBC+I/EOlu80adFWVdV0VbYqQqrYlQri7DpOE8l/st0m5QHgDThx4c5z9Tn2c366aOGwBy7O2DP+&#10;xt83M1ncNkqSk3C+Mjqj41FKidDc5JU+ZPTzp82bGSU+MJ0zabTI6Fl4ert8/WpR27mYmNLIXDgC&#10;EO3ntc1oGYKdJ4nnpVDMj4wVGs7COMUCtu6Q5I7VQFcymaTpNKmNy60zXHiP03XnpD2iewmgKYqK&#10;i7XhRyV06FCdkCyAki8r6+myfW1RCB7ui8KLQGRGwTS0K5LA3sc1WS7Y/OCYLSveP4G95AnPOClW&#10;aSS9Qq1ZYOToqr+gVMWd8aYII25U0hFpFQGLcfpMm13JrGi5QGpvr6L7/wfLP54eHKnyjN5MKdFM&#10;oeKXH98vP39ffn0jOINAtfVzxO0sIkPzzjRom+Hc4zDybgqn4heMCPyQ93yVVzSB8HhpNpnNUrg4&#10;fMMG+MnTdet8eC+MItHIqEP9WlnZaetDFzqExGzabCop2xpKTeqMTt/epO2FqwfgUiNHJNE9Nlqh&#10;2Tc9s73JzyDmTNcb3vJNheRb5sMDc2gGPBjjEu6xFNIgiektSkrjvv7rPMajRvBSUqO5MqoxS5TI&#10;Dxq1A2AYDDcY+8HQR3Vn0K1jjKHlrYkLLsjBLJxRXzBDq5gDLqY5MmU0DOZd6BocM8jFatUGHa2r&#10;DmV3AZ1nWdjqneUxTRTS29UxQMxW4yhQp0qvG3qvrVI/J7G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WxANYAAAAJAQAADwAAAAAAAAABACAAAAAiAAAAZHJzL2Rvd25yZXYueG1s&#10;UEsBAhQAFAAAAAgAh07iQHWFKJQzAgAAYwQAAA4AAAAAAAAAAQAgAAAAJQEAAGRycy9lMm9Eb2Mu&#10;eG1sUEsFBgAAAAAGAAYAWQEAAMo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pPr>
      <w:r>
        <w:rPr>
          <w:rStyle w:val="28"/>
        </w:rPr>
        <w:footnoteRef/>
      </w:r>
      <w:r>
        <w:rPr>
          <w:rFonts w:hint="eastAsia" w:ascii="仿宋" w:hAnsi="仿宋" w:eastAsia="仿宋"/>
        </w:rPr>
        <w:t>本次绩效评价采取评分和评级相结合的方式，总分为100分，等级划分为四档：综合评分90分（含）—100分为“优”，80分（含）—90分为“良”，60分（含）—80分为“中”，60分以下为“差”。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thinThickSmallGap" w:color="auto" w:sz="24" w:space="1"/>
        <w:right w:val="none" w:color="auto" w:sz="0" w:space="0"/>
      </w:pBdr>
      <w:jc w:val="both"/>
      <w:rPr>
        <w:rFonts w:eastAsia="仿宋"/>
      </w:rPr>
    </w:pPr>
    <w:r>
      <w:rPr>
        <w:sz w:val="16"/>
      </w:rPr>
      <w:drawing>
        <wp:inline distT="0" distB="0" distL="0" distR="0">
          <wp:extent cx="1057275" cy="285750"/>
          <wp:effectExtent l="0" t="0" r="9525" b="0"/>
          <wp:docPr id="4105" name="图片 9" descr="hpsunhua22"/>
          <wp:cNvGraphicFramePr/>
          <a:graphic xmlns:a="http://schemas.openxmlformats.org/drawingml/2006/main">
            <a:graphicData uri="http://schemas.openxmlformats.org/drawingml/2006/picture">
              <pic:pic xmlns:pic="http://schemas.openxmlformats.org/drawingml/2006/picture">
                <pic:nvPicPr>
                  <pic:cNvPr id="4105" name="图片 9" descr="hpsunhua22"/>
                  <pic:cNvPicPr/>
                </pic:nvPicPr>
                <pic:blipFill>
                  <a:blip r:embed="rId1" cstate="print"/>
                  <a:srcRect/>
                  <a:stretch>
                    <a:fillRect/>
                  </a:stretch>
                </pic:blipFill>
                <pic:spPr>
                  <a:xfrm>
                    <a:off x="0" y="0"/>
                    <a:ext cx="1057275" cy="285750"/>
                  </a:xfrm>
                  <a:prstGeom prst="rect">
                    <a:avLst/>
                  </a:prstGeom>
                  <a:ln>
                    <a:noFill/>
                  </a:ln>
                </pic:spPr>
              </pic:pic>
            </a:graphicData>
          </a:graphic>
        </wp:inline>
      </w:drawing>
    </w:r>
    <w:r>
      <w:rPr>
        <w:sz w:val="16"/>
      </w:rPr>
      <w:t xml:space="preserve">   </w:t>
    </w:r>
    <w:r>
      <w:rPr>
        <w:rFonts w:hint="eastAsia"/>
        <w:sz w:val="16"/>
        <w:lang w:val="en-US" w:eastAsia="zh-CN"/>
      </w:rPr>
      <w:t xml:space="preserve">                   </w:t>
    </w:r>
    <w:r>
      <w:rPr>
        <w:sz w:val="16"/>
      </w:rPr>
      <w:t xml:space="preserve"> </w:t>
    </w:r>
    <w:r>
      <w:rPr>
        <w:rFonts w:hint="default" w:ascii="仿宋" w:hAnsi="仿宋" w:eastAsia="仿宋" w:cs="Times New Roman"/>
        <w:i/>
        <w:sz w:val="21"/>
        <w:lang w:val="en-US" w:eastAsia="zh-CN"/>
      </w:rPr>
      <w:t>企业职工基本养老保险分级负担</w:t>
    </w:r>
    <w:r>
      <w:rPr>
        <w:rFonts w:hint="eastAsia" w:ascii="仿宋" w:hAnsi="仿宋" w:eastAsia="仿宋" w:cs="Times New Roman"/>
        <w:i/>
        <w:sz w:val="21"/>
        <w:lang w:val="en-US" w:eastAsia="zh-CN"/>
      </w:rPr>
      <w:t>项目支出</w:t>
    </w:r>
    <w:r>
      <w:rPr>
        <w:rFonts w:hint="eastAsia" w:ascii="仿宋" w:hAnsi="仿宋" w:eastAsia="仿宋" w:cs="Times New Roman"/>
        <w:i/>
        <w:sz w:val="21"/>
      </w:rPr>
      <w:t>绩效</w:t>
    </w:r>
    <w:r>
      <w:rPr>
        <w:rFonts w:ascii="仿宋" w:hAnsi="仿宋" w:eastAsia="仿宋" w:cs="Times New Roman"/>
        <w:i/>
        <w:sz w:val="21"/>
      </w:rPr>
      <w:t>评价</w:t>
    </w:r>
    <w:r>
      <w:rPr>
        <w:rFonts w:hint="eastAsia" w:ascii="仿宋" w:hAnsi="仿宋" w:eastAsia="仿宋" w:cs="Times New Roman"/>
        <w:i/>
        <w:sz w:val="21"/>
        <w:lang w:val="en-US" w:eastAsia="zh-CN"/>
      </w:rPr>
      <w:t>报告</w:t>
    </w:r>
    <w:r>
      <w:rPr>
        <w:rFonts w:hint="eastAsia" w:ascii="仿宋" w:hAnsi="仿宋" w:eastAsia="仿宋" w:cs="Times New Roman"/>
        <w:i/>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thinThickSmallGap" w:color="auto" w:sz="24" w:space="1"/>
        <w:right w:val="none" w:color="auto" w:sz="0" w:space="0"/>
      </w:pBdr>
      <w:jc w:val="both"/>
      <w:rPr>
        <w:rFonts w:eastAsia="仿宋"/>
      </w:rPr>
    </w:pPr>
    <w:r>
      <w:rPr>
        <w:sz w:val="16"/>
      </w:rPr>
      <w:drawing>
        <wp:inline distT="0" distB="0" distL="0" distR="0">
          <wp:extent cx="1057275" cy="285750"/>
          <wp:effectExtent l="0" t="0" r="9525" b="0"/>
          <wp:docPr id="36" name="图片 9" descr="hpsunhua22"/>
          <wp:cNvGraphicFramePr/>
          <a:graphic xmlns:a="http://schemas.openxmlformats.org/drawingml/2006/main">
            <a:graphicData uri="http://schemas.openxmlformats.org/drawingml/2006/picture">
              <pic:pic xmlns:pic="http://schemas.openxmlformats.org/drawingml/2006/picture">
                <pic:nvPicPr>
                  <pic:cNvPr id="36" name="图片 9" descr="hpsunhua22"/>
                  <pic:cNvPicPr/>
                </pic:nvPicPr>
                <pic:blipFill>
                  <a:blip r:embed="rId1" cstate="print"/>
                  <a:srcRect/>
                  <a:stretch>
                    <a:fillRect/>
                  </a:stretch>
                </pic:blipFill>
                <pic:spPr>
                  <a:xfrm>
                    <a:off x="0" y="0"/>
                    <a:ext cx="1057275" cy="285750"/>
                  </a:xfrm>
                  <a:prstGeom prst="rect">
                    <a:avLst/>
                  </a:prstGeom>
                  <a:ln>
                    <a:noFill/>
                  </a:ln>
                </pic:spPr>
              </pic:pic>
            </a:graphicData>
          </a:graphic>
        </wp:inline>
      </w:drawing>
    </w:r>
    <w:r>
      <w:rPr>
        <w:sz w:val="16"/>
      </w:rPr>
      <w:t xml:space="preserve">   </w:t>
    </w:r>
    <w:r>
      <w:rPr>
        <w:rFonts w:hint="eastAsia"/>
        <w:sz w:val="16"/>
        <w:lang w:val="en-US" w:eastAsia="zh-CN"/>
      </w:rPr>
      <w:t xml:space="preserve">                      </w:t>
    </w:r>
    <w:r>
      <w:rPr>
        <w:rFonts w:hint="default" w:ascii="仿宋" w:hAnsi="仿宋" w:eastAsia="仿宋" w:cs="Times New Roman"/>
        <w:i/>
        <w:sz w:val="21"/>
        <w:lang w:val="en-US" w:eastAsia="zh-CN"/>
      </w:rPr>
      <w:t>企业职工基本养老保险分级负担</w:t>
    </w:r>
    <w:r>
      <w:rPr>
        <w:rFonts w:hint="eastAsia" w:ascii="仿宋" w:hAnsi="仿宋" w:eastAsia="仿宋" w:cs="Times New Roman"/>
        <w:i/>
        <w:sz w:val="21"/>
        <w:lang w:val="en-US" w:eastAsia="zh-CN"/>
      </w:rPr>
      <w:t>项目支出</w:t>
    </w:r>
    <w:r>
      <w:rPr>
        <w:rFonts w:hint="eastAsia" w:ascii="仿宋" w:hAnsi="仿宋" w:eastAsia="仿宋" w:cs="Times New Roman"/>
        <w:i/>
        <w:sz w:val="21"/>
      </w:rPr>
      <w:t>绩效</w:t>
    </w:r>
    <w:r>
      <w:rPr>
        <w:rFonts w:ascii="仿宋" w:hAnsi="仿宋" w:eastAsia="仿宋" w:cs="Times New Roman"/>
        <w:i/>
        <w:sz w:val="21"/>
      </w:rPr>
      <w:t>评价</w:t>
    </w:r>
    <w:r>
      <w:rPr>
        <w:rFonts w:hint="eastAsia" w:ascii="仿宋" w:hAnsi="仿宋" w:eastAsia="仿宋" w:cs="Times New Roman"/>
        <w:i/>
        <w:sz w:val="21"/>
        <w:lang w:val="en-US" w:eastAsia="zh-CN"/>
      </w:rPr>
      <w:t>报告</w:t>
    </w:r>
    <w:r>
      <w:rPr>
        <w:rFonts w:hint="eastAsia" w:ascii="仿宋" w:hAnsi="仿宋" w:eastAsia="仿宋" w:cs="Times New Roman"/>
        <w:i/>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0D5ED"/>
    <w:multiLevelType w:val="singleLevel"/>
    <w:tmpl w:val="D480D5ED"/>
    <w:lvl w:ilvl="0" w:tentative="0">
      <w:start w:val="3"/>
      <w:numFmt w:val="chineseCounting"/>
      <w:suff w:val="nothing"/>
      <w:lvlText w:val="（%1）"/>
      <w:lvlJc w:val="left"/>
      <w:rPr>
        <w:rFonts w:hint="eastAsia"/>
      </w:rPr>
    </w:lvl>
  </w:abstractNum>
  <w:abstractNum w:abstractNumId="1">
    <w:nsid w:val="73E5ED3D"/>
    <w:multiLevelType w:val="singleLevel"/>
    <w:tmpl w:val="73E5ED3D"/>
    <w:lvl w:ilvl="0" w:tentative="0">
      <w:start w:val="1"/>
      <w:numFmt w:val="chineseCounting"/>
      <w:suff w:val="nothing"/>
      <w:lvlText w:val="%1、"/>
      <w:lvlJc w:val="left"/>
      <w:rPr>
        <w:rFonts w:hint="eastAsia"/>
      </w:rPr>
    </w:lvl>
  </w:abstractNum>
  <w:abstractNum w:abstractNumId="2">
    <w:nsid w:val="7B16DB62"/>
    <w:multiLevelType w:val="singleLevel"/>
    <w:tmpl w:val="7B16DB62"/>
    <w:lvl w:ilvl="0" w:tentative="0">
      <w:start w:val="1"/>
      <w:numFmt w:val="chineseCounting"/>
      <w:suff w:val="nothing"/>
      <w:lvlText w:val="（%1）"/>
      <w:lvlJc w:val="left"/>
      <w:pPr>
        <w:ind w:left="278"/>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E1NWU2NzRmNzNlNDBiM2JiYTAzNjI4NjMyYzUifQ=="/>
  </w:docVars>
  <w:rsids>
    <w:rsidRoot w:val="00000000"/>
    <w:rsid w:val="01D600B4"/>
    <w:rsid w:val="02006A3E"/>
    <w:rsid w:val="0206003B"/>
    <w:rsid w:val="03402BF1"/>
    <w:rsid w:val="034A16F7"/>
    <w:rsid w:val="0445697D"/>
    <w:rsid w:val="049327EA"/>
    <w:rsid w:val="051B7B8F"/>
    <w:rsid w:val="053A13B6"/>
    <w:rsid w:val="058F1AEC"/>
    <w:rsid w:val="05FB572F"/>
    <w:rsid w:val="061834A6"/>
    <w:rsid w:val="067670EE"/>
    <w:rsid w:val="06EE2458"/>
    <w:rsid w:val="07383B5B"/>
    <w:rsid w:val="07C36FEA"/>
    <w:rsid w:val="08676866"/>
    <w:rsid w:val="097349A7"/>
    <w:rsid w:val="0A0A5E06"/>
    <w:rsid w:val="0AD14B7D"/>
    <w:rsid w:val="0ADC4DF4"/>
    <w:rsid w:val="0AE11956"/>
    <w:rsid w:val="0CB648AD"/>
    <w:rsid w:val="0CD45A26"/>
    <w:rsid w:val="0E100582"/>
    <w:rsid w:val="0F134B3C"/>
    <w:rsid w:val="0F95417C"/>
    <w:rsid w:val="10C108C0"/>
    <w:rsid w:val="115B3915"/>
    <w:rsid w:val="12402BCF"/>
    <w:rsid w:val="128F1D41"/>
    <w:rsid w:val="134401F5"/>
    <w:rsid w:val="137833C9"/>
    <w:rsid w:val="144E7C9E"/>
    <w:rsid w:val="14F527FF"/>
    <w:rsid w:val="14F75E9B"/>
    <w:rsid w:val="15013724"/>
    <w:rsid w:val="15563D2C"/>
    <w:rsid w:val="159577E4"/>
    <w:rsid w:val="15F162C5"/>
    <w:rsid w:val="16E0396D"/>
    <w:rsid w:val="17C80133"/>
    <w:rsid w:val="1818287B"/>
    <w:rsid w:val="18362625"/>
    <w:rsid w:val="18D522D8"/>
    <w:rsid w:val="19823B84"/>
    <w:rsid w:val="19E23A01"/>
    <w:rsid w:val="19EE0A37"/>
    <w:rsid w:val="19EF2D72"/>
    <w:rsid w:val="1A881960"/>
    <w:rsid w:val="1A8B7A2F"/>
    <w:rsid w:val="1ACB15E5"/>
    <w:rsid w:val="1B0E50DC"/>
    <w:rsid w:val="1B2820AD"/>
    <w:rsid w:val="1B355035"/>
    <w:rsid w:val="1B8732CA"/>
    <w:rsid w:val="1BA75FED"/>
    <w:rsid w:val="1C3C0D94"/>
    <w:rsid w:val="1C705992"/>
    <w:rsid w:val="1C8F10A8"/>
    <w:rsid w:val="1CB46CF3"/>
    <w:rsid w:val="1CCC6940"/>
    <w:rsid w:val="1D1B50CB"/>
    <w:rsid w:val="1E193223"/>
    <w:rsid w:val="1E237EED"/>
    <w:rsid w:val="1E997B58"/>
    <w:rsid w:val="1EA64F73"/>
    <w:rsid w:val="1EF25E87"/>
    <w:rsid w:val="1F572E5C"/>
    <w:rsid w:val="1FD0608C"/>
    <w:rsid w:val="200E4A9E"/>
    <w:rsid w:val="20707711"/>
    <w:rsid w:val="229E2B2D"/>
    <w:rsid w:val="22FB630B"/>
    <w:rsid w:val="23072FE5"/>
    <w:rsid w:val="234F2ED6"/>
    <w:rsid w:val="240C5143"/>
    <w:rsid w:val="245800F4"/>
    <w:rsid w:val="24697829"/>
    <w:rsid w:val="24922268"/>
    <w:rsid w:val="258B0208"/>
    <w:rsid w:val="25A727BA"/>
    <w:rsid w:val="26206788"/>
    <w:rsid w:val="26392972"/>
    <w:rsid w:val="277D6BC9"/>
    <w:rsid w:val="27F459C9"/>
    <w:rsid w:val="2894286A"/>
    <w:rsid w:val="28F120F7"/>
    <w:rsid w:val="291B2B3D"/>
    <w:rsid w:val="29C50E54"/>
    <w:rsid w:val="29E00D2D"/>
    <w:rsid w:val="2A3B71FE"/>
    <w:rsid w:val="2A7C474D"/>
    <w:rsid w:val="2AB92391"/>
    <w:rsid w:val="2B952B20"/>
    <w:rsid w:val="2C605F67"/>
    <w:rsid w:val="2C870122"/>
    <w:rsid w:val="2CBC1145"/>
    <w:rsid w:val="2D477057"/>
    <w:rsid w:val="2D884DC1"/>
    <w:rsid w:val="2D9E1632"/>
    <w:rsid w:val="2DA81E18"/>
    <w:rsid w:val="2DC11103"/>
    <w:rsid w:val="2DC51C7B"/>
    <w:rsid w:val="2DEB7EB8"/>
    <w:rsid w:val="2E8011B2"/>
    <w:rsid w:val="2EEF5BD1"/>
    <w:rsid w:val="2F0B779C"/>
    <w:rsid w:val="2FB0086C"/>
    <w:rsid w:val="2FF63026"/>
    <w:rsid w:val="30A97FA6"/>
    <w:rsid w:val="313C19BA"/>
    <w:rsid w:val="31593BBA"/>
    <w:rsid w:val="32226FF0"/>
    <w:rsid w:val="323576AD"/>
    <w:rsid w:val="32CE67A3"/>
    <w:rsid w:val="337834FC"/>
    <w:rsid w:val="33C43935"/>
    <w:rsid w:val="34E14025"/>
    <w:rsid w:val="35284201"/>
    <w:rsid w:val="354950CE"/>
    <w:rsid w:val="35BB0327"/>
    <w:rsid w:val="35C6236B"/>
    <w:rsid w:val="35FE6719"/>
    <w:rsid w:val="36BF2F16"/>
    <w:rsid w:val="36D20ACB"/>
    <w:rsid w:val="38E661B6"/>
    <w:rsid w:val="39082ECF"/>
    <w:rsid w:val="39D41706"/>
    <w:rsid w:val="3A797834"/>
    <w:rsid w:val="3B1E53B3"/>
    <w:rsid w:val="3B2C7753"/>
    <w:rsid w:val="3B6C2DA6"/>
    <w:rsid w:val="3B735937"/>
    <w:rsid w:val="3BD864DE"/>
    <w:rsid w:val="3C096E11"/>
    <w:rsid w:val="3C2F77F3"/>
    <w:rsid w:val="3CCF1604"/>
    <w:rsid w:val="3D21378E"/>
    <w:rsid w:val="3EF15CD2"/>
    <w:rsid w:val="3F614A30"/>
    <w:rsid w:val="40AA429E"/>
    <w:rsid w:val="40C26AA1"/>
    <w:rsid w:val="41254280"/>
    <w:rsid w:val="416732B5"/>
    <w:rsid w:val="42232BC4"/>
    <w:rsid w:val="42240A01"/>
    <w:rsid w:val="427B7FEC"/>
    <w:rsid w:val="435F0D79"/>
    <w:rsid w:val="43AB4E69"/>
    <w:rsid w:val="43D4576C"/>
    <w:rsid w:val="444E0EB1"/>
    <w:rsid w:val="44817B7C"/>
    <w:rsid w:val="44B0318A"/>
    <w:rsid w:val="44E87045"/>
    <w:rsid w:val="44ED0EDF"/>
    <w:rsid w:val="460A5446"/>
    <w:rsid w:val="46127272"/>
    <w:rsid w:val="46433EC5"/>
    <w:rsid w:val="471E580C"/>
    <w:rsid w:val="471F4FD0"/>
    <w:rsid w:val="47860CBF"/>
    <w:rsid w:val="482E6810"/>
    <w:rsid w:val="483F12A6"/>
    <w:rsid w:val="48B97C7B"/>
    <w:rsid w:val="492B6619"/>
    <w:rsid w:val="496B28AD"/>
    <w:rsid w:val="49E72EC3"/>
    <w:rsid w:val="4A5F56C5"/>
    <w:rsid w:val="4A6940A4"/>
    <w:rsid w:val="4A7778CF"/>
    <w:rsid w:val="4A945F4C"/>
    <w:rsid w:val="4ABB6602"/>
    <w:rsid w:val="4AE9758A"/>
    <w:rsid w:val="4B775E78"/>
    <w:rsid w:val="4C54499D"/>
    <w:rsid w:val="4CFB75D9"/>
    <w:rsid w:val="4D0D3CFC"/>
    <w:rsid w:val="4DF2132B"/>
    <w:rsid w:val="4E186A7E"/>
    <w:rsid w:val="4EFF319A"/>
    <w:rsid w:val="4F0A23C4"/>
    <w:rsid w:val="50E6470E"/>
    <w:rsid w:val="51662BDF"/>
    <w:rsid w:val="52466271"/>
    <w:rsid w:val="524924E9"/>
    <w:rsid w:val="524B5782"/>
    <w:rsid w:val="525461AC"/>
    <w:rsid w:val="530D2305"/>
    <w:rsid w:val="54062852"/>
    <w:rsid w:val="55006F55"/>
    <w:rsid w:val="557A7AAB"/>
    <w:rsid w:val="55DF79A4"/>
    <w:rsid w:val="5633183E"/>
    <w:rsid w:val="56A9238A"/>
    <w:rsid w:val="56AB02AF"/>
    <w:rsid w:val="57BA43E1"/>
    <w:rsid w:val="58366E31"/>
    <w:rsid w:val="58CB2521"/>
    <w:rsid w:val="5A034166"/>
    <w:rsid w:val="5A6B561E"/>
    <w:rsid w:val="5B24736C"/>
    <w:rsid w:val="5C940722"/>
    <w:rsid w:val="5CBD3BFB"/>
    <w:rsid w:val="5D5749D8"/>
    <w:rsid w:val="5E2D152C"/>
    <w:rsid w:val="5E380D9F"/>
    <w:rsid w:val="5E8E428D"/>
    <w:rsid w:val="5EBB4E7B"/>
    <w:rsid w:val="5F5A2DD3"/>
    <w:rsid w:val="5FA3544C"/>
    <w:rsid w:val="600773E4"/>
    <w:rsid w:val="60335542"/>
    <w:rsid w:val="60525A35"/>
    <w:rsid w:val="605D3184"/>
    <w:rsid w:val="61931DC3"/>
    <w:rsid w:val="62C2554F"/>
    <w:rsid w:val="62C602F6"/>
    <w:rsid w:val="63133F4E"/>
    <w:rsid w:val="6333766A"/>
    <w:rsid w:val="645F73C4"/>
    <w:rsid w:val="648E27D7"/>
    <w:rsid w:val="64FB3632"/>
    <w:rsid w:val="65366998"/>
    <w:rsid w:val="659D0611"/>
    <w:rsid w:val="662B7800"/>
    <w:rsid w:val="67AA0EE0"/>
    <w:rsid w:val="68CF5925"/>
    <w:rsid w:val="69154DCA"/>
    <w:rsid w:val="6975655B"/>
    <w:rsid w:val="6A456E0E"/>
    <w:rsid w:val="6A4B73FB"/>
    <w:rsid w:val="6AAF22F1"/>
    <w:rsid w:val="6AE47B25"/>
    <w:rsid w:val="6C994A11"/>
    <w:rsid w:val="6CE33DDF"/>
    <w:rsid w:val="6D4F4CFC"/>
    <w:rsid w:val="6DAF7FBF"/>
    <w:rsid w:val="6E662CE8"/>
    <w:rsid w:val="6E7E30C2"/>
    <w:rsid w:val="6EC404D4"/>
    <w:rsid w:val="70190945"/>
    <w:rsid w:val="70563229"/>
    <w:rsid w:val="72561911"/>
    <w:rsid w:val="7285778A"/>
    <w:rsid w:val="72E60AA7"/>
    <w:rsid w:val="730C4E0C"/>
    <w:rsid w:val="732E6F97"/>
    <w:rsid w:val="733C6889"/>
    <w:rsid w:val="736D2207"/>
    <w:rsid w:val="73DF3E96"/>
    <w:rsid w:val="744938E8"/>
    <w:rsid w:val="744F3E92"/>
    <w:rsid w:val="74A212B5"/>
    <w:rsid w:val="74C96B62"/>
    <w:rsid w:val="74CE1026"/>
    <w:rsid w:val="750A0D77"/>
    <w:rsid w:val="75614FED"/>
    <w:rsid w:val="758D47A0"/>
    <w:rsid w:val="76BB77BF"/>
    <w:rsid w:val="76E06969"/>
    <w:rsid w:val="771D54D2"/>
    <w:rsid w:val="78E71C5C"/>
    <w:rsid w:val="7916635E"/>
    <w:rsid w:val="79DE3C05"/>
    <w:rsid w:val="7B584512"/>
    <w:rsid w:val="7C086894"/>
    <w:rsid w:val="7CED3AD3"/>
    <w:rsid w:val="7D09047A"/>
    <w:rsid w:val="7D23702C"/>
    <w:rsid w:val="7D4C3198"/>
    <w:rsid w:val="7D83238B"/>
    <w:rsid w:val="7D960AB8"/>
    <w:rsid w:val="7E711A27"/>
    <w:rsid w:val="7E983BB5"/>
    <w:rsid w:val="7EB95631"/>
    <w:rsid w:val="7F8265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9"/>
    <w:pPr>
      <w:keepNext/>
      <w:keepLines/>
      <w:spacing w:line="576" w:lineRule="auto"/>
      <w:outlineLvl w:val="0"/>
    </w:pPr>
    <w:rPr>
      <w:b/>
      <w:kern w:val="44"/>
      <w:sz w:val="44"/>
    </w:rPr>
  </w:style>
  <w:style w:type="paragraph" w:styleId="4">
    <w:name w:val="heading 2"/>
    <w:basedOn w:val="1"/>
    <w:next w:val="1"/>
    <w:link w:val="30"/>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unhideWhenUsed/>
    <w:qFormat/>
    <w:uiPriority w:val="0"/>
    <w:pPr>
      <w:keepNext/>
      <w:keepLines/>
      <w:widowControl w:val="0"/>
      <w:suppressLineNumbers w:val="0"/>
      <w:spacing w:before="0" w:beforeLines="0" w:beforeAutospacing="0" w:after="0" w:afterLines="0" w:afterAutospacing="0" w:line="500" w:lineRule="exact"/>
      <w:ind w:firstLine="643" w:firstLineChars="200"/>
      <w:jc w:val="both"/>
      <w:outlineLvl w:val="2"/>
    </w:pPr>
    <w:rPr>
      <w:rFonts w:hint="default" w:ascii="Times New Roman" w:hAnsi="Times New Roman" w:eastAsia="仿宋" w:cs="Times New Roman"/>
      <w:b/>
      <w:bCs/>
      <w:kern w:val="2"/>
      <w:sz w:val="28"/>
      <w:szCs w:val="28"/>
      <w:lang w:val="en-US" w:eastAsia="zh-CN" w:bidi="ar"/>
    </w:rPr>
  </w:style>
  <w:style w:type="paragraph" w:styleId="6">
    <w:name w:val="heading 6"/>
    <w:basedOn w:val="1"/>
    <w:next w:val="1"/>
    <w:qFormat/>
    <w:uiPriority w:val="0"/>
    <w:pPr>
      <w:keepNext/>
      <w:keepLines/>
      <w:spacing w:before="240" w:after="64" w:line="320" w:lineRule="auto"/>
      <w:ind w:left="1151" w:hanging="1151"/>
      <w:outlineLvl w:val="5"/>
    </w:pPr>
    <w:rPr>
      <w:rFonts w:ascii="Cambria" w:hAnsi="Cambria"/>
      <w:b/>
      <w:bCs/>
    </w:rPr>
  </w:style>
  <w:style w:type="character" w:default="1" w:styleId="24">
    <w:name w:val="Default Paragraph Font"/>
    <w:qFormat/>
    <w:uiPriority w:val="1"/>
  </w:style>
  <w:style w:type="table" w:default="1" w:styleId="20">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Times New Roman" w:hAnsi="Times New Roman" w:eastAsia="宋体" w:cs="Times New Roman"/>
      <w:szCs w:val="24"/>
    </w:rPr>
  </w:style>
  <w:style w:type="paragraph" w:styleId="7">
    <w:name w:val="caption"/>
    <w:basedOn w:val="1"/>
    <w:next w:val="1"/>
    <w:qFormat/>
    <w:uiPriority w:val="35"/>
    <w:rPr>
      <w:rFonts w:ascii="Arial" w:hAnsi="Arial" w:eastAsia="黑体"/>
      <w:sz w:val="20"/>
    </w:rPr>
  </w:style>
  <w:style w:type="paragraph" w:styleId="8">
    <w:name w:val="annotation text"/>
    <w:basedOn w:val="1"/>
    <w:qFormat/>
    <w:uiPriority w:val="99"/>
    <w:pPr>
      <w:jc w:val="left"/>
    </w:pPr>
  </w:style>
  <w:style w:type="paragraph" w:styleId="9">
    <w:name w:val="Body Text"/>
    <w:basedOn w:val="1"/>
    <w:next w:val="10"/>
    <w:qFormat/>
    <w:uiPriority w:val="0"/>
    <w:pPr>
      <w:spacing w:line="400" w:lineRule="atLeast"/>
    </w:pPr>
    <w:rPr>
      <w:sz w:val="24"/>
    </w:rPr>
  </w:style>
  <w:style w:type="paragraph" w:styleId="10">
    <w:name w:val="Body Text Indent 2"/>
    <w:basedOn w:val="1"/>
    <w:next w:val="11"/>
    <w:qFormat/>
    <w:uiPriority w:val="0"/>
    <w:pPr>
      <w:spacing w:line="580" w:lineRule="exact"/>
      <w:ind w:firstLine="200"/>
    </w:pPr>
    <w:rPr>
      <w:rFonts w:ascii="仿宋_GB2312" w:eastAsia="仿宋_GB2312" w:cs="宋体"/>
      <w:sz w:val="32"/>
      <w:szCs w:val="32"/>
    </w:rPr>
  </w:style>
  <w:style w:type="paragraph" w:styleId="11">
    <w:name w:val="Normal (Web)"/>
    <w:basedOn w:val="1"/>
    <w:qFormat/>
    <w:uiPriority w:val="99"/>
    <w:pPr>
      <w:spacing w:line="500" w:lineRule="exact"/>
      <w:ind w:firstLine="200" w:firstLineChars="200"/>
    </w:pPr>
    <w:rPr>
      <w:rFonts w:eastAsia="仿宋"/>
      <w:sz w:val="24"/>
      <w:szCs w:val="24"/>
    </w:rPr>
  </w:style>
  <w:style w:type="paragraph" w:styleId="12">
    <w:name w:val="toc 3"/>
    <w:basedOn w:val="1"/>
    <w:next w:val="1"/>
    <w:qFormat/>
    <w:uiPriority w:val="0"/>
    <w:pPr>
      <w:ind w:left="840" w:leftChars="400"/>
    </w:pPr>
  </w:style>
  <w:style w:type="paragraph" w:styleId="13">
    <w:name w:val="Balloon Text"/>
    <w:basedOn w:val="1"/>
    <w:link w:val="46"/>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rPr>
  </w:style>
  <w:style w:type="paragraph" w:styleId="15">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footnote text"/>
    <w:basedOn w:val="1"/>
    <w:link w:val="33"/>
    <w:qFormat/>
    <w:uiPriority w:val="99"/>
    <w:pPr>
      <w:snapToGrid w:val="0"/>
      <w:jc w:val="left"/>
    </w:pPr>
    <w:rPr>
      <w:sz w:val="18"/>
    </w:rPr>
  </w:style>
  <w:style w:type="paragraph" w:styleId="18">
    <w:name w:val="toc 2"/>
    <w:basedOn w:val="1"/>
    <w:next w:val="1"/>
    <w:qFormat/>
    <w:uiPriority w:val="39"/>
    <w:pPr>
      <w:ind w:left="420" w:leftChars="200"/>
    </w:pPr>
  </w:style>
  <w:style w:type="paragraph" w:styleId="19">
    <w:name w:val="HTML Preformatted"/>
    <w:basedOn w:val="1"/>
    <w:link w:val="3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List Accent 1"/>
    <w:basedOn w:val="20"/>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23">
    <w:name w:val="Light List Accent 5"/>
    <w:basedOn w:val="20"/>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25">
    <w:name w:val="Strong"/>
    <w:basedOn w:val="24"/>
    <w:qFormat/>
    <w:uiPriority w:val="22"/>
    <w:rPr>
      <w:rFonts w:cs="Times New Roman"/>
      <w:b/>
      <w:bCs/>
    </w:rPr>
  </w:style>
  <w:style w:type="character" w:styleId="26">
    <w:name w:val="Hyperlink"/>
    <w:basedOn w:val="24"/>
    <w:qFormat/>
    <w:uiPriority w:val="99"/>
    <w:rPr>
      <w:rFonts w:cs="Times New Roman"/>
      <w:color w:val="0563C1"/>
      <w:u w:val="single"/>
    </w:rPr>
  </w:style>
  <w:style w:type="character" w:styleId="27">
    <w:name w:val="annotation reference"/>
    <w:basedOn w:val="24"/>
    <w:qFormat/>
    <w:uiPriority w:val="99"/>
    <w:rPr>
      <w:sz w:val="21"/>
      <w:szCs w:val="21"/>
    </w:rPr>
  </w:style>
  <w:style w:type="character" w:styleId="28">
    <w:name w:val="footnote reference"/>
    <w:basedOn w:val="24"/>
    <w:qFormat/>
    <w:uiPriority w:val="99"/>
    <w:rPr>
      <w:rFonts w:cs="Times New Roman"/>
      <w:vertAlign w:val="superscript"/>
    </w:rPr>
  </w:style>
  <w:style w:type="character" w:customStyle="1" w:styleId="29">
    <w:name w:val="标题 1 Char"/>
    <w:basedOn w:val="24"/>
    <w:link w:val="3"/>
    <w:qFormat/>
    <w:uiPriority w:val="9"/>
    <w:rPr>
      <w:rFonts w:ascii="Calibri" w:hAnsi="Calibri"/>
      <w:b/>
      <w:bCs/>
      <w:kern w:val="44"/>
      <w:sz w:val="44"/>
      <w:szCs w:val="44"/>
    </w:rPr>
  </w:style>
  <w:style w:type="character" w:customStyle="1" w:styleId="30">
    <w:name w:val="标题 2 Char"/>
    <w:basedOn w:val="24"/>
    <w:link w:val="4"/>
    <w:qFormat/>
    <w:uiPriority w:val="9"/>
    <w:rPr>
      <w:rFonts w:ascii="Cambria" w:hAnsi="Cambria" w:eastAsia="宋体" w:cs="宋体"/>
      <w:b/>
      <w:bCs/>
      <w:sz w:val="32"/>
      <w:szCs w:val="32"/>
    </w:rPr>
  </w:style>
  <w:style w:type="character" w:customStyle="1" w:styleId="31">
    <w:name w:val="页脚 Char"/>
    <w:basedOn w:val="24"/>
    <w:link w:val="14"/>
    <w:qFormat/>
    <w:uiPriority w:val="99"/>
    <w:rPr>
      <w:rFonts w:ascii="Calibri" w:hAnsi="Calibri"/>
      <w:sz w:val="18"/>
      <w:szCs w:val="18"/>
    </w:rPr>
  </w:style>
  <w:style w:type="character" w:customStyle="1" w:styleId="32">
    <w:name w:val="页眉 Char"/>
    <w:basedOn w:val="24"/>
    <w:link w:val="15"/>
    <w:qFormat/>
    <w:uiPriority w:val="99"/>
    <w:rPr>
      <w:rFonts w:ascii="Calibri" w:hAnsi="Calibri"/>
      <w:sz w:val="18"/>
      <w:szCs w:val="18"/>
    </w:rPr>
  </w:style>
  <w:style w:type="character" w:customStyle="1" w:styleId="33">
    <w:name w:val="脚注文本 Char"/>
    <w:basedOn w:val="24"/>
    <w:link w:val="17"/>
    <w:qFormat/>
    <w:uiPriority w:val="99"/>
    <w:rPr>
      <w:rFonts w:ascii="Calibri" w:hAnsi="Calibri"/>
      <w:sz w:val="18"/>
      <w:szCs w:val="18"/>
    </w:rPr>
  </w:style>
  <w:style w:type="character" w:customStyle="1" w:styleId="34">
    <w:name w:val="HTML 预设格式 Char"/>
    <w:basedOn w:val="24"/>
    <w:link w:val="19"/>
    <w:qFormat/>
    <w:uiPriority w:val="99"/>
    <w:rPr>
      <w:rFonts w:ascii="Courier New" w:hAnsi="Courier New" w:cs="Courier New"/>
      <w:sz w:val="20"/>
      <w:szCs w:val="20"/>
    </w:rPr>
  </w:style>
  <w:style w:type="paragraph" w:customStyle="1" w:styleId="35">
    <w:name w:val="闻政正文"/>
    <w:basedOn w:val="1"/>
    <w:link w:val="47"/>
    <w:qFormat/>
    <w:uiPriority w:val="0"/>
    <w:pPr>
      <w:spacing w:line="500" w:lineRule="exact"/>
      <w:ind w:firstLine="560" w:firstLineChars="200"/>
    </w:pPr>
    <w:rPr>
      <w:rFonts w:eastAsia="仿宋_GB2312"/>
      <w:sz w:val="28"/>
      <w:szCs w:val="28"/>
    </w:rPr>
  </w:style>
  <w:style w:type="paragraph" w:styleId="36">
    <w:name w:val="List Paragraph"/>
    <w:basedOn w:val="1"/>
    <w:qFormat/>
    <w:uiPriority w:val="99"/>
    <w:pPr>
      <w:ind w:firstLine="420" w:firstLineChars="200"/>
    </w:pPr>
  </w:style>
  <w:style w:type="character" w:customStyle="1" w:styleId="37">
    <w:name w:val="font11"/>
    <w:basedOn w:val="24"/>
    <w:qFormat/>
    <w:uiPriority w:val="99"/>
    <w:rPr>
      <w:rFonts w:ascii="仿宋" w:hAnsi="仿宋" w:eastAsia="仿宋" w:cs="仿宋"/>
      <w:color w:val="000000"/>
      <w:sz w:val="24"/>
      <w:szCs w:val="24"/>
      <w:u w:val="none"/>
    </w:rPr>
  </w:style>
  <w:style w:type="character" w:customStyle="1" w:styleId="38">
    <w:name w:val="font21"/>
    <w:basedOn w:val="24"/>
    <w:qFormat/>
    <w:uiPriority w:val="99"/>
    <w:rPr>
      <w:rFonts w:ascii="Times New Roman" w:hAnsi="Times New Roman" w:cs="Times New Roman"/>
      <w:color w:val="000000"/>
      <w:sz w:val="24"/>
      <w:szCs w:val="24"/>
      <w:u w:val="none"/>
    </w:rPr>
  </w:style>
  <w:style w:type="character" w:customStyle="1" w:styleId="39">
    <w:name w:val="font41"/>
    <w:basedOn w:val="24"/>
    <w:qFormat/>
    <w:uiPriority w:val="99"/>
    <w:rPr>
      <w:rFonts w:ascii="Times New Roman" w:hAnsi="Times New Roman" w:cs="Times New Roman"/>
      <w:color w:val="000000"/>
      <w:sz w:val="24"/>
      <w:szCs w:val="24"/>
      <w:u w:val="none"/>
      <w:vertAlign w:val="superscript"/>
    </w:rPr>
  </w:style>
  <w:style w:type="character" w:customStyle="1" w:styleId="40">
    <w:name w:val="font61"/>
    <w:basedOn w:val="24"/>
    <w:qFormat/>
    <w:uiPriority w:val="99"/>
    <w:rPr>
      <w:rFonts w:ascii="仿宋" w:hAnsi="仿宋" w:eastAsia="仿宋" w:cs="仿宋"/>
      <w:color w:val="000000"/>
      <w:sz w:val="24"/>
      <w:szCs w:val="24"/>
      <w:u w:val="none"/>
      <w:vertAlign w:val="superscript"/>
    </w:rPr>
  </w:style>
  <w:style w:type="paragraph" w:customStyle="1" w:styleId="41">
    <w:name w:val="闻政标题5"/>
    <w:basedOn w:val="1"/>
    <w:qFormat/>
    <w:uiPriority w:val="99"/>
    <w:pPr>
      <w:spacing w:before="120" w:after="60" w:line="500" w:lineRule="exact"/>
      <w:ind w:firstLine="200" w:firstLineChars="200"/>
    </w:pPr>
    <w:rPr>
      <w:rFonts w:ascii="Times New Roman" w:hAnsi="Times New Roman" w:eastAsia="仿宋_GB2312"/>
      <w:b/>
      <w:kern w:val="0"/>
      <w:sz w:val="28"/>
      <w:szCs w:val="28"/>
    </w:rPr>
  </w:style>
  <w:style w:type="paragraph" w:customStyle="1" w:styleId="42">
    <w:name w:val="大标题 一、"/>
    <w:basedOn w:val="1"/>
    <w:qFormat/>
    <w:uiPriority w:val="99"/>
    <w:pPr>
      <w:widowControl/>
      <w:spacing w:line="500" w:lineRule="exact"/>
    </w:pPr>
    <w:rPr>
      <w:rFonts w:ascii="Times New Roman" w:hAnsi="Times New Roman" w:eastAsia="仿宋_GB2312" w:cs="黑体"/>
      <w:b/>
      <w:kern w:val="0"/>
      <w:sz w:val="24"/>
    </w:rPr>
  </w:style>
  <w:style w:type="paragraph" w:customStyle="1" w:styleId="43">
    <w:name w:val="闻政标题6"/>
    <w:basedOn w:val="1"/>
    <w:qFormat/>
    <w:uiPriority w:val="99"/>
    <w:pPr>
      <w:spacing w:before="120" w:after="60" w:line="500" w:lineRule="exact"/>
      <w:ind w:firstLine="200" w:firstLineChars="200"/>
    </w:pPr>
    <w:rPr>
      <w:rFonts w:ascii="Times New Roman" w:hAnsi="Times New Roman" w:eastAsia="仿宋_GB2312"/>
      <w:b/>
      <w:kern w:val="0"/>
      <w:sz w:val="28"/>
      <w:szCs w:val="28"/>
    </w:rPr>
  </w:style>
  <w:style w:type="character" w:customStyle="1" w:styleId="44">
    <w:name w:val="font01"/>
    <w:basedOn w:val="24"/>
    <w:qFormat/>
    <w:uiPriority w:val="99"/>
    <w:rPr>
      <w:rFonts w:ascii="font-weight : 400" w:hAnsi="font-weight : 400" w:eastAsia="Times New Roman" w:cs="font-weight : 400"/>
      <w:color w:val="000000"/>
      <w:sz w:val="22"/>
      <w:szCs w:val="22"/>
      <w:u w:val="none"/>
    </w:rPr>
  </w:style>
  <w:style w:type="paragraph" w:customStyle="1" w:styleId="45">
    <w:name w:val="闻政表"/>
    <w:basedOn w:val="1"/>
    <w:qFormat/>
    <w:uiPriority w:val="99"/>
    <w:pPr>
      <w:spacing w:before="60" w:after="60"/>
      <w:jc w:val="center"/>
    </w:pPr>
    <w:rPr>
      <w:rFonts w:ascii="Times New Roman" w:hAnsi="Times New Roman" w:eastAsia="仿宋_GB2312"/>
      <w:b/>
      <w:kern w:val="0"/>
      <w:sz w:val="24"/>
      <w:szCs w:val="28"/>
    </w:rPr>
  </w:style>
  <w:style w:type="character" w:customStyle="1" w:styleId="46">
    <w:name w:val="批注框文本 Char"/>
    <w:basedOn w:val="24"/>
    <w:link w:val="13"/>
    <w:qFormat/>
    <w:uiPriority w:val="99"/>
    <w:rPr>
      <w:rFonts w:ascii="Calibri" w:hAnsi="Calibri" w:eastAsia="宋体" w:cs="Times New Roman"/>
      <w:kern w:val="2"/>
      <w:sz w:val="18"/>
      <w:szCs w:val="18"/>
    </w:rPr>
  </w:style>
  <w:style w:type="character" w:customStyle="1" w:styleId="47">
    <w:name w:val="闻政正文 Char"/>
    <w:link w:val="35"/>
    <w:qFormat/>
    <w:uiPriority w:val="0"/>
    <w:rPr>
      <w:rFonts w:ascii="Calibri" w:hAnsi="Calibri" w:eastAsia="仿宋_GB2312" w:cs="Times New Roman"/>
      <w:kern w:val="2"/>
      <w:sz w:val="28"/>
      <w:szCs w:val="28"/>
    </w:rPr>
  </w:style>
  <w:style w:type="character" w:customStyle="1" w:styleId="48">
    <w:name w:val="font31"/>
    <w:basedOn w:val="24"/>
    <w:qFormat/>
    <w:uiPriority w:val="0"/>
    <w:rPr>
      <w:rFonts w:hint="eastAsia" w:ascii="仿宋" w:hAnsi="仿宋" w:eastAsia="仿宋" w:cs="仿宋"/>
      <w:b/>
      <w:color w:val="000000"/>
      <w:sz w:val="24"/>
      <w:szCs w:val="24"/>
      <w:u w:val="none"/>
    </w:rPr>
  </w:style>
  <w:style w:type="paragraph" w:customStyle="1" w:styleId="49">
    <w:name w:val="列出段落11"/>
    <w:basedOn w:val="1"/>
    <w:qFormat/>
    <w:uiPriority w:val="0"/>
    <w:pPr>
      <w:widowControl w:val="0"/>
      <w:adjustRightInd/>
      <w:snapToGrid/>
      <w:spacing w:after="0"/>
      <w:ind w:firstLine="420" w:firstLineChars="200"/>
      <w:jc w:val="both"/>
    </w:pPr>
    <w:rPr>
      <w:rFonts w:ascii="Calibri" w:hAnsi="Calibri" w:eastAsia="宋体"/>
      <w:kern w:val="2"/>
      <w:sz w:val="21"/>
      <w:szCs w:val="24"/>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No Spacing_ad81b47b-6779-4c76-b471-79375858c8cb"/>
    <w:basedOn w:val="1"/>
    <w:qFormat/>
    <w:uiPriority w:val="0"/>
    <w:pPr>
      <w:keepNext w:val="0"/>
      <w:keepLines w:val="0"/>
      <w:widowControl w:val="0"/>
      <w:suppressLineNumbers w:val="0"/>
      <w:spacing w:before="0" w:beforeAutospacing="0" w:after="0" w:afterAutospacing="0" w:line="500" w:lineRule="exact"/>
      <w:ind w:left="0" w:right="0" w:firstLine="200" w:firstLineChars="200"/>
      <w:jc w:val="both"/>
    </w:pPr>
    <w:rPr>
      <w:rFonts w:hint="default" w:ascii="Times New Roman" w:hAnsi="Times New Roman" w:eastAsia="宋体" w:cs="Times New Roman"/>
      <w:kern w:val="2"/>
      <w:sz w:val="28"/>
      <w:szCs w:val="28"/>
      <w:lang w:val="en-US" w:eastAsia="zh-CN" w:bidi="ar"/>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character" w:customStyle="1" w:styleId="53">
    <w:name w:val="font51"/>
    <w:basedOn w:val="24"/>
    <w:qFormat/>
    <w:uiPriority w:val="0"/>
    <w:rPr>
      <w:rFonts w:hint="eastAsia" w:ascii="宋体" w:hAnsi="宋体" w:eastAsia="宋体" w:cs="宋体"/>
      <w:color w:val="000000"/>
      <w:sz w:val="24"/>
      <w:szCs w:val="24"/>
      <w:u w:val="none"/>
    </w:rPr>
  </w:style>
  <w:style w:type="paragraph" w:customStyle="1" w:styleId="54">
    <w:name w:val="列出段落2"/>
    <w:basedOn w:val="1"/>
    <w:qFormat/>
    <w:uiPriority w:val="0"/>
    <w:pPr>
      <w:spacing w:line="500" w:lineRule="exact"/>
      <w:ind w:firstLine="200" w:firstLineChars="200"/>
    </w:pPr>
    <w:rPr>
      <w:rFonts w:eastAsia="仿宋"/>
      <w:sz w:val="28"/>
    </w:rPr>
  </w:style>
  <w:style w:type="paragraph" w:customStyle="1" w:styleId="5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623C8-86C2-4FA0-8527-25AA0EBCE512}">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83</Pages>
  <Words>28132</Words>
  <Characters>31000</Characters>
  <Lines>1</Lines>
  <Paragraphs>1</Paragraphs>
  <TotalTime>2</TotalTime>
  <ScaleCrop>false</ScaleCrop>
  <LinksUpToDate>false</LinksUpToDate>
  <CharactersWithSpaces>31323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2018-11-29T01:39:00Z</dcterms:created>
  <dc:creator>温润如玉</dc:creator>
  <cp:lastModifiedBy>小不点儿</cp:lastModifiedBy>
  <cp:lastPrinted>2021-11-02T04:00:00Z</cp:lastPrinted>
  <dcterms:modified xsi:type="dcterms:W3CDTF">2023-10-06T05:16:57Z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8242FC090E9041428A7C1D1F1494F2F1</vt:lpwstr>
  </property>
  <property fmtid="{D5CDD505-2E9C-101B-9397-08002B2CF9AE}" pid="4" name="commondata">
    <vt:lpwstr>eyJoZGlkIjoiYjU2MzJhZDllMzY3MzFiYjIzZTcxZjlhYjM0M2NmMzMifQ==</vt:lpwstr>
  </property>
</Properties>
</file>