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89DC">
      <w:pPr>
        <w:jc w:val="center"/>
        <w:rPr>
          <w:rFonts w:hint="eastAsia" w:ascii="黑体" w:hAnsi="黑体" w:eastAsia="黑体"/>
          <w:sz w:val="36"/>
          <w:szCs w:val="36"/>
          <w:lang w:val="en-US" w:eastAsia="zh-CN"/>
        </w:rPr>
      </w:pPr>
    </w:p>
    <w:p w14:paraId="22833A97">
      <w:pPr>
        <w:jc w:val="center"/>
        <w:rPr>
          <w:rFonts w:ascii="黑体" w:hAnsi="黑体" w:eastAsia="黑体"/>
          <w:sz w:val="36"/>
          <w:szCs w:val="36"/>
        </w:rPr>
      </w:pPr>
    </w:p>
    <w:p w14:paraId="4F42F9B1">
      <w:pPr>
        <w:jc w:val="center"/>
        <w:rPr>
          <w:rFonts w:ascii="黑体" w:hAnsi="黑体" w:eastAsia="黑体"/>
          <w:sz w:val="36"/>
          <w:szCs w:val="36"/>
        </w:rPr>
      </w:pPr>
    </w:p>
    <w:p w14:paraId="3A706D45">
      <w:pPr>
        <w:tabs>
          <w:tab w:val="left" w:pos="5620"/>
        </w:tabs>
        <w:jc w:val="left"/>
        <w:rPr>
          <w:rFonts w:hint="eastAsia" w:ascii="黑体" w:hAnsi="黑体" w:eastAsia="黑体"/>
          <w:sz w:val="36"/>
          <w:szCs w:val="36"/>
          <w:lang w:eastAsia="zh-CN"/>
        </w:rPr>
      </w:pPr>
      <w:r>
        <w:rPr>
          <w:rFonts w:hint="eastAsia" w:ascii="黑体" w:hAnsi="黑体" w:eastAsia="黑体"/>
          <w:sz w:val="36"/>
          <w:szCs w:val="36"/>
          <w:lang w:eastAsia="zh-CN"/>
        </w:rPr>
        <w:tab/>
      </w:r>
    </w:p>
    <w:p w14:paraId="141E0B0B">
      <w:pPr>
        <w:overflowPunct w:val="0"/>
        <w:spacing w:line="560" w:lineRule="exact"/>
        <w:jc w:val="both"/>
        <w:rPr>
          <w:rFonts w:ascii="仿宋_GB2312" w:hAnsi="仿宋" w:eastAsia="仿宋_GB2312" w:cs="仿宋"/>
          <w:sz w:val="32"/>
          <w:szCs w:val="32"/>
        </w:rPr>
      </w:pPr>
    </w:p>
    <w:p w14:paraId="04A97302">
      <w:pPr>
        <w:overflowPunct w:val="0"/>
        <w:spacing w:line="560" w:lineRule="exact"/>
        <w:jc w:val="left"/>
        <w:rPr>
          <w:rFonts w:ascii="仿宋_GB2312" w:hAnsi="仿宋" w:eastAsia="仿宋_GB2312" w:cs="仿宋"/>
          <w:sz w:val="32"/>
          <w:szCs w:val="32"/>
        </w:rPr>
      </w:pPr>
    </w:p>
    <w:p w14:paraId="0E91E560">
      <w:pPr>
        <w:jc w:val="center"/>
        <w:rPr>
          <w:rFonts w:ascii="黑体" w:hAnsi="黑体" w:eastAsia="黑体"/>
          <w:sz w:val="36"/>
          <w:szCs w:val="36"/>
        </w:rPr>
      </w:pPr>
      <w:r>
        <w:rPr>
          <w:rFonts w:ascii="仿宋_GB2312" w:hAnsi="仿宋" w:eastAsia="仿宋_GB2312" w:cs="仿宋"/>
          <w:sz w:val="32"/>
          <w:szCs w:val="32"/>
        </w:rPr>
        <mc:AlternateContent>
          <mc:Choice Requires="wps">
            <w:drawing>
              <wp:anchor distT="0" distB="0" distL="114300" distR="114300" simplePos="0" relativeHeight="251659264" behindDoc="0" locked="0" layoutInCell="1" allowOverlap="1">
                <wp:simplePos x="0" y="0"/>
                <wp:positionH relativeFrom="column">
                  <wp:posOffset>-998855</wp:posOffset>
                </wp:positionH>
                <wp:positionV relativeFrom="paragraph">
                  <wp:posOffset>37465</wp:posOffset>
                </wp:positionV>
                <wp:extent cx="7531100" cy="455295"/>
                <wp:effectExtent l="4445" t="5080" r="8255" b="12065"/>
                <wp:wrapNone/>
                <wp:docPr id="1" name="文本框 2"/>
                <wp:cNvGraphicFramePr/>
                <a:graphic xmlns:a="http://schemas.openxmlformats.org/drawingml/2006/main">
                  <a:graphicData uri="http://schemas.microsoft.com/office/word/2010/wordprocessingShape">
                    <wps:wsp>
                      <wps:cNvSpPr txBox="1"/>
                      <wps:spPr>
                        <a:xfrm>
                          <a:off x="0" y="0"/>
                          <a:ext cx="7531100" cy="45529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577DC6B">
                            <w:pPr>
                              <w:overflowPunct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同市监</w:t>
                            </w:r>
                            <w:r>
                              <w:rPr>
                                <w:rFonts w:hint="eastAsia" w:ascii="仿宋" w:hAnsi="仿宋" w:eastAsia="仿宋" w:cs="仿宋"/>
                                <w:color w:val="auto"/>
                                <w:sz w:val="32"/>
                                <w:szCs w:val="32"/>
                                <w:lang w:eastAsia="zh-CN"/>
                              </w:rPr>
                              <w:t>发</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号</w:t>
                            </w:r>
                          </w:p>
                          <w:p w14:paraId="6073AEE7"/>
                        </w:txbxContent>
                      </wps:txbx>
                      <wps:bodyPr upright="1"/>
                    </wps:wsp>
                  </a:graphicData>
                </a:graphic>
              </wp:anchor>
            </w:drawing>
          </mc:Choice>
          <mc:Fallback>
            <w:pict>
              <v:shape id="文本框 2" o:spid="_x0000_s1026" o:spt="202" type="#_x0000_t202" style="position:absolute;left:0pt;margin-left:-78.65pt;margin-top:2.95pt;height:35.85pt;width:593pt;z-index:251659264;mso-width-relative:page;mso-height-relative:page;" fillcolor="#FFFFFF" filled="t" stroked="t" coordsize="21600,21600" o:gfxdata="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&#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9wdv2QAAAAoBAAAPAAAAAAAAAAEAIAAAACIAAABk&#10;cnMvZG93bnJldi54bWxQSwECFAAUAAAACACHTuJAvdCwHAUCAAA2BAAADgAAAAAAAAABACAAAAAo&#10;AQAAZHJzL2Uyb0RvYy54bWxQSwUGAAAAAAYABgBZAQAAnwUAAAAA&#10;">
                <v:fill on="t" focussize="0,0"/>
                <v:stroke color="#FFFFFF" joinstyle="miter"/>
                <v:imagedata o:title=""/>
                <o:lock v:ext="edit" aspectratio="f"/>
                <v:textbox>
                  <w:txbxContent>
                    <w:p w14:paraId="6577DC6B">
                      <w:pPr>
                        <w:overflowPunct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同市监</w:t>
                      </w:r>
                      <w:r>
                        <w:rPr>
                          <w:rFonts w:hint="eastAsia" w:ascii="仿宋" w:hAnsi="仿宋" w:eastAsia="仿宋" w:cs="仿宋"/>
                          <w:color w:val="auto"/>
                          <w:sz w:val="32"/>
                          <w:szCs w:val="32"/>
                          <w:lang w:eastAsia="zh-CN"/>
                        </w:rPr>
                        <w:t>发</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号</w:t>
                      </w:r>
                    </w:p>
                    <w:p w14:paraId="6073AEE7"/>
                  </w:txbxContent>
                </v:textbox>
              </v:shape>
            </w:pict>
          </mc:Fallback>
        </mc:AlternateContent>
      </w:r>
    </w:p>
    <w:p w14:paraId="2E1221C8">
      <w:pPr>
        <w:jc w:val="center"/>
        <w:rPr>
          <w:rFonts w:ascii="黑体" w:hAnsi="黑体" w:eastAsia="黑体"/>
          <w:sz w:val="36"/>
          <w:szCs w:val="36"/>
        </w:rPr>
      </w:pPr>
      <w:bookmarkStart w:id="0" w:name="_GoBack"/>
      <w:bookmarkEnd w:id="0"/>
    </w:p>
    <w:p w14:paraId="3EE6F753">
      <w:pPr>
        <w:jc w:val="center"/>
        <w:rPr>
          <w:rFonts w:ascii="黑体" w:hAnsi="黑体" w:eastAsia="黑体"/>
          <w:sz w:val="36"/>
          <w:szCs w:val="36"/>
        </w:rPr>
      </w:pPr>
    </w:p>
    <w:p w14:paraId="0A55E9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市场监督管理局</w:t>
      </w:r>
    </w:p>
    <w:p w14:paraId="1F51C3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default" w:ascii="方正小标宋简体" w:hAnsi="方正小标宋简体" w:eastAsia="方正小标宋简体" w:cs="方正小标宋简体"/>
          <w:color w:val="000000"/>
          <w:kern w:val="0"/>
          <w:sz w:val="44"/>
          <w:szCs w:val="44"/>
          <w:lang w:val="en-US" w:eastAsia="zh-CN" w:bidi="ar"/>
        </w:rPr>
        <w:t>关于做好2025年车用柴油、家电产品、羊绒衫、羽绒服</w:t>
      </w:r>
      <w:r>
        <w:rPr>
          <w:rFonts w:hint="eastAsia" w:ascii="方正小标宋简体" w:hAnsi="方正小标宋简体" w:eastAsia="方正小标宋简体" w:cs="方正小标宋简体"/>
          <w:color w:val="000000"/>
          <w:kern w:val="0"/>
          <w:sz w:val="44"/>
          <w:szCs w:val="44"/>
          <w:lang w:val="en-US" w:eastAsia="zh-CN" w:bidi="ar"/>
        </w:rPr>
        <w:t>等产品质量监督抽查</w:t>
      </w:r>
      <w:r>
        <w:rPr>
          <w:rFonts w:hint="default" w:ascii="方正小标宋简体" w:hAnsi="方正小标宋简体" w:eastAsia="方正小标宋简体" w:cs="方正小标宋简体"/>
          <w:color w:val="000000"/>
          <w:kern w:val="0"/>
          <w:sz w:val="44"/>
          <w:szCs w:val="44"/>
          <w:lang w:val="en-US" w:eastAsia="zh-CN" w:bidi="ar"/>
        </w:rPr>
        <w:t>工作的通知</w:t>
      </w:r>
    </w:p>
    <w:p w14:paraId="7A937C7A">
      <w:pPr>
        <w:pStyle w:val="10"/>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eastAsia="仿宋_GB2312" w:cs="仿宋_GB2312"/>
          <w:color w:val="000000"/>
          <w:sz w:val="44"/>
          <w:szCs w:val="44"/>
        </w:rPr>
      </w:pPr>
    </w:p>
    <w:p w14:paraId="73F47C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FreeSerif" w:hAnsi="FreeSerif" w:eastAsia="仿宋_GB2312" w:cs="仿宋_GB2312"/>
          <w:bCs w:val="0"/>
          <w:sz w:val="32"/>
          <w:szCs w:val="32"/>
        </w:rPr>
      </w:pPr>
      <w:r>
        <w:rPr>
          <w:rFonts w:hint="eastAsia" w:ascii="FreeSerif" w:hAnsi="FreeSerif" w:eastAsia="仿宋_GB2312" w:cs="仿宋_GB2312"/>
          <w:bCs w:val="0"/>
          <w:sz w:val="32"/>
          <w:szCs w:val="32"/>
        </w:rPr>
        <w:t>各</w:t>
      </w:r>
      <w:r>
        <w:rPr>
          <w:rFonts w:hint="eastAsia" w:ascii="FreeSerif" w:hAnsi="FreeSerif" w:eastAsia="仿宋_GB2312" w:cs="仿宋_GB2312"/>
          <w:bCs w:val="0"/>
          <w:sz w:val="32"/>
          <w:szCs w:val="32"/>
          <w:lang w:eastAsia="zh-CN"/>
        </w:rPr>
        <w:t>县（区）</w:t>
      </w:r>
      <w:r>
        <w:rPr>
          <w:rFonts w:hint="eastAsia" w:ascii="FreeSerif" w:hAnsi="FreeSerif" w:eastAsia="仿宋_GB2312" w:cs="仿宋_GB2312"/>
          <w:bCs w:val="0"/>
          <w:sz w:val="32"/>
          <w:szCs w:val="32"/>
        </w:rPr>
        <w:t>市场监管局</w:t>
      </w:r>
      <w:r>
        <w:rPr>
          <w:rFonts w:hint="eastAsia" w:ascii="FreeSerif" w:hAnsi="FreeSerif" w:eastAsia="仿宋_GB2312" w:cs="仿宋_GB2312"/>
          <w:bCs w:val="0"/>
          <w:sz w:val="32"/>
          <w:szCs w:val="32"/>
          <w:lang w:eastAsia="zh-CN"/>
        </w:rPr>
        <w:t>、开发区分局、市综合行政执法队，</w:t>
      </w:r>
      <w:r>
        <w:rPr>
          <w:rFonts w:hint="eastAsia" w:ascii="FreeSerif" w:hAnsi="FreeSerif" w:eastAsia="仿宋_GB2312" w:cs="仿宋_GB2312"/>
          <w:bCs w:val="0"/>
          <w:sz w:val="32"/>
          <w:szCs w:val="32"/>
          <w:lang w:val="en-US" w:eastAsia="zh-CN"/>
        </w:rPr>
        <w:t>各相关产品生产销售企业</w:t>
      </w:r>
      <w:r>
        <w:rPr>
          <w:rFonts w:hint="eastAsia" w:ascii="FreeSerif" w:hAnsi="FreeSerif" w:eastAsia="仿宋_GB2312" w:cs="仿宋_GB2312"/>
          <w:bCs w:val="0"/>
          <w:sz w:val="32"/>
          <w:szCs w:val="32"/>
        </w:rPr>
        <w:t>：</w:t>
      </w:r>
    </w:p>
    <w:p w14:paraId="727854B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shd w:val="clear"/>
          <w:lang w:val="en-US" w:eastAsia="zh-CN"/>
        </w:rPr>
      </w:pPr>
      <w:r>
        <w:rPr>
          <w:rFonts w:hint="eastAsia" w:ascii="仿宋_GB2312" w:hAnsi="仿宋_GB2312" w:eastAsia="仿宋_GB2312" w:cs="仿宋_GB2312"/>
          <w:bCs w:val="0"/>
          <w:sz w:val="32"/>
          <w:szCs w:val="32"/>
          <w:lang w:val="en-US" w:eastAsia="zh-CN"/>
        </w:rPr>
        <w:t>为深入贯彻落实《山西省人民政府关于全面推进质量强省建设的实施意见》要求，不断加强对关系人民群众身体健康和生命财产安全、公共安全、生态环境安全的重点产品质量安全监管，</w:t>
      </w:r>
      <w:r>
        <w:rPr>
          <w:rFonts w:hint="eastAsia" w:ascii="仿宋_GB2312" w:hAnsi="仿宋_GB2312" w:eastAsia="仿宋_GB2312" w:cs="仿宋_GB2312"/>
          <w:bCs w:val="0"/>
          <w:color w:val="auto"/>
          <w:sz w:val="32"/>
          <w:szCs w:val="32"/>
          <w:lang w:val="en-US" w:eastAsia="zh-CN"/>
        </w:rPr>
        <w:t>按照《2025年全市产品质量安全监管工作要点》、</w:t>
      </w:r>
      <w:r>
        <w:rPr>
          <w:rFonts w:hint="default" w:ascii="仿宋_GB2312" w:hAnsi="仿宋_GB2312" w:eastAsia="仿宋_GB2312" w:cs="仿宋_GB2312"/>
          <w:bCs w:val="0"/>
          <w:color w:val="auto"/>
          <w:sz w:val="32"/>
          <w:szCs w:val="32"/>
          <w:lang w:val="en-US" w:eastAsia="zh-CN"/>
        </w:rPr>
        <w:t>《</w:t>
      </w:r>
      <w:r>
        <w:rPr>
          <w:rFonts w:hint="eastAsia" w:ascii="仿宋_GB2312" w:hAnsi="仿宋_GB2312" w:eastAsia="仿宋_GB2312" w:cs="仿宋_GB2312"/>
          <w:bCs w:val="0"/>
          <w:color w:val="auto"/>
          <w:sz w:val="32"/>
          <w:szCs w:val="32"/>
          <w:lang w:val="en-US" w:eastAsia="zh-CN"/>
        </w:rPr>
        <w:t>2025</w:t>
      </w:r>
      <w:r>
        <w:rPr>
          <w:rFonts w:hint="default" w:ascii="仿宋_GB2312" w:hAnsi="仿宋_GB2312" w:eastAsia="仿宋_GB2312" w:cs="仿宋_GB2312"/>
          <w:bCs w:val="0"/>
          <w:color w:val="auto"/>
          <w:sz w:val="32"/>
          <w:szCs w:val="32"/>
          <w:lang w:val="en-US" w:eastAsia="zh-CN"/>
        </w:rPr>
        <w:t>年全</w:t>
      </w:r>
      <w:r>
        <w:rPr>
          <w:rFonts w:hint="eastAsia" w:ascii="仿宋_GB2312" w:hAnsi="仿宋_GB2312" w:eastAsia="仿宋_GB2312" w:cs="仿宋_GB2312"/>
          <w:bCs w:val="0"/>
          <w:color w:val="auto"/>
          <w:sz w:val="32"/>
          <w:szCs w:val="32"/>
          <w:lang w:val="en-US" w:eastAsia="zh-CN"/>
        </w:rPr>
        <w:t>市</w:t>
      </w:r>
      <w:r>
        <w:rPr>
          <w:rFonts w:hint="default" w:ascii="仿宋_GB2312" w:hAnsi="仿宋_GB2312" w:eastAsia="仿宋_GB2312" w:cs="仿宋_GB2312"/>
          <w:bCs w:val="0"/>
          <w:color w:val="auto"/>
          <w:sz w:val="32"/>
          <w:szCs w:val="32"/>
          <w:lang w:val="en-US" w:eastAsia="zh-CN"/>
        </w:rPr>
        <w:t>重点工业产品质量安全监管目录》</w:t>
      </w:r>
      <w:r>
        <w:rPr>
          <w:rFonts w:hint="eastAsia" w:ascii="仿宋_GB2312" w:hAnsi="仿宋_GB2312" w:eastAsia="仿宋_GB2312" w:cs="仿宋_GB2312"/>
          <w:bCs w:val="0"/>
          <w:sz w:val="32"/>
          <w:szCs w:val="32"/>
          <w:lang w:val="en-US" w:eastAsia="zh-CN"/>
        </w:rPr>
        <w:t>等文件精神要求，根据产品</w:t>
      </w:r>
      <w:r>
        <w:rPr>
          <w:rFonts w:hint="eastAsia" w:ascii="FreeSerif" w:hAnsi="FreeSerif" w:eastAsia="仿宋_GB2312" w:cs="仿宋_GB2312"/>
          <w:bCs w:val="0"/>
          <w:sz w:val="32"/>
          <w:szCs w:val="32"/>
          <w:lang w:val="en-US" w:eastAsia="zh-CN"/>
        </w:rPr>
        <w:t>质</w:t>
      </w:r>
      <w:r>
        <w:rPr>
          <w:rFonts w:hint="eastAsia" w:ascii="FreeSerif" w:hAnsi="FreeSerif" w:eastAsia="仿宋_GB2312" w:cs="仿宋_GB2312"/>
          <w:bCs w:val="0"/>
          <w:sz w:val="32"/>
          <w:szCs w:val="32"/>
          <w:shd w:val="clear"/>
          <w:lang w:val="en-US" w:eastAsia="zh-CN"/>
        </w:rPr>
        <w:t>量监督抽查计划安排，市局决定对车用柴油、家电产品、羊绒衫、羽绒服等</w:t>
      </w:r>
      <w:r>
        <w:rPr>
          <w:rFonts w:hint="eastAsia" w:ascii="仿宋_GB2312" w:hAnsi="仿宋_GB2312" w:eastAsia="仿宋_GB2312" w:cs="仿宋_GB2312"/>
          <w:bCs w:val="0"/>
          <w:sz w:val="32"/>
          <w:szCs w:val="32"/>
          <w:lang w:val="en-US" w:eastAsia="zh-CN"/>
        </w:rPr>
        <w:t>4</w:t>
      </w:r>
      <w:r>
        <w:rPr>
          <w:rFonts w:hint="eastAsia" w:ascii="FreeSerif" w:hAnsi="FreeSerif" w:eastAsia="仿宋_GB2312" w:cs="仿宋_GB2312"/>
          <w:bCs w:val="0"/>
          <w:sz w:val="32"/>
          <w:szCs w:val="32"/>
          <w:lang w:val="en-US" w:eastAsia="zh-CN"/>
        </w:rPr>
        <w:t>种产品</w:t>
      </w:r>
      <w:r>
        <w:rPr>
          <w:rFonts w:hint="eastAsia" w:ascii="FreeSerif" w:hAnsi="FreeSerif" w:eastAsia="仿宋_GB2312" w:cs="仿宋_GB2312"/>
          <w:bCs w:val="0"/>
          <w:sz w:val="32"/>
          <w:szCs w:val="32"/>
          <w:shd w:val="clear"/>
          <w:lang w:val="en-US" w:eastAsia="zh-CN"/>
        </w:rPr>
        <w:t>开展质量监督抽查</w:t>
      </w:r>
      <w:r>
        <w:rPr>
          <w:rFonts w:hint="eastAsia" w:ascii="仿宋_GB2312" w:hAnsi="仿宋_GB2312" w:eastAsia="仿宋_GB2312" w:cs="仿宋_GB2312"/>
          <w:bCs w:val="0"/>
          <w:sz w:val="32"/>
          <w:szCs w:val="32"/>
          <w:shd w:val="clear"/>
          <w:lang w:val="en-US" w:eastAsia="zh-CN"/>
        </w:rPr>
        <w:t>。现将有关事宜通知如下。</w:t>
      </w:r>
    </w:p>
    <w:p w14:paraId="70EDE80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黑体" w:cs="黑体"/>
          <w:bCs w:val="0"/>
          <w:sz w:val="32"/>
          <w:szCs w:val="32"/>
        </w:rPr>
      </w:pPr>
      <w:r>
        <w:rPr>
          <w:rFonts w:hint="eastAsia" w:ascii="FreeSerif" w:hAnsi="FreeSerif" w:eastAsia="黑体" w:cs="黑体"/>
          <w:bCs w:val="0"/>
          <w:sz w:val="32"/>
          <w:szCs w:val="32"/>
        </w:rPr>
        <w:t>一、工作任务</w:t>
      </w:r>
    </w:p>
    <w:p w14:paraId="695B901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（一）工作分工</w:t>
      </w:r>
    </w:p>
    <w:p w14:paraId="4C8820F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天津五十一站质量检验中心有限公司牵头负责开展抽（检）样工作（其中天津五十一站质量检验中心有限公司负责车用柴油检验工作，</w:t>
      </w:r>
      <w:r>
        <w:rPr>
          <w:rFonts w:hint="eastAsia" w:ascii="FreeSerif" w:hAnsi="FreeSerif" w:eastAsia="仿宋_GB2312" w:cs="仿宋_GB2312"/>
          <w:bCs w:val="0"/>
          <w:kern w:val="2"/>
          <w:sz w:val="32"/>
          <w:szCs w:val="32"/>
          <w:lang w:val="en-US" w:eastAsia="zh-CN" w:bidi="ar-SA"/>
        </w:rPr>
        <w:t>山西国海质检技术服务有限公司负责</w:t>
      </w:r>
      <w:r>
        <w:rPr>
          <w:rFonts w:hint="eastAsia" w:ascii="FreeSerif" w:hAnsi="FreeSerif" w:eastAsia="仿宋_GB2312" w:cs="仿宋_GB2312"/>
          <w:bCs w:val="0"/>
          <w:sz w:val="32"/>
          <w:szCs w:val="32"/>
          <w:lang w:val="en-US" w:eastAsia="zh-CN"/>
        </w:rPr>
        <w:t>车用柴油监督抽样工作；江苏威诺检测技术有限公司承接家电产品快速筛查工作；天纺标检测认证股份有限公司承接检验羊绒衫、羽绒服监督抽查检验工作）。各县（区）局、开发区分局协助配合在本行政区域内开展抽样工作；各县（区）局、市综合行政执法队承担本次监督抽查结果处理工作。</w:t>
      </w:r>
    </w:p>
    <w:p w14:paraId="32BFA21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生产者、销售者应当配合监督抽查工作，如实提供监督抽查所需材料和信息，不得以任何方式阻碍、拒绝监督抽查及风险监测。</w:t>
      </w:r>
    </w:p>
    <w:p w14:paraId="3054411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（二）抽查范围</w:t>
      </w:r>
    </w:p>
    <w:p w14:paraId="752CD90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大同市范围内生产领域、流通领域。</w:t>
      </w:r>
    </w:p>
    <w:p w14:paraId="3352F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（三）抽查依据</w:t>
      </w:r>
    </w:p>
    <w:p w14:paraId="6D14280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《中华人民共和国产品质量法》</w:t>
      </w:r>
    </w:p>
    <w:p w14:paraId="4204CF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《产品质量监督抽查管理暂行办法》</w:t>
      </w:r>
    </w:p>
    <w:p w14:paraId="61D67BB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《山西省市场监督管理局产品质量监督抽查工作规范（试行）》</w:t>
      </w:r>
    </w:p>
    <w:p w14:paraId="301DFC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《大同市</w:t>
      </w:r>
      <w:r>
        <w:rPr>
          <w:rFonts w:hint="eastAsia" w:ascii="仿宋_GB2312" w:hAnsi="仿宋_GB2312" w:eastAsia="仿宋_GB2312" w:cs="仿宋_GB2312"/>
          <w:bCs w:val="0"/>
          <w:sz w:val="32"/>
          <w:szCs w:val="32"/>
          <w:lang w:val="en-US" w:eastAsia="zh-CN"/>
        </w:rPr>
        <w:t>2025年</w:t>
      </w:r>
      <w:r>
        <w:rPr>
          <w:rFonts w:hint="eastAsia" w:ascii="FreeSerif" w:hAnsi="FreeSerif" w:eastAsia="仿宋_GB2312" w:cs="仿宋_GB2312"/>
          <w:bCs w:val="0"/>
          <w:sz w:val="32"/>
          <w:szCs w:val="32"/>
          <w:shd w:val="clear"/>
          <w:lang w:val="en-US" w:eastAsia="zh-CN"/>
        </w:rPr>
        <w:t>车用柴油、家电产品、羊绒衫、羽绒服等</w:t>
      </w:r>
      <w:r>
        <w:rPr>
          <w:rFonts w:hint="eastAsia" w:ascii="FreeSerif" w:hAnsi="FreeSerif" w:eastAsia="仿宋_GB2312" w:cs="仿宋_GB2312"/>
          <w:bCs w:val="0"/>
          <w:sz w:val="32"/>
          <w:szCs w:val="32"/>
          <w:lang w:val="en-US" w:eastAsia="zh-CN"/>
        </w:rPr>
        <w:t>产品质量监督抽查实施细则》</w:t>
      </w:r>
    </w:p>
    <w:p w14:paraId="7E322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（四）进度要求</w:t>
      </w:r>
    </w:p>
    <w:p w14:paraId="42FA215B">
      <w:pPr>
        <w:keepNext w:val="0"/>
        <w:keepLines w:val="0"/>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shd w:val="clear"/>
          <w:lang w:val="en-US" w:eastAsia="zh-CN"/>
        </w:rPr>
      </w:pPr>
      <w:r>
        <w:rPr>
          <w:rFonts w:hint="eastAsia" w:ascii="仿宋_GB2312" w:hAnsi="仿宋_GB2312" w:eastAsia="仿宋_GB2312" w:cs="仿宋_GB2312"/>
          <w:bCs w:val="0"/>
          <w:sz w:val="32"/>
          <w:szCs w:val="32"/>
          <w:shd w:val="clear"/>
          <w:lang w:val="en-US" w:eastAsia="zh-CN"/>
        </w:rPr>
        <w:t>2025年11月15日前，完成本次抽查所有检验报告和结果通知的送达工作，送达方式应当直接送达或EMS送达。11月20日前，完成e-CQS系统录入。</w:t>
      </w:r>
    </w:p>
    <w:p w14:paraId="052C6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黑体" w:cs="黑体"/>
          <w:bCs w:val="0"/>
          <w:sz w:val="32"/>
          <w:szCs w:val="32"/>
        </w:rPr>
      </w:pPr>
      <w:r>
        <w:rPr>
          <w:rFonts w:hint="eastAsia" w:ascii="FreeSerif" w:hAnsi="FreeSerif" w:eastAsia="黑体" w:cs="黑体"/>
          <w:bCs w:val="0"/>
          <w:sz w:val="32"/>
          <w:szCs w:val="32"/>
        </w:rPr>
        <w:t>二、工作重点</w:t>
      </w:r>
    </w:p>
    <w:p w14:paraId="4899034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监督抽检实行抽检分离制度。除现场检验外，抽样人员不得承担其抽样产品的检验工作。在生产领域抽查时，检验机构应当落实“双随机、一公开”监管要求。结合监督抽检产品实际，还应当实行盲样检验，检验机构应当严密组织好样品的二次编号、交接和检验等工作。承担产品质量监督抽检任务的检验机构应当拟定相关产品的监督抽检实施方案和监督抽检实施细则，并报市局审核备案，监督抽查实施细则应当在抽样前向社会公开。</w:t>
      </w:r>
    </w:p>
    <w:p w14:paraId="523A2D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（一）抽样工作</w:t>
      </w:r>
    </w:p>
    <w:p w14:paraId="2A65F5E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承担任务的检验机构应当按照有关规定随机抽取被抽样生产者、销售者，随机选派抽样人员。抽样人员应当熟悉相关法律、行政法规、部门规章以及标准等规定。</w:t>
      </w:r>
    </w:p>
    <w:p w14:paraId="6964FDC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抽样人员不得少于2人，并向被抽样生产者、销售者出示监督抽查通知书、抽样人员身份证明和授权委托书复印件。抽样人员应当按照监督抽查实施细则所规定的抽样方法进行抽样；使用规定的抽样文书记录抽样信息，并对抽样场所、贮存环境、被抽样产品的标识、库存数量、抽样过程等通过拍照或者录像的方式留存证据。抽样文书应当经抽样人员和被抽样生产者、销售者签字。被抽样生产者、销售者拒绝签字的，抽样人员应当在抽样文书上注明情况，必要时可以邀请有关人员作为见证人。抽样文书确需更正或者补充的，应当由被抽样生产者、销售者在更正或者补充处以签名、盖章等方式予以确认。</w:t>
      </w:r>
    </w:p>
    <w:p w14:paraId="75E58AD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宋体" w:cs="宋体"/>
          <w:b/>
          <w:bCs w:val="0"/>
          <w:sz w:val="32"/>
          <w:szCs w:val="32"/>
          <w:lang w:val="en-US" w:eastAsia="zh-CN"/>
        </w:rPr>
        <w:t>抽取样品。</w:t>
      </w:r>
      <w:r>
        <w:rPr>
          <w:rFonts w:hint="eastAsia" w:ascii="仿宋_GB2312" w:hAnsi="仿宋_GB2312" w:eastAsia="仿宋_GB2312" w:cs="仿宋_GB2312"/>
          <w:bCs w:val="0"/>
          <w:sz w:val="32"/>
          <w:szCs w:val="32"/>
          <w:lang w:val="en-US" w:eastAsia="zh-CN"/>
        </w:rPr>
        <w:t>样品分为检验样品和备用样品。抽样人员应当购买检验样品，并如实填写《产品质量监督抽查样品付费单》。购买检验样品的价格以生产、销售产品的标价为准；没有标价的，以同类产品的市场价格为准。备用样品由被抽样生产者、销售者先行无偿提供。抽样人员应当采取有效的防拆封措施，对检验样品和备用样品应当采取一次性抽样、分别封样，并由抽样人员和被抽样生产者、销售者签字确认。检验样品和备用样品应当由抽样人员携带或者寄递至检验机构。对于易碎品、危险化学品等对运输、贮存过程有特殊要求的样品，应当采取有效措施，保证样品的运输、贮存过程符合国家有关规定，不发生影响检验结论的变化。</w:t>
      </w:r>
    </w:p>
    <w:p w14:paraId="3AF0DD5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备用样品因不易运输、价值昂贵等需要存放在被抽样生产者、销售者处的，经市局批准后，应当予以封存，在包装箱、包装物开口处等重要部位加施封存标识，必要时，对易拆卸、易更换的部位加施封存标识，尽可能封存在企业摄像头可以覆盖并监控到的区域。封存后，应采取摄像、拍照等形式记录样品封存状态，同时给被抽样生产者、销售者出具《产品质量监督抽查样品封存和处置告知单》。</w:t>
      </w:r>
    </w:p>
    <w:p w14:paraId="2A12306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为保证抽查覆盖面，切实减轻企业负担，抽取样品时，原则上同一产品只抽查1个批次，1家企业抽取的样品不得多于2个批次。在大型商场、超市等抽样时，可根据其所销售产品的实际状况，抽取样品的数量应能够反映被抽查销售者的产品质量现状。</w:t>
      </w:r>
    </w:p>
    <w:p w14:paraId="063ED5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宋体" w:cs="宋体"/>
          <w:b/>
          <w:bCs/>
          <w:sz w:val="32"/>
          <w:szCs w:val="32"/>
          <w:lang w:eastAsia="zh-CN"/>
        </w:rPr>
        <w:t>问题处置。</w:t>
      </w:r>
      <w:r>
        <w:rPr>
          <w:rFonts w:hint="eastAsia" w:ascii="仿宋_GB2312" w:hAnsi="仿宋_GB2312" w:eastAsia="仿宋_GB2312" w:cs="仿宋_GB2312"/>
          <w:bCs w:val="0"/>
          <w:sz w:val="32"/>
          <w:szCs w:val="32"/>
          <w:lang w:val="en-US" w:eastAsia="zh-CN"/>
        </w:rPr>
        <w:t>抽样人员发现被抽样生产者、销售者涉嫌存在无证无照等无需检验即可判定违法的情形的，应当终止抽样，如实记录并填写《产品质量监督抽查样品问题报送单》，立即报告市局、并同时报告涉嫌违法的被抽样生产者、销售者所在地县级市场监管部门。</w:t>
      </w:r>
    </w:p>
    <w:p w14:paraId="55D668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宋体" w:cs="宋体"/>
          <w:b/>
          <w:bCs w:val="0"/>
          <w:sz w:val="32"/>
          <w:szCs w:val="32"/>
        </w:rPr>
        <w:t>样品确认。</w:t>
      </w:r>
      <w:r>
        <w:rPr>
          <w:rFonts w:hint="eastAsia" w:ascii="仿宋_GB2312" w:hAnsi="仿宋_GB2312" w:eastAsia="仿宋_GB2312" w:cs="仿宋_GB2312"/>
          <w:bCs w:val="0"/>
          <w:sz w:val="32"/>
          <w:szCs w:val="32"/>
          <w:lang w:val="en-US" w:eastAsia="zh-CN"/>
        </w:rPr>
        <w:t>后置样品确认环节，承担检验任务的机构应当通过抽查结果和检验报告并进行样品确认。</w:t>
      </w:r>
    </w:p>
    <w:p w14:paraId="396930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宋体" w:cs="宋体"/>
          <w:b/>
          <w:bCs w:val="0"/>
          <w:sz w:val="32"/>
          <w:szCs w:val="32"/>
        </w:rPr>
        <w:t>拒检认定。</w:t>
      </w:r>
      <w:r>
        <w:rPr>
          <w:rFonts w:hint="eastAsia" w:ascii="仿宋_GB2312" w:hAnsi="仿宋_GB2312" w:eastAsia="仿宋_GB2312" w:cs="仿宋_GB2312"/>
          <w:bCs w:val="0"/>
          <w:sz w:val="32"/>
          <w:szCs w:val="32"/>
          <w:lang w:val="en-US" w:eastAsia="zh-CN"/>
        </w:rPr>
        <w:t>被抽样生产者、销售者以明显不合理的样品价格等方式阻碍、拒绝或者不配合抽样的，抽样人员应当如实记录并填写《产品质量监督抽查拒检认定表》，并与被抽样生产者、销售者所在地县级市场监管部门共同认定，同时报送市局，以拒检不合格向社会公布。</w:t>
      </w:r>
    </w:p>
    <w:p w14:paraId="79C75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抽样工作结束后，按照有关规定，抽样人员应当将《产品质量监督抽查通知书》、《产品质量监督抽查/复查抽样单》等留给被抽样生产者、销售者。</w:t>
      </w:r>
    </w:p>
    <w:p w14:paraId="11CC5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（二）检验工作</w:t>
      </w:r>
    </w:p>
    <w:p w14:paraId="7BF1B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承担任务的检验机构应当严格按照相关产品质量监督抽查实施方案组织好样品的接收、登记、检查、保存、检验、处置等工作，确保检验结果的公正、科学、严谨。</w:t>
      </w:r>
    </w:p>
    <w:p w14:paraId="152EBD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宋体" w:cs="宋体"/>
          <w:b/>
          <w:bCs/>
          <w:sz w:val="32"/>
          <w:szCs w:val="32"/>
          <w:lang w:val="en-US" w:eastAsia="zh-CN"/>
        </w:rPr>
        <w:t>样品接收。</w:t>
      </w:r>
      <w:r>
        <w:rPr>
          <w:rFonts w:hint="eastAsia" w:ascii="仿宋_GB2312" w:hAnsi="仿宋_GB2312" w:eastAsia="仿宋_GB2312" w:cs="仿宋_GB2312"/>
          <w:bCs w:val="0"/>
          <w:sz w:val="32"/>
          <w:szCs w:val="32"/>
          <w:lang w:val="en-US" w:eastAsia="zh-CN"/>
        </w:rPr>
        <w:t>检验人员收到样品后，应当通过拍照或者录像的方式检查记录样品的外观、状态、封条有无破损以及其他可能对检验结论产生影响的情形，并核对样品与抽样文书的记录是否相符。对于抽样不规范的样品，检验人员应当拒绝接收并书面说明理由，同时书面报市局。</w:t>
      </w:r>
    </w:p>
    <w:p w14:paraId="30CD7D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宋体" w:cs="宋体"/>
          <w:b/>
          <w:bCs/>
          <w:sz w:val="32"/>
          <w:szCs w:val="32"/>
        </w:rPr>
        <w:t>样品检验。</w:t>
      </w:r>
      <w:r>
        <w:rPr>
          <w:rFonts w:hint="eastAsia" w:ascii="仿宋_GB2312" w:hAnsi="仿宋_GB2312" w:eastAsia="仿宋_GB2312" w:cs="仿宋_GB2312"/>
          <w:bCs w:val="0"/>
          <w:sz w:val="32"/>
          <w:szCs w:val="32"/>
          <w:lang w:val="en-US" w:eastAsia="zh-CN"/>
        </w:rPr>
        <w:t>检验人员应当按照监督抽查实施细则所规定的检验项目、检验方法、判定规则等进行检验。检验机构出具检验报告，应当内容真实齐全、数据准确、结论明确，并按照有关规定签字、盖章。检验机构和检验人员应当对其出具的检验报告负责。</w:t>
      </w:r>
    </w:p>
    <w:p w14:paraId="71B693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被抽样产品实行生产许可、强制性产品认证等管理的，检验人员应当在检验前核实样品的生产者是否符合相应要求。如果发现样品的生产者涉嫌存在无证无照等无需检验即可判定违法的情形的，应当终止检验，并书面报市局。</w:t>
      </w:r>
    </w:p>
    <w:p w14:paraId="3DB7C3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宋体" w:cs="宋体"/>
          <w:b/>
          <w:bCs w:val="0"/>
          <w:sz w:val="32"/>
          <w:szCs w:val="32"/>
          <w:lang w:val="en-US" w:eastAsia="zh-CN"/>
        </w:rPr>
        <w:t>结果报送。</w:t>
      </w:r>
      <w:r>
        <w:rPr>
          <w:rFonts w:hint="eastAsia" w:ascii="FreeSerif" w:hAnsi="FreeSerif" w:eastAsia="仿宋_GB2312" w:cs="仿宋_GB2312"/>
          <w:bCs w:val="0"/>
          <w:sz w:val="32"/>
          <w:szCs w:val="32"/>
          <w:lang w:val="en-US" w:eastAsia="zh-CN"/>
        </w:rPr>
        <w:t>检验机构应当在规定时间内报送检验报告及有关材料。</w:t>
      </w:r>
      <w:r>
        <w:rPr>
          <w:rFonts w:hint="eastAsia" w:ascii="FreeSerif" w:hAnsi="FreeSerif" w:eastAsia="仿宋_GB2312" w:cs="仿宋_GB2312"/>
          <w:b/>
          <w:bCs/>
          <w:sz w:val="32"/>
          <w:szCs w:val="32"/>
          <w:lang w:val="en-US" w:eastAsia="zh-CN"/>
        </w:rPr>
        <w:t>一是</w:t>
      </w:r>
      <w:r>
        <w:rPr>
          <w:rFonts w:hint="eastAsia" w:ascii="FreeSerif" w:hAnsi="FreeSerif" w:eastAsia="仿宋_GB2312" w:cs="仿宋_GB2312"/>
          <w:bCs w:val="0"/>
          <w:sz w:val="32"/>
          <w:szCs w:val="32"/>
          <w:lang w:val="en-US" w:eastAsia="zh-CN"/>
        </w:rPr>
        <w:t>将检验合格报告寄送至被抽样生产者（销售者）和企业所在地市场监管局。</w:t>
      </w:r>
      <w:r>
        <w:rPr>
          <w:rFonts w:hint="eastAsia" w:ascii="FreeSerif" w:hAnsi="FreeSerif" w:eastAsia="仿宋_GB2312" w:cs="仿宋_GB2312"/>
          <w:b/>
          <w:bCs/>
          <w:sz w:val="32"/>
          <w:szCs w:val="32"/>
          <w:lang w:val="en-US" w:eastAsia="zh-CN"/>
        </w:rPr>
        <w:t>二是</w:t>
      </w:r>
      <w:r>
        <w:rPr>
          <w:rFonts w:hint="eastAsia" w:ascii="FreeSerif" w:hAnsi="FreeSerif" w:eastAsia="仿宋_GB2312" w:cs="仿宋_GB2312"/>
          <w:bCs w:val="0"/>
          <w:sz w:val="32"/>
          <w:szCs w:val="32"/>
          <w:lang w:val="en-US" w:eastAsia="zh-CN"/>
        </w:rPr>
        <w:t>将检验结果告知书、检验不合格报告和抽样单复印件寄送至被抽样企业（在流通领域抽样的，不合格报告寄送销售企业的同时寄送产品标称的生产企业）。</w:t>
      </w:r>
      <w:r>
        <w:rPr>
          <w:rFonts w:hint="eastAsia" w:ascii="FreeSerif" w:hAnsi="FreeSerif" w:eastAsia="仿宋_GB2312" w:cs="仿宋_GB2312"/>
          <w:b/>
          <w:bCs/>
          <w:sz w:val="32"/>
          <w:szCs w:val="32"/>
          <w:lang w:val="en-US" w:eastAsia="zh-CN"/>
        </w:rPr>
        <w:t>三是</w:t>
      </w:r>
      <w:r>
        <w:rPr>
          <w:rFonts w:hint="eastAsia" w:ascii="FreeSerif" w:hAnsi="FreeSerif" w:eastAsia="仿宋_GB2312" w:cs="仿宋_GB2312"/>
          <w:bCs w:val="0"/>
          <w:sz w:val="32"/>
          <w:szCs w:val="32"/>
          <w:lang w:val="en-US" w:eastAsia="zh-CN"/>
        </w:rPr>
        <w:t>将检验不合格报告在报告出具后尽快寄送至市局质量监管科（包括检验报告一式三份和产品抽样单）。</w:t>
      </w:r>
      <w:r>
        <w:rPr>
          <w:rFonts w:hint="eastAsia" w:ascii="FreeSerif" w:hAnsi="FreeSerif" w:eastAsia="仿宋_GB2312" w:cs="仿宋_GB2312"/>
          <w:b/>
          <w:bCs/>
          <w:sz w:val="32"/>
          <w:szCs w:val="32"/>
          <w:lang w:val="en-US" w:eastAsia="zh-CN"/>
        </w:rPr>
        <w:t>四是</w:t>
      </w:r>
      <w:r>
        <w:rPr>
          <w:rFonts w:hint="eastAsia" w:ascii="FreeSerif" w:hAnsi="FreeSerif" w:eastAsia="仿宋_GB2312" w:cs="仿宋_GB2312"/>
          <w:bCs w:val="0"/>
          <w:sz w:val="32"/>
          <w:szCs w:val="32"/>
          <w:lang w:val="en-US" w:eastAsia="zh-CN"/>
        </w:rPr>
        <w:t>将质量分析报告和检验情况汇总表（电子版、加盖公章的纸质版）</w:t>
      </w:r>
      <w:r>
        <w:rPr>
          <w:rFonts w:hint="eastAsia" w:ascii="仿宋_GB2312" w:hAnsi="仿宋_GB2312" w:eastAsia="仿宋_GB2312" w:cs="仿宋_GB2312"/>
          <w:color w:val="000000"/>
          <w:kern w:val="0"/>
          <w:sz w:val="31"/>
          <w:szCs w:val="31"/>
          <w:lang w:val="en-US" w:eastAsia="zh-CN" w:bidi="ar"/>
        </w:rPr>
        <w:t>于11月20日前报市局。</w:t>
      </w:r>
      <w:r>
        <w:rPr>
          <w:rFonts w:hint="eastAsia" w:ascii="仿宋_GB2312" w:hAnsi="仿宋_GB2312" w:eastAsia="仿宋_GB2312" w:cs="仿宋_GB2312"/>
          <w:b/>
          <w:bCs/>
          <w:color w:val="000000"/>
          <w:kern w:val="0"/>
          <w:sz w:val="31"/>
          <w:szCs w:val="31"/>
          <w:lang w:val="en-US" w:eastAsia="zh-CN" w:bidi="ar"/>
        </w:rPr>
        <w:t>五</w:t>
      </w:r>
      <w:r>
        <w:rPr>
          <w:rFonts w:ascii="仿宋_GB2312" w:hAnsi="仿宋_GB2312" w:eastAsia="仿宋_GB2312" w:cs="仿宋_GB2312"/>
          <w:b/>
          <w:bCs/>
          <w:color w:val="000000"/>
          <w:kern w:val="0"/>
          <w:sz w:val="31"/>
          <w:szCs w:val="31"/>
          <w:lang w:val="en-US" w:eastAsia="zh-CN" w:bidi="ar"/>
        </w:rPr>
        <w:t>是</w:t>
      </w:r>
      <w:r>
        <w:rPr>
          <w:rFonts w:ascii="仿宋_GB2312" w:hAnsi="仿宋_GB2312" w:eastAsia="仿宋_GB2312" w:cs="仿宋_GB2312"/>
          <w:color w:val="000000"/>
          <w:kern w:val="0"/>
          <w:sz w:val="31"/>
          <w:szCs w:val="31"/>
          <w:lang w:val="en-US" w:eastAsia="zh-CN" w:bidi="ar"/>
        </w:rPr>
        <w:t>将全部抽检资料（合格报告、不合格报告、抽样单）装订成合订本报</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局。</w:t>
      </w:r>
    </w:p>
    <w:p w14:paraId="2A85EC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宋体" w:cs="宋体"/>
          <w:b/>
          <w:bCs w:val="0"/>
          <w:sz w:val="32"/>
          <w:szCs w:val="32"/>
        </w:rPr>
        <w:t>样品处置。</w:t>
      </w:r>
      <w:r>
        <w:rPr>
          <w:rFonts w:hint="eastAsia" w:ascii="FreeSerif" w:hAnsi="FreeSerif" w:eastAsia="仿宋_GB2312" w:cs="仿宋_GB2312"/>
          <w:bCs w:val="0"/>
          <w:sz w:val="32"/>
          <w:szCs w:val="32"/>
          <w:lang w:val="en-US" w:eastAsia="zh-CN"/>
        </w:rPr>
        <w:t>检验任务结束后，承担任务的检验机构应当根据相关规定处理样品，并将处理情况书面报市局。</w:t>
      </w:r>
    </w:p>
    <w:p w14:paraId="28C3CB7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1.未付费样品处置。检验结果为合格的未付费样品，检验机构应当在检验结果异议期满后及时退还受检单位；检验结果为不合格的未付费样品，检验机构应当在检验结果异议期满后交由负责结果处理的市场监督管理部门依法处理。</w:t>
      </w:r>
    </w:p>
    <w:p w14:paraId="3BF71D7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2.付费样品处置。应当结合实际参照省局《产品质量监督抽查和风险监测样品处置规定（试行）》要求执行。</w:t>
      </w:r>
    </w:p>
    <w:p w14:paraId="6837F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楷体_GB2312" w:cs="楷体_GB2312"/>
          <w:b w:val="0"/>
          <w:bCs w:val="0"/>
          <w:sz w:val="32"/>
          <w:szCs w:val="32"/>
        </w:rPr>
      </w:pPr>
      <w:r>
        <w:rPr>
          <w:rFonts w:hint="eastAsia" w:ascii="FreeSerif" w:hAnsi="FreeSerif" w:eastAsia="楷体_GB2312" w:cs="楷体_GB2312"/>
          <w:b w:val="0"/>
          <w:bCs w:val="0"/>
          <w:sz w:val="32"/>
          <w:szCs w:val="32"/>
        </w:rPr>
        <w:t>（三）后处理工作</w:t>
      </w:r>
    </w:p>
    <w:p w14:paraId="1ACE1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依据《中华人民共和国产品质量法》《产品质量监督抽查管理暂行办法》《产品质量监督抽查不合格产品后处理工作暂行规定》等有关法律法规和规章，市局将汇总分析监督抽查结果，依法向社会发布监督抽查结果公告。</w:t>
      </w:r>
    </w:p>
    <w:p w14:paraId="5FFF2F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负责结果处理的市场监管部门在接到不合格产品处理通知后，应当责令生产者立即停止生产同类产品，销售者立即停止销售同类产品，依法依规对不合格产品的受检企业和拒检企业进行后处理，建立健全不合格产品追溯机制、案件查办机制、不合格产品生产销售企业质量分析会机制、结果反馈机制，不断强化产品质量监管。后处理工作要明确专人负责，严格按规定时限上报处理结果。检验机构应向不合格产品生产、销售企业提出《产品质量改进建议书》。</w:t>
      </w:r>
    </w:p>
    <w:p w14:paraId="71999658">
      <w:pPr>
        <w:keepNext w:val="0"/>
        <w:keepLines w:val="0"/>
        <w:widowControl/>
        <w:suppressLineNumbers w:val="0"/>
        <w:ind w:firstLine="640" w:firstLineChars="200"/>
        <w:jc w:val="left"/>
      </w:pPr>
      <w:r>
        <w:rPr>
          <w:rFonts w:hint="eastAsia" w:ascii="FreeSerif" w:hAnsi="FreeSerif" w:eastAsia="楷体_GB2312" w:cs="楷体_GB2312"/>
          <w:b w:val="0"/>
          <w:bCs w:val="0"/>
          <w:sz w:val="32"/>
          <w:szCs w:val="32"/>
          <w:lang w:val="en-US" w:eastAsia="zh-CN"/>
        </w:rPr>
        <w:t>（四）信息录入工作</w:t>
      </w:r>
      <w:r>
        <w:rPr>
          <w:rFonts w:ascii="华文楷体" w:hAnsi="华文楷体" w:eastAsia="华文楷体" w:cs="华文楷体"/>
          <w:color w:val="000000"/>
          <w:kern w:val="0"/>
          <w:sz w:val="31"/>
          <w:szCs w:val="31"/>
          <w:lang w:val="en-US" w:eastAsia="zh-CN" w:bidi="ar"/>
        </w:rPr>
        <w:t xml:space="preserve"> </w:t>
      </w:r>
    </w:p>
    <w:p w14:paraId="26CF75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承担产品质量监督抽查任务的检验机构应同步完成</w:t>
      </w:r>
      <w:r>
        <w:rPr>
          <w:rFonts w:hint="eastAsia" w:ascii="仿宋_GB2312" w:hAnsi="仿宋_GB2312" w:eastAsia="仿宋_GB2312" w:cs="仿宋_GB2312"/>
          <w:bCs w:val="0"/>
          <w:sz w:val="32"/>
          <w:szCs w:val="32"/>
          <w:lang w:val="en-US" w:eastAsia="zh-CN"/>
        </w:rPr>
        <w:t>e-CQS</w:t>
      </w:r>
      <w:r>
        <w:rPr>
          <w:rFonts w:hint="eastAsia" w:ascii="FreeSerif" w:hAnsi="FreeSerif" w:eastAsia="仿宋_GB2312" w:cs="仿宋_GB2312"/>
          <w:bCs w:val="0"/>
          <w:sz w:val="32"/>
          <w:szCs w:val="32"/>
          <w:lang w:val="en-US" w:eastAsia="zh-CN"/>
        </w:rPr>
        <w:t>系统录入工作。为加强对监督抽查过程的监管，抽样机构应安排专人负责</w:t>
      </w:r>
      <w:r>
        <w:rPr>
          <w:rFonts w:hint="eastAsia" w:ascii="仿宋_GB2312" w:hAnsi="仿宋_GB2312" w:eastAsia="仿宋_GB2312" w:cs="仿宋_GB2312"/>
          <w:bCs w:val="0"/>
          <w:sz w:val="32"/>
          <w:szCs w:val="32"/>
          <w:lang w:val="en-US" w:eastAsia="zh-CN"/>
        </w:rPr>
        <w:t>e-CQS</w:t>
      </w:r>
      <w:r>
        <w:rPr>
          <w:rFonts w:hint="eastAsia" w:ascii="FreeSerif" w:hAnsi="FreeSerif" w:eastAsia="仿宋_GB2312" w:cs="仿宋_GB2312"/>
          <w:bCs w:val="0"/>
          <w:sz w:val="32"/>
          <w:szCs w:val="32"/>
          <w:lang w:val="en-US" w:eastAsia="zh-CN"/>
        </w:rPr>
        <w:t>系统录入工作，务于当日完成前一天抽样信息的录入，在检验工作结束后三个工作日内完成检验结果的录入。</w:t>
      </w:r>
    </w:p>
    <w:p w14:paraId="2BB45659">
      <w:pPr>
        <w:keepNext w:val="0"/>
        <w:keepLines w:val="0"/>
        <w:widowControl/>
        <w:suppressLineNumbers w:val="0"/>
        <w:ind w:firstLine="640" w:firstLineChars="200"/>
        <w:jc w:val="left"/>
      </w:pPr>
      <w:r>
        <w:rPr>
          <w:rFonts w:hint="eastAsia" w:ascii="FreeSerif" w:hAnsi="FreeSerif" w:eastAsia="仿宋_GB2312" w:cs="仿宋_GB2312"/>
          <w:bCs w:val="0"/>
          <w:sz w:val="32"/>
          <w:szCs w:val="32"/>
          <w:lang w:val="en-US" w:eastAsia="zh-CN"/>
        </w:rPr>
        <w:t>本次监督抽查所需样品的抽取、购买、运输、检验、处置以及复查等工作费用由财政划拨，不得向被抽样生产者、销售者收取任何费用。</w:t>
      </w:r>
    </w:p>
    <w:p w14:paraId="29727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黑体" w:cs="黑体"/>
          <w:bCs w:val="0"/>
          <w:sz w:val="32"/>
          <w:szCs w:val="32"/>
        </w:rPr>
      </w:pPr>
      <w:r>
        <w:rPr>
          <w:rFonts w:hint="eastAsia" w:ascii="FreeSerif" w:hAnsi="FreeSerif" w:eastAsia="黑体" w:cs="黑体"/>
          <w:bCs w:val="0"/>
          <w:sz w:val="32"/>
          <w:szCs w:val="32"/>
        </w:rPr>
        <w:t>三、有关要求</w:t>
      </w:r>
    </w:p>
    <w:p w14:paraId="1823D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FreeSerif" w:hAnsi="FreeSerif" w:eastAsia="楷体_GB2312" w:cs="楷体_GB2312"/>
          <w:bCs w:val="0"/>
          <w:sz w:val="32"/>
          <w:szCs w:val="32"/>
          <w:lang w:val="en-US" w:eastAsia="zh-CN"/>
        </w:rPr>
        <w:t>（一）提高政治站位，加强组织领导</w:t>
      </w:r>
      <w:r>
        <w:rPr>
          <w:rFonts w:hint="eastAsia" w:ascii="仿宋_GB2312" w:hAnsi="仿宋_GB2312" w:eastAsia="仿宋_GB2312" w:cs="仿宋_GB2312"/>
          <w:bCs w:val="0"/>
          <w:sz w:val="32"/>
          <w:szCs w:val="32"/>
          <w:lang w:val="en-US" w:eastAsia="zh-CN"/>
        </w:rPr>
        <w:t>。各县、区局，承担监督抽检任务的检验机构要高度重视，统筹做好本次监督抽查工作，组织好抽样、检验和结果处理等相关工作，确保产品质量安全。</w:t>
      </w:r>
    </w:p>
    <w:p w14:paraId="34742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楷体_GB2312" w:cs="楷体_GB2312"/>
          <w:bCs w:val="0"/>
          <w:sz w:val="32"/>
          <w:szCs w:val="32"/>
          <w:lang w:val="en-US" w:eastAsia="zh-CN"/>
        </w:rPr>
        <w:t>（二）突出工作重点，依法依规落实。</w:t>
      </w:r>
      <w:r>
        <w:rPr>
          <w:rFonts w:hint="eastAsia" w:ascii="FreeSerif" w:hAnsi="FreeSerif" w:eastAsia="仿宋_GB2312" w:cs="仿宋_GB2312"/>
          <w:bCs w:val="0"/>
          <w:sz w:val="32"/>
          <w:szCs w:val="32"/>
          <w:lang w:val="en-US" w:eastAsia="zh-CN"/>
        </w:rPr>
        <w:t>相关工作人员要抓住工作重点，严格遵守监督抽查工作的有关规定要求，严肃工作纪律，保证抽取样品覆盖性、代表性、真实性的同时，确保监督抽查结果公正、科学、严谨。结果处理工作效果明显，坚决防止以罚代改、不罚不改、以改代罚的现象发生。</w:t>
      </w:r>
    </w:p>
    <w:p w14:paraId="5641E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楷体_GB2312" w:cs="楷体_GB2312"/>
          <w:bCs w:val="0"/>
          <w:sz w:val="32"/>
          <w:szCs w:val="32"/>
          <w:lang w:val="en-US" w:eastAsia="zh-CN"/>
        </w:rPr>
        <w:t>（三）强化责任意识，确保有序推进。</w:t>
      </w:r>
      <w:r>
        <w:rPr>
          <w:rFonts w:hint="eastAsia" w:ascii="FreeSerif" w:hAnsi="FreeSerif" w:eastAsia="仿宋_GB2312" w:cs="仿宋_GB2312"/>
          <w:bCs w:val="0"/>
          <w:sz w:val="32"/>
          <w:szCs w:val="32"/>
          <w:lang w:val="en-US" w:eastAsia="zh-CN"/>
        </w:rPr>
        <w:t>在监督抽查抽样、检验、结果处理等工作环节，各单位要强化责任意识，健全和完善责任追究机制，明确每项具体工作的负责人，确保本次监督抽查任务的有序推进。</w:t>
      </w:r>
    </w:p>
    <w:p w14:paraId="298AA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p>
    <w:p w14:paraId="0C875D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附件：</w:t>
      </w:r>
    </w:p>
    <w:p w14:paraId="33E0E921">
      <w:pPr>
        <w:keepNext w:val="0"/>
        <w:keepLines w:val="0"/>
        <w:pageBreakBefore w:val="0"/>
        <w:widowControl w:val="0"/>
        <w:shd w:val="clear"/>
        <w:kinsoku/>
        <w:wordWrap/>
        <w:overflowPunct/>
        <w:topLinePunct w:val="0"/>
        <w:autoSpaceDE/>
        <w:autoSpaceDN/>
        <w:bidi w:val="0"/>
        <w:adjustRightInd/>
        <w:snapToGrid/>
        <w:spacing w:line="560" w:lineRule="exact"/>
        <w:ind w:left="1597" w:leftChars="608" w:hanging="320" w:hangingChars="1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1、2025年车用柴油、家电产品、羊绒衫、羽绒服等质量监督抽查计划</w:t>
      </w:r>
    </w:p>
    <w:p w14:paraId="6F84F612">
      <w:pPr>
        <w:keepNext w:val="0"/>
        <w:keepLines w:val="0"/>
        <w:pageBreakBefore w:val="0"/>
        <w:widowControl w:val="0"/>
        <w:shd w:val="clear"/>
        <w:kinsoku/>
        <w:wordWrap/>
        <w:overflowPunct/>
        <w:topLinePunct w:val="0"/>
        <w:autoSpaceDE/>
        <w:autoSpaceDN/>
        <w:bidi w:val="0"/>
        <w:adjustRightInd/>
        <w:snapToGrid/>
        <w:spacing w:line="560" w:lineRule="exact"/>
        <w:ind w:firstLine="1280" w:firstLineChars="400"/>
        <w:jc w:val="left"/>
        <w:textAlignment w:val="auto"/>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2、产品质量改进建议书</w:t>
      </w:r>
    </w:p>
    <w:p w14:paraId="00C042C2">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FreeSerif" w:hAnsi="FreeSerif" w:eastAsia="宋体" w:cs="宋体"/>
          <w:bCs w:val="0"/>
          <w:sz w:val="32"/>
          <w:szCs w:val="32"/>
          <w:lang w:eastAsia="zh-CN"/>
        </w:rPr>
      </w:pPr>
    </w:p>
    <w:p w14:paraId="4B69AA93">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FreeSerif" w:hAnsi="FreeSerif" w:eastAsia="仿宋_GB2312" w:cs="仿宋_GB2312"/>
          <w:bCs w:val="0"/>
          <w:sz w:val="32"/>
          <w:szCs w:val="32"/>
          <w:lang w:val="en-US" w:eastAsia="zh-CN"/>
        </w:rPr>
      </w:pPr>
    </w:p>
    <w:p w14:paraId="51EFFC78">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大同市市场监督管理局</w:t>
      </w:r>
    </w:p>
    <w:p w14:paraId="377A6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default" w:ascii="FreeSerif" w:hAnsi="FreeSerif" w:eastAsia="仿宋_GB2312" w:cs="仿宋_GB2312"/>
          <w:bCs w:val="0"/>
          <w:sz w:val="32"/>
          <w:szCs w:val="32"/>
          <w:lang w:val="en" w:eastAsia="zh-CN"/>
        </w:rPr>
        <w:t xml:space="preserve">                        </w:t>
      </w:r>
      <w:r>
        <w:rPr>
          <w:rFonts w:hint="eastAsia" w:ascii="FreeSerif" w:hAnsi="FreeSerif"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lang w:val="en-US" w:eastAsia="zh-CN"/>
        </w:rPr>
        <w:t xml:space="preserve"> 2025年9月28日</w:t>
      </w:r>
    </w:p>
    <w:p w14:paraId="4F820BA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FreeSerif" w:hAnsi="FreeSerif"/>
        </w:rPr>
      </w:pPr>
    </w:p>
    <w:p w14:paraId="44E08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p>
    <w:p w14:paraId="21C27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reeSerif" w:hAnsi="FreeSerif" w:eastAsia="仿宋_GB2312" w:cs="仿宋_GB2312"/>
          <w:bCs w:val="0"/>
          <w:sz w:val="32"/>
          <w:szCs w:val="32"/>
          <w:lang w:val="en-US" w:eastAsia="zh-CN"/>
        </w:rPr>
      </w:pPr>
      <w:r>
        <w:rPr>
          <w:rFonts w:hint="eastAsia" w:ascii="FreeSerif" w:hAnsi="FreeSerif" w:eastAsia="仿宋_GB2312" w:cs="仿宋_GB2312"/>
          <w:bCs w:val="0"/>
          <w:sz w:val="32"/>
          <w:szCs w:val="32"/>
          <w:lang w:val="en-US" w:eastAsia="zh-CN"/>
        </w:rPr>
        <w:t>（此件公开发布）</w:t>
      </w:r>
    </w:p>
    <w:p w14:paraId="386398FA">
      <w:pPr>
        <w:pStyle w:val="2"/>
        <w:rPr>
          <w:rFonts w:hint="eastAsia" w:ascii="仿宋_GB2312" w:hAnsi="仿宋_GB2312" w:eastAsia="仿宋_GB2312" w:cs="仿宋_GB2312"/>
          <w:bCs w:val="0"/>
          <w:sz w:val="32"/>
          <w:szCs w:val="32"/>
          <w:lang w:val="en-US" w:eastAsia="zh-CN"/>
        </w:rPr>
      </w:pPr>
    </w:p>
    <w:p w14:paraId="74E41BBA">
      <w:pPr>
        <w:pStyle w:val="2"/>
        <w:rPr>
          <w:rFonts w:hint="eastAsia" w:ascii="仿宋_GB2312" w:hAnsi="仿宋_GB2312" w:eastAsia="仿宋_GB2312" w:cs="仿宋_GB2312"/>
          <w:bCs w:val="0"/>
          <w:sz w:val="32"/>
          <w:szCs w:val="32"/>
          <w:lang w:val="en-US" w:eastAsia="zh-CN"/>
        </w:rPr>
      </w:pPr>
    </w:p>
    <w:p w14:paraId="456575D6">
      <w:pPr>
        <w:pStyle w:val="2"/>
        <w:rPr>
          <w:rFonts w:hint="eastAsia" w:ascii="仿宋_GB2312" w:hAnsi="仿宋_GB2312" w:eastAsia="仿宋_GB2312" w:cs="仿宋_GB2312"/>
          <w:bCs w:val="0"/>
          <w:sz w:val="32"/>
          <w:szCs w:val="32"/>
          <w:lang w:val="en-US" w:eastAsia="zh-CN"/>
        </w:rPr>
      </w:pPr>
    </w:p>
    <w:p w14:paraId="3B5A6C97">
      <w:pPr>
        <w:pStyle w:val="2"/>
        <w:rPr>
          <w:rFonts w:hint="eastAsia" w:ascii="仿宋_GB2312" w:hAnsi="仿宋_GB2312" w:eastAsia="仿宋_GB2312" w:cs="仿宋_GB2312"/>
          <w:bCs w:val="0"/>
          <w:sz w:val="32"/>
          <w:szCs w:val="32"/>
          <w:lang w:val="en-US" w:eastAsia="zh-CN"/>
        </w:rPr>
      </w:pPr>
    </w:p>
    <w:p w14:paraId="7218D4A0">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54DFC73C">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4A740F2">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6607750F">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205D4662">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48FA7610">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0E5BE7A4">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5C860E56">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3B69F31D">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7CD84D5">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249312E4">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066B558">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029E3F30">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7CD3601">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24821356">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249D9AF8">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5E2669E">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38108AF6">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594ACE2">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0B6D4031">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tbl>
      <w:tblPr>
        <w:tblStyle w:val="12"/>
        <w:tblpPr w:leftFromText="180" w:rightFromText="180" w:vertAnchor="text" w:horzAnchor="page" w:tblpX="1453" w:tblpY="471"/>
        <w:tblOverlap w:val="never"/>
        <w:tblW w:w="882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4C5F8BB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7" w:hRule="atLeast"/>
        </w:trPr>
        <w:tc>
          <w:tcPr>
            <w:tcW w:w="8820" w:type="dxa"/>
            <w:tcBorders>
              <w:tl2br w:val="nil"/>
              <w:tr2bl w:val="nil"/>
            </w:tcBorders>
            <w:vAlign w:val="top"/>
          </w:tcPr>
          <w:p w14:paraId="61E15875">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FreeSerif" w:hAnsi="FreeSerif" w:eastAsia="仿宋_GB2312" w:cs="Times New Roman"/>
                <w:kern w:val="0"/>
                <w:sz w:val="28"/>
                <w:szCs w:val="28"/>
                <w:lang w:eastAsia="zh-CN"/>
              </w:rPr>
            </w:pPr>
            <w:r>
              <w:rPr>
                <w:rFonts w:hint="eastAsia" w:ascii="FreeSerif" w:hAnsi="FreeSerif" w:eastAsia="仿宋_GB2312" w:cs="Times New Roman"/>
                <w:kern w:val="0"/>
                <w:sz w:val="28"/>
                <w:szCs w:val="28"/>
                <w:lang w:eastAsia="zh-CN"/>
              </w:rPr>
              <w:t>抄送：驻局纪检监察组</w:t>
            </w:r>
          </w:p>
        </w:tc>
      </w:tr>
      <w:tr w14:paraId="44B2960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7" w:hRule="atLeast"/>
        </w:trPr>
        <w:tc>
          <w:tcPr>
            <w:tcW w:w="8820" w:type="dxa"/>
            <w:tcBorders>
              <w:tl2br w:val="nil"/>
              <w:tr2bl w:val="nil"/>
            </w:tcBorders>
            <w:vAlign w:val="top"/>
          </w:tcPr>
          <w:p w14:paraId="7960F6C2">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FreeSerif" w:hAnsi="FreeSerif" w:eastAsia="仿宋_GB2312" w:cs="Times New Roman"/>
                <w:kern w:val="0"/>
                <w:sz w:val="28"/>
                <w:szCs w:val="28"/>
                <w:lang w:eastAsia="zh-CN"/>
              </w:rPr>
            </w:pPr>
            <w:r>
              <w:rPr>
                <w:rFonts w:hint="eastAsia" w:ascii="FreeSerif" w:hAnsi="FreeSerif" w:eastAsia="仿宋_GB2312" w:cs="Times New Roman"/>
                <w:kern w:val="0"/>
                <w:sz w:val="28"/>
                <w:szCs w:val="28"/>
                <w:lang w:eastAsia="zh-CN"/>
              </w:rPr>
              <w:t>大同市市场监督管理局办公室</w:t>
            </w:r>
            <w:r>
              <w:rPr>
                <w:rFonts w:hint="eastAsia" w:ascii="FreeSerif" w:hAnsi="FreeSerif" w:eastAsia="仿宋_GB2312" w:cs="Times New Roman"/>
                <w:kern w:val="0"/>
                <w:sz w:val="28"/>
                <w:szCs w:val="28"/>
                <w:lang w:val="en-US" w:eastAsia="zh-CN"/>
              </w:rPr>
              <w:t xml:space="preserve">            </w:t>
            </w:r>
            <w:r>
              <w:rPr>
                <w:rFonts w:hint="eastAsia" w:ascii="仿宋_GB2312" w:hAnsi="仿宋_GB2312" w:eastAsia="仿宋_GB2312" w:cs="仿宋_GB2312"/>
                <w:bCs w:val="0"/>
                <w:sz w:val="32"/>
                <w:szCs w:val="32"/>
                <w:lang w:val="en-US" w:eastAsia="zh-CN"/>
              </w:rPr>
              <w:t xml:space="preserve">  2025年9月28日印发</w:t>
            </w:r>
          </w:p>
        </w:tc>
      </w:tr>
    </w:tbl>
    <w:p w14:paraId="77D00FDE">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7E90D5F3">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4198073D">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557E387">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附件1</w:t>
      </w:r>
    </w:p>
    <w:p w14:paraId="36806604">
      <w:pPr>
        <w:pStyle w:val="2"/>
        <w:rPr>
          <w:rFonts w:hint="eastAsia"/>
          <w:lang w:val="en-US" w:eastAsia="zh-CN"/>
        </w:rPr>
      </w:pPr>
      <w:r>
        <w:rPr>
          <w:rFonts w:hint="eastAsia" w:ascii="仿宋_GB2312" w:hAnsi="仿宋_GB2312" w:eastAsia="仿宋_GB2312" w:cs="仿宋_GB2312"/>
          <w:bCs w:val="0"/>
          <w:sz w:val="32"/>
          <w:szCs w:val="32"/>
          <w:lang w:val="en-US" w:eastAsia="zh-CN"/>
        </w:rPr>
        <w:t>2025年车用柴油、家电产品、羊绒衫、羽绒服等质量监督抽查计划</w:t>
      </w:r>
    </w:p>
    <w:tbl>
      <w:tblPr>
        <w:tblStyle w:val="12"/>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70"/>
        <w:gridCol w:w="2836"/>
        <w:gridCol w:w="1191"/>
        <w:gridCol w:w="1875"/>
      </w:tblGrid>
      <w:tr w14:paraId="0720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92D80FA">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序号</w:t>
            </w:r>
          </w:p>
        </w:tc>
        <w:tc>
          <w:tcPr>
            <w:tcW w:w="1770" w:type="dxa"/>
            <w:noWrap w:val="0"/>
            <w:vAlign w:val="center"/>
          </w:tcPr>
          <w:p w14:paraId="2A15EDCB">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产品分类</w:t>
            </w:r>
          </w:p>
        </w:tc>
        <w:tc>
          <w:tcPr>
            <w:tcW w:w="2836" w:type="dxa"/>
            <w:noWrap w:val="0"/>
            <w:vAlign w:val="center"/>
          </w:tcPr>
          <w:p w14:paraId="5077286D">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产品名称</w:t>
            </w:r>
          </w:p>
        </w:tc>
        <w:tc>
          <w:tcPr>
            <w:tcW w:w="1191" w:type="dxa"/>
            <w:noWrap w:val="0"/>
            <w:vAlign w:val="center"/>
          </w:tcPr>
          <w:p w14:paraId="471F466C">
            <w:pPr>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抽查批次</w:t>
            </w:r>
          </w:p>
        </w:tc>
        <w:tc>
          <w:tcPr>
            <w:tcW w:w="1875" w:type="dxa"/>
            <w:noWrap w:val="0"/>
            <w:vAlign w:val="center"/>
          </w:tcPr>
          <w:p w14:paraId="7110D7C6">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抽查范围</w:t>
            </w:r>
          </w:p>
        </w:tc>
      </w:tr>
      <w:tr w14:paraId="2497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noWrap w:val="0"/>
            <w:vAlign w:val="center"/>
          </w:tcPr>
          <w:p w14:paraId="27FA0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70" w:type="dxa"/>
            <w:shd w:val="clear" w:color="auto" w:fill="auto"/>
            <w:noWrap w:val="0"/>
            <w:vAlign w:val="center"/>
          </w:tcPr>
          <w:p w14:paraId="22950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机械及安防</w:t>
            </w:r>
          </w:p>
        </w:tc>
        <w:tc>
          <w:tcPr>
            <w:tcW w:w="2836" w:type="dxa"/>
            <w:shd w:val="clear" w:color="auto" w:fill="auto"/>
            <w:noWrap w:val="0"/>
            <w:vAlign w:val="center"/>
          </w:tcPr>
          <w:p w14:paraId="100D3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车用柴油</w:t>
            </w:r>
          </w:p>
        </w:tc>
        <w:tc>
          <w:tcPr>
            <w:tcW w:w="1191" w:type="dxa"/>
            <w:shd w:val="clear" w:color="auto" w:fill="auto"/>
            <w:noWrap w:val="0"/>
            <w:vAlign w:val="center"/>
          </w:tcPr>
          <w:p w14:paraId="4C251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1875" w:type="dxa"/>
            <w:shd w:val="clear" w:color="auto" w:fill="auto"/>
            <w:noWrap w:val="0"/>
            <w:vAlign w:val="center"/>
          </w:tcPr>
          <w:p w14:paraId="7F882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生产者、销售者</w:t>
            </w:r>
          </w:p>
        </w:tc>
      </w:tr>
      <w:tr w14:paraId="7D3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noWrap w:val="0"/>
            <w:vAlign w:val="center"/>
          </w:tcPr>
          <w:p w14:paraId="038B1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70" w:type="dxa"/>
            <w:shd w:val="clear" w:color="auto" w:fill="auto"/>
            <w:noWrap w:val="0"/>
            <w:vAlign w:val="center"/>
          </w:tcPr>
          <w:p w14:paraId="09A39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电子电器</w:t>
            </w:r>
          </w:p>
        </w:tc>
        <w:tc>
          <w:tcPr>
            <w:tcW w:w="2836" w:type="dxa"/>
            <w:shd w:val="clear" w:color="auto" w:fill="auto"/>
            <w:noWrap w:val="0"/>
            <w:vAlign w:val="center"/>
          </w:tcPr>
          <w:p w14:paraId="2C31E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电冰箱</w:t>
            </w:r>
          </w:p>
        </w:tc>
        <w:tc>
          <w:tcPr>
            <w:tcW w:w="1191" w:type="dxa"/>
            <w:vMerge w:val="restart"/>
            <w:shd w:val="clear" w:color="auto" w:fill="auto"/>
            <w:noWrap w:val="0"/>
            <w:vAlign w:val="center"/>
          </w:tcPr>
          <w:p w14:paraId="24FC5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875" w:type="dxa"/>
            <w:shd w:val="clear" w:color="auto" w:fill="auto"/>
            <w:noWrap w:val="0"/>
            <w:vAlign w:val="center"/>
          </w:tcPr>
          <w:p w14:paraId="43D0A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生产者、销售者</w:t>
            </w:r>
          </w:p>
        </w:tc>
      </w:tr>
      <w:tr w14:paraId="06BC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noWrap w:val="0"/>
            <w:vAlign w:val="center"/>
          </w:tcPr>
          <w:p w14:paraId="3E53E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70" w:type="dxa"/>
            <w:shd w:val="clear" w:color="auto" w:fill="auto"/>
            <w:noWrap w:val="0"/>
            <w:vAlign w:val="center"/>
          </w:tcPr>
          <w:p w14:paraId="1FAFF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电子电器</w:t>
            </w:r>
          </w:p>
        </w:tc>
        <w:tc>
          <w:tcPr>
            <w:tcW w:w="2836" w:type="dxa"/>
            <w:shd w:val="clear" w:color="auto" w:fill="auto"/>
            <w:noWrap w:val="0"/>
            <w:vAlign w:val="center"/>
          </w:tcPr>
          <w:p w14:paraId="043D9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家用电动洗衣机</w:t>
            </w:r>
          </w:p>
        </w:tc>
        <w:tc>
          <w:tcPr>
            <w:tcW w:w="1191" w:type="dxa"/>
            <w:vMerge w:val="continue"/>
            <w:shd w:val="clear" w:color="auto" w:fill="auto"/>
            <w:noWrap w:val="0"/>
            <w:vAlign w:val="center"/>
          </w:tcPr>
          <w:p w14:paraId="249B9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75" w:type="dxa"/>
            <w:shd w:val="clear" w:color="auto" w:fill="auto"/>
            <w:noWrap w:val="0"/>
            <w:vAlign w:val="center"/>
          </w:tcPr>
          <w:p w14:paraId="56058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生产者、销售者</w:t>
            </w:r>
          </w:p>
        </w:tc>
      </w:tr>
      <w:tr w14:paraId="5D08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noWrap w:val="0"/>
            <w:vAlign w:val="center"/>
          </w:tcPr>
          <w:p w14:paraId="0A40A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70" w:type="dxa"/>
            <w:shd w:val="clear" w:color="auto" w:fill="auto"/>
            <w:noWrap w:val="0"/>
            <w:vAlign w:val="center"/>
          </w:tcPr>
          <w:p w14:paraId="1AA8B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日用及纺织品</w:t>
            </w:r>
          </w:p>
        </w:tc>
        <w:tc>
          <w:tcPr>
            <w:tcW w:w="2836" w:type="dxa"/>
            <w:shd w:val="clear" w:color="auto" w:fill="auto"/>
            <w:noWrap w:val="0"/>
            <w:vAlign w:val="center"/>
          </w:tcPr>
          <w:p w14:paraId="70D15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羊绒针织衫</w:t>
            </w:r>
          </w:p>
        </w:tc>
        <w:tc>
          <w:tcPr>
            <w:tcW w:w="1191" w:type="dxa"/>
            <w:vMerge w:val="restart"/>
            <w:shd w:val="clear" w:color="auto" w:fill="auto"/>
            <w:noWrap w:val="0"/>
            <w:vAlign w:val="center"/>
          </w:tcPr>
          <w:p w14:paraId="28D9D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875" w:type="dxa"/>
            <w:shd w:val="clear" w:color="auto" w:fill="auto"/>
            <w:noWrap w:val="0"/>
            <w:vAlign w:val="center"/>
          </w:tcPr>
          <w:p w14:paraId="22086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生产者、销售者</w:t>
            </w:r>
          </w:p>
        </w:tc>
      </w:tr>
      <w:tr w14:paraId="1322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noWrap w:val="0"/>
            <w:vAlign w:val="center"/>
          </w:tcPr>
          <w:p w14:paraId="578C7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70" w:type="dxa"/>
            <w:shd w:val="clear" w:color="auto" w:fill="auto"/>
            <w:noWrap w:val="0"/>
            <w:vAlign w:val="center"/>
          </w:tcPr>
          <w:p w14:paraId="2FD1C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日用及纺织品</w:t>
            </w:r>
          </w:p>
        </w:tc>
        <w:tc>
          <w:tcPr>
            <w:tcW w:w="2836" w:type="dxa"/>
            <w:shd w:val="clear" w:color="auto" w:fill="auto"/>
            <w:noWrap w:val="0"/>
            <w:vAlign w:val="center"/>
          </w:tcPr>
          <w:p w14:paraId="57BA9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羽绒服装</w:t>
            </w:r>
          </w:p>
        </w:tc>
        <w:tc>
          <w:tcPr>
            <w:tcW w:w="1191" w:type="dxa"/>
            <w:vMerge w:val="continue"/>
            <w:shd w:val="clear" w:color="auto" w:fill="auto"/>
            <w:noWrap w:val="0"/>
            <w:vAlign w:val="center"/>
          </w:tcPr>
          <w:p w14:paraId="366E4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75" w:type="dxa"/>
            <w:shd w:val="clear" w:color="auto" w:fill="auto"/>
            <w:noWrap w:val="0"/>
            <w:vAlign w:val="center"/>
          </w:tcPr>
          <w:p w14:paraId="58428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生产者、销售者</w:t>
            </w:r>
          </w:p>
        </w:tc>
      </w:tr>
      <w:tr w14:paraId="6DF5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vAlign w:val="center"/>
          </w:tcPr>
          <w:p w14:paraId="4DCF9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7672" w:type="dxa"/>
            <w:gridSpan w:val="4"/>
            <w:shd w:val="clear" w:color="auto" w:fill="auto"/>
            <w:vAlign w:val="center"/>
          </w:tcPr>
          <w:p w14:paraId="56B800A8">
            <w:pPr>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190批次</w:t>
            </w:r>
          </w:p>
        </w:tc>
      </w:tr>
      <w:tr w14:paraId="750B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shd w:val="clear" w:color="auto" w:fill="auto"/>
            <w:vAlign w:val="center"/>
          </w:tcPr>
          <w:p w14:paraId="0A852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7672" w:type="dxa"/>
            <w:gridSpan w:val="4"/>
            <w:shd w:val="clear" w:color="auto" w:fill="auto"/>
            <w:vAlign w:val="center"/>
          </w:tcPr>
          <w:p w14:paraId="4731F14F">
            <w:pPr>
              <w:jc w:val="center"/>
              <w:textAlignment w:val="center"/>
              <w:rPr>
                <w:rFonts w:hint="eastAsia" w:ascii="仿宋_GB2312" w:hAnsi="仿宋_GB2312" w:eastAsia="仿宋_GB2312" w:cs="仿宋_GB2312"/>
                <w:color w:val="000000"/>
                <w:sz w:val="24"/>
                <w:szCs w:val="24"/>
                <w:highlight w:val="none"/>
              </w:rPr>
            </w:pPr>
          </w:p>
        </w:tc>
      </w:tr>
    </w:tbl>
    <w:p w14:paraId="3E0030A5">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sz w:val="32"/>
          <w:szCs w:val="32"/>
          <w:lang w:val="en-US" w:eastAsia="zh-CN"/>
        </w:rPr>
      </w:pPr>
    </w:p>
    <w:p w14:paraId="18043E0F">
      <w:pPr>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br w:type="page"/>
      </w:r>
    </w:p>
    <w:p w14:paraId="4BE135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附件2</w:t>
      </w:r>
    </w:p>
    <w:p w14:paraId="34DC5DD6">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产品质量改进建议书</w:t>
      </w:r>
    </w:p>
    <w:p w14:paraId="4CBC042B">
      <w:pPr>
        <w:pStyle w:val="5"/>
        <w:ind w:firstLine="4560" w:firstLineChars="1900"/>
        <w:rPr>
          <w:rFonts w:hint="eastAsia" w:ascii="仿宋_GB2312" w:hAnsi="仿宋_GB2312" w:eastAsia="仿宋_GB2312" w:cs="仿宋_GB2312"/>
          <w:sz w:val="24"/>
          <w:szCs w:val="24"/>
          <w:lang w:eastAsia="zh-CN"/>
        </w:rPr>
      </w:pPr>
    </w:p>
    <w:p w14:paraId="2176A9A9">
      <w:pPr>
        <w:pStyle w:val="5"/>
        <w:ind w:firstLine="5760" w:firstLineChars="24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报告编号：</w:t>
      </w:r>
    </w:p>
    <w:tbl>
      <w:tblPr>
        <w:tblStyle w:val="13"/>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2415"/>
        <w:gridCol w:w="1560"/>
        <w:gridCol w:w="2475"/>
      </w:tblGrid>
      <w:tr w14:paraId="5C1B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5A9B5DF4">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产品名称</w:t>
            </w:r>
          </w:p>
        </w:tc>
        <w:tc>
          <w:tcPr>
            <w:tcW w:w="2415" w:type="dxa"/>
          </w:tcPr>
          <w:p w14:paraId="2083172B">
            <w:pPr>
              <w:pStyle w:val="5"/>
              <w:rPr>
                <w:rFonts w:hint="eastAsia" w:ascii="仿宋_GB2312" w:hAnsi="仿宋_GB2312" w:eastAsia="仿宋_GB2312" w:cs="仿宋_GB2312"/>
                <w:sz w:val="32"/>
                <w:szCs w:val="32"/>
                <w:vertAlign w:val="baseline"/>
                <w:lang w:eastAsia="zh-CN"/>
              </w:rPr>
            </w:pPr>
          </w:p>
        </w:tc>
        <w:tc>
          <w:tcPr>
            <w:tcW w:w="1560" w:type="dxa"/>
          </w:tcPr>
          <w:p w14:paraId="08A0E619">
            <w:pPr>
              <w:pStyle w:val="5"/>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规格型号</w:t>
            </w:r>
          </w:p>
        </w:tc>
        <w:tc>
          <w:tcPr>
            <w:tcW w:w="2475" w:type="dxa"/>
          </w:tcPr>
          <w:p w14:paraId="67ADA75F">
            <w:pPr>
              <w:pStyle w:val="5"/>
              <w:rPr>
                <w:rFonts w:hint="eastAsia" w:ascii="仿宋_GB2312" w:hAnsi="仿宋_GB2312" w:eastAsia="仿宋_GB2312" w:cs="仿宋_GB2312"/>
                <w:sz w:val="32"/>
                <w:szCs w:val="32"/>
                <w:vertAlign w:val="baseline"/>
                <w:lang w:eastAsia="zh-CN"/>
              </w:rPr>
            </w:pPr>
          </w:p>
        </w:tc>
      </w:tr>
      <w:tr w14:paraId="2786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32BD4B33">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受检单位</w:t>
            </w:r>
          </w:p>
        </w:tc>
        <w:tc>
          <w:tcPr>
            <w:tcW w:w="2415" w:type="dxa"/>
          </w:tcPr>
          <w:p w14:paraId="15BF76FE">
            <w:pPr>
              <w:pStyle w:val="5"/>
              <w:rPr>
                <w:rFonts w:hint="eastAsia" w:ascii="仿宋_GB2312" w:hAnsi="仿宋_GB2312" w:eastAsia="仿宋_GB2312" w:cs="仿宋_GB2312"/>
                <w:sz w:val="32"/>
                <w:szCs w:val="32"/>
                <w:vertAlign w:val="baseline"/>
                <w:lang w:eastAsia="zh-CN"/>
              </w:rPr>
            </w:pPr>
          </w:p>
        </w:tc>
        <w:tc>
          <w:tcPr>
            <w:tcW w:w="1560" w:type="dxa"/>
          </w:tcPr>
          <w:p w14:paraId="78E4641D">
            <w:pPr>
              <w:pStyle w:val="5"/>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生产单位</w:t>
            </w:r>
          </w:p>
        </w:tc>
        <w:tc>
          <w:tcPr>
            <w:tcW w:w="2475" w:type="dxa"/>
          </w:tcPr>
          <w:p w14:paraId="47759B8D">
            <w:pPr>
              <w:pStyle w:val="5"/>
              <w:rPr>
                <w:rFonts w:hint="eastAsia" w:ascii="仿宋_GB2312" w:hAnsi="仿宋_GB2312" w:eastAsia="仿宋_GB2312" w:cs="仿宋_GB2312"/>
                <w:sz w:val="32"/>
                <w:szCs w:val="32"/>
                <w:vertAlign w:val="baseline"/>
                <w:lang w:eastAsia="zh-CN"/>
              </w:rPr>
            </w:pPr>
          </w:p>
        </w:tc>
      </w:tr>
      <w:tr w14:paraId="264D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5211D871">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检验机构</w:t>
            </w:r>
          </w:p>
        </w:tc>
        <w:tc>
          <w:tcPr>
            <w:tcW w:w="6450" w:type="dxa"/>
            <w:gridSpan w:val="3"/>
          </w:tcPr>
          <w:p w14:paraId="4F624232">
            <w:pPr>
              <w:pStyle w:val="5"/>
              <w:rPr>
                <w:rFonts w:hint="eastAsia" w:ascii="仿宋_GB2312" w:hAnsi="仿宋_GB2312" w:eastAsia="仿宋_GB2312" w:cs="仿宋_GB2312"/>
                <w:sz w:val="32"/>
                <w:szCs w:val="32"/>
                <w:vertAlign w:val="baseline"/>
                <w:lang w:eastAsia="zh-CN"/>
              </w:rPr>
            </w:pPr>
          </w:p>
        </w:tc>
      </w:tr>
      <w:tr w14:paraId="3B9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14:paraId="0B93E037">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不合格项目</w:t>
            </w:r>
          </w:p>
        </w:tc>
        <w:tc>
          <w:tcPr>
            <w:tcW w:w="6450" w:type="dxa"/>
            <w:gridSpan w:val="3"/>
          </w:tcPr>
          <w:p w14:paraId="4E383065">
            <w:pPr>
              <w:pStyle w:val="5"/>
              <w:rPr>
                <w:rFonts w:hint="eastAsia" w:ascii="仿宋_GB2312" w:hAnsi="仿宋_GB2312" w:eastAsia="仿宋_GB2312" w:cs="仿宋_GB2312"/>
                <w:sz w:val="32"/>
                <w:szCs w:val="32"/>
                <w:vertAlign w:val="baseline"/>
                <w:lang w:eastAsia="zh-CN"/>
              </w:rPr>
            </w:pPr>
          </w:p>
        </w:tc>
      </w:tr>
      <w:tr w14:paraId="51E8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025" w:type="dxa"/>
            <w:vAlign w:val="center"/>
          </w:tcPr>
          <w:p w14:paraId="5F9AC82D">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本次抽检质量问题描述</w:t>
            </w:r>
          </w:p>
        </w:tc>
        <w:tc>
          <w:tcPr>
            <w:tcW w:w="6450" w:type="dxa"/>
            <w:gridSpan w:val="3"/>
          </w:tcPr>
          <w:p w14:paraId="6D454718">
            <w:pPr>
              <w:pStyle w:val="5"/>
              <w:rPr>
                <w:rFonts w:hint="eastAsia" w:ascii="仿宋_GB2312" w:hAnsi="仿宋_GB2312" w:eastAsia="仿宋_GB2312" w:cs="仿宋_GB2312"/>
                <w:sz w:val="32"/>
                <w:szCs w:val="32"/>
                <w:vertAlign w:val="baseline"/>
                <w:lang w:eastAsia="zh-CN"/>
              </w:rPr>
            </w:pPr>
          </w:p>
        </w:tc>
      </w:tr>
      <w:tr w14:paraId="248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025" w:type="dxa"/>
            <w:vAlign w:val="center"/>
          </w:tcPr>
          <w:p w14:paraId="1D95A972">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原因分析</w:t>
            </w:r>
          </w:p>
        </w:tc>
        <w:tc>
          <w:tcPr>
            <w:tcW w:w="6450" w:type="dxa"/>
            <w:gridSpan w:val="3"/>
          </w:tcPr>
          <w:p w14:paraId="6741329D">
            <w:pPr>
              <w:pStyle w:val="5"/>
              <w:rPr>
                <w:rFonts w:hint="eastAsia" w:ascii="仿宋_GB2312" w:hAnsi="仿宋_GB2312" w:eastAsia="仿宋_GB2312" w:cs="仿宋_GB2312"/>
                <w:sz w:val="32"/>
                <w:szCs w:val="32"/>
                <w:vertAlign w:val="baseline"/>
                <w:lang w:eastAsia="zh-CN"/>
              </w:rPr>
            </w:pPr>
          </w:p>
        </w:tc>
      </w:tr>
      <w:tr w14:paraId="28B8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2025" w:type="dxa"/>
            <w:vAlign w:val="center"/>
          </w:tcPr>
          <w:p w14:paraId="3E157EBA">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改进建议</w:t>
            </w:r>
          </w:p>
        </w:tc>
        <w:tc>
          <w:tcPr>
            <w:tcW w:w="6450" w:type="dxa"/>
            <w:gridSpan w:val="3"/>
          </w:tcPr>
          <w:p w14:paraId="7A8FA1A7">
            <w:pPr>
              <w:pStyle w:val="5"/>
              <w:rPr>
                <w:rFonts w:hint="eastAsia" w:ascii="仿宋_GB2312" w:hAnsi="仿宋_GB2312" w:eastAsia="仿宋_GB2312" w:cs="仿宋_GB2312"/>
                <w:sz w:val="32"/>
                <w:szCs w:val="32"/>
                <w:vertAlign w:val="baseline"/>
                <w:lang w:eastAsia="zh-CN"/>
              </w:rPr>
            </w:pPr>
          </w:p>
        </w:tc>
      </w:tr>
      <w:tr w14:paraId="381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025" w:type="dxa"/>
            <w:vAlign w:val="center"/>
          </w:tcPr>
          <w:p w14:paraId="3B2F19FF">
            <w:pPr>
              <w:pStyle w:val="5"/>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注</w:t>
            </w:r>
          </w:p>
        </w:tc>
        <w:tc>
          <w:tcPr>
            <w:tcW w:w="6450" w:type="dxa"/>
            <w:gridSpan w:val="3"/>
          </w:tcPr>
          <w:p w14:paraId="535AF325">
            <w:pPr>
              <w:pStyle w:val="5"/>
              <w:rPr>
                <w:rFonts w:hint="eastAsia" w:ascii="仿宋_GB2312" w:hAnsi="仿宋_GB2312" w:eastAsia="仿宋_GB2312" w:cs="仿宋_GB2312"/>
                <w:sz w:val="32"/>
                <w:szCs w:val="32"/>
                <w:vertAlign w:val="baseline"/>
                <w:lang w:eastAsia="zh-CN"/>
              </w:rPr>
            </w:pPr>
          </w:p>
        </w:tc>
      </w:tr>
    </w:tbl>
    <w:p w14:paraId="043B97F9">
      <w:pPr>
        <w:pStyle w:val="5"/>
        <w:ind w:firstLine="5120" w:firstLineChars="1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检验机构盖章（公章）</w:t>
      </w:r>
    </w:p>
    <w:p w14:paraId="0C498D16">
      <w:pPr>
        <w:pStyle w:val="5"/>
        <w:ind w:firstLine="6080" w:firstLineChars="1900"/>
        <w:rPr>
          <w:rFonts w:hint="default" w:ascii="仿宋_GB2312" w:hAnsi="仿宋_GB2312" w:eastAsia="仿宋_GB2312" w:cs="仿宋_GB2312"/>
          <w:sz w:val="32"/>
          <w:szCs w:val="32"/>
          <w:lang w:val="en-US" w:eastAsia="zh-CN"/>
        </w:rPr>
      </w:pPr>
    </w:p>
    <w:sectPr>
      <w:footerReference r:id="rId3" w:type="default"/>
      <w:pgSz w:w="11906" w:h="16838"/>
      <w:pgMar w:top="1984" w:right="1474" w:bottom="1871" w:left="1587" w:header="851" w:footer="1587" w:gutter="0"/>
      <w:pgBorders>
        <w:top w:val="none" w:sz="0" w:space="0"/>
        <w:left w:val="none" w:sz="0" w:space="0"/>
        <w:bottom w:val="none" w:sz="0" w:space="0"/>
        <w:right w:val="none" w:sz="0" w:space="0"/>
      </w:pgBorders>
      <w:pgNumType w:fmt="decimal"/>
      <w:cols w:equalWidth="0" w:num="1">
        <w:col w:w="8640"/>
      </w:cols>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DA0BEE-A350-4E4B-A3C5-51C568F131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D5CB054-FEFB-47EC-866D-174B5B3F19DC}"/>
  </w:font>
  <w:font w:name="仿宋">
    <w:panose1 w:val="02010609060101010101"/>
    <w:charset w:val="86"/>
    <w:family w:val="modern"/>
    <w:pitch w:val="default"/>
    <w:sig w:usb0="800002BF" w:usb1="38CF7CFA" w:usb2="00000016" w:usb3="00000000" w:csb0="00040001" w:csb1="00000000"/>
    <w:embedRegular r:id="rId3" w:fontKey="{6E2B9799-A077-4C7C-9F5A-90F81AACF2CA}"/>
  </w:font>
  <w:font w:name="方正小标宋简体">
    <w:panose1 w:val="02000000000000000000"/>
    <w:charset w:val="86"/>
    <w:family w:val="script"/>
    <w:pitch w:val="default"/>
    <w:sig w:usb0="A00002BF" w:usb1="184F6CFA" w:usb2="00000012" w:usb3="00000000" w:csb0="00040001" w:csb1="00000000"/>
    <w:embedRegular r:id="rId4" w:fontKey="{94EB31F6-9467-4215-B89C-AA59CB082F18}"/>
  </w:font>
  <w:font w:name="FreeSerif">
    <w:altName w:val="Simplified Arabic"/>
    <w:panose1 w:val="02020603050405020304"/>
    <w:charset w:val="00"/>
    <w:family w:val="auto"/>
    <w:pitch w:val="default"/>
    <w:sig w:usb0="00000000" w:usb1="00000000" w:usb2="43501B29" w:usb3="04000043" w:csb0="600101FF" w:csb1="FFFF0000"/>
    <w:embedRegular r:id="rId5" w:fontKey="{4FB81061-C061-4B6D-9EBC-4C19578B7043}"/>
  </w:font>
  <w:font w:name="楷体_GB2312">
    <w:altName w:val="楷体"/>
    <w:panose1 w:val="02010609030101010101"/>
    <w:charset w:val="86"/>
    <w:family w:val="auto"/>
    <w:pitch w:val="default"/>
    <w:sig w:usb0="00000000" w:usb1="00000000" w:usb2="00000000" w:usb3="00000000" w:csb0="00040000" w:csb1="00000000"/>
    <w:embedRegular r:id="rId6" w:fontKey="{AD662180-0D71-48F1-ADBC-FF8931538E08}"/>
  </w:font>
  <w:font w:name="方正楷体_GBK">
    <w:altName w:val="微软雅黑"/>
    <w:panose1 w:val="02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embedRegular r:id="rId7" w:fontKey="{9AD75728-73B4-410D-A44A-53AD25218330}"/>
  </w:font>
  <w:font w:name="Simplified Arabic">
    <w:panose1 w:val="02020603050405020304"/>
    <w:charset w:val="00"/>
    <w:family w:val="auto"/>
    <w:pitch w:val="default"/>
    <w:sig w:usb0="00002003" w:usb1="00000000" w:usb2="00000000" w:usb3="00000000" w:csb0="00000041" w:csb1="200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6988">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CC7A2">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CC7A2">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54835">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454835">
                    <w:pPr>
                      <w:pStyle w:val="8"/>
                      <w:rPr>
                        <w:rFonts w:hint="eastAsia" w:eastAsia="宋体"/>
                        <w:lang w:eastAsia="zh-CN"/>
                      </w:rPr>
                    </w:pPr>
                  </w:p>
                </w:txbxContent>
              </v:textbox>
            </v:shape>
          </w:pict>
        </mc:Fallback>
      </mc:AlternateContent>
    </w:r>
  </w:p>
  <w:p w14:paraId="0845AA9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DRiYmU4NDFiZWIwZjAzZmQ4ZjdiODBmODk1NmEifQ=="/>
  </w:docVars>
  <w:rsids>
    <w:rsidRoot w:val="00F604D9"/>
    <w:rsid w:val="00022B30"/>
    <w:rsid w:val="00093A96"/>
    <w:rsid w:val="000C013C"/>
    <w:rsid w:val="000F55F6"/>
    <w:rsid w:val="00114ED8"/>
    <w:rsid w:val="00142339"/>
    <w:rsid w:val="001645C7"/>
    <w:rsid w:val="00165B6B"/>
    <w:rsid w:val="001E00AC"/>
    <w:rsid w:val="001E4617"/>
    <w:rsid w:val="00287427"/>
    <w:rsid w:val="0029107C"/>
    <w:rsid w:val="00294E46"/>
    <w:rsid w:val="00366DFF"/>
    <w:rsid w:val="003C741F"/>
    <w:rsid w:val="003F0093"/>
    <w:rsid w:val="004B6186"/>
    <w:rsid w:val="004C14DF"/>
    <w:rsid w:val="0055456B"/>
    <w:rsid w:val="00612982"/>
    <w:rsid w:val="00621625"/>
    <w:rsid w:val="0072607E"/>
    <w:rsid w:val="007C00EB"/>
    <w:rsid w:val="00807D8A"/>
    <w:rsid w:val="00844382"/>
    <w:rsid w:val="00970C18"/>
    <w:rsid w:val="00A555D0"/>
    <w:rsid w:val="00AB0F5C"/>
    <w:rsid w:val="00AC0096"/>
    <w:rsid w:val="00BA4E7F"/>
    <w:rsid w:val="00BA6A17"/>
    <w:rsid w:val="00BB7023"/>
    <w:rsid w:val="00C826A2"/>
    <w:rsid w:val="00CD581A"/>
    <w:rsid w:val="00D160AC"/>
    <w:rsid w:val="00D16A95"/>
    <w:rsid w:val="00D252CF"/>
    <w:rsid w:val="00D34EAE"/>
    <w:rsid w:val="00DD558B"/>
    <w:rsid w:val="00E27A22"/>
    <w:rsid w:val="00E357CD"/>
    <w:rsid w:val="00E77C54"/>
    <w:rsid w:val="00E852D0"/>
    <w:rsid w:val="00E962E8"/>
    <w:rsid w:val="00F178E9"/>
    <w:rsid w:val="00F36492"/>
    <w:rsid w:val="00F604D9"/>
    <w:rsid w:val="00F67E0A"/>
    <w:rsid w:val="00F85EE7"/>
    <w:rsid w:val="00F90163"/>
    <w:rsid w:val="00F946AE"/>
    <w:rsid w:val="018E4D1C"/>
    <w:rsid w:val="02BB3781"/>
    <w:rsid w:val="03095576"/>
    <w:rsid w:val="03D93301"/>
    <w:rsid w:val="04F93CC8"/>
    <w:rsid w:val="06BD7A32"/>
    <w:rsid w:val="07E36045"/>
    <w:rsid w:val="094455E0"/>
    <w:rsid w:val="09682BD8"/>
    <w:rsid w:val="0A76565B"/>
    <w:rsid w:val="0C2755BE"/>
    <w:rsid w:val="0D2D32CF"/>
    <w:rsid w:val="0D5E4E41"/>
    <w:rsid w:val="0F1D1EE5"/>
    <w:rsid w:val="0F5A3918"/>
    <w:rsid w:val="12874ECD"/>
    <w:rsid w:val="137361BF"/>
    <w:rsid w:val="15CD7ABC"/>
    <w:rsid w:val="168C1912"/>
    <w:rsid w:val="18131FDA"/>
    <w:rsid w:val="1820443C"/>
    <w:rsid w:val="18D52625"/>
    <w:rsid w:val="19827777"/>
    <w:rsid w:val="1BA259CD"/>
    <w:rsid w:val="1D36306C"/>
    <w:rsid w:val="1E4C4D23"/>
    <w:rsid w:val="1EEF565A"/>
    <w:rsid w:val="20DD0B37"/>
    <w:rsid w:val="22B62A6B"/>
    <w:rsid w:val="22C71C43"/>
    <w:rsid w:val="239D1008"/>
    <w:rsid w:val="240914A3"/>
    <w:rsid w:val="24EE549C"/>
    <w:rsid w:val="25B57765"/>
    <w:rsid w:val="29B642E3"/>
    <w:rsid w:val="29E10E66"/>
    <w:rsid w:val="2A9F5694"/>
    <w:rsid w:val="2AC62038"/>
    <w:rsid w:val="2AFD4F3C"/>
    <w:rsid w:val="2E3C0361"/>
    <w:rsid w:val="2FF33B58"/>
    <w:rsid w:val="322059E4"/>
    <w:rsid w:val="32BE175F"/>
    <w:rsid w:val="341D6008"/>
    <w:rsid w:val="347B1DEA"/>
    <w:rsid w:val="39BA6046"/>
    <w:rsid w:val="3C706E90"/>
    <w:rsid w:val="3CAA4C65"/>
    <w:rsid w:val="3D442085"/>
    <w:rsid w:val="3DD66787"/>
    <w:rsid w:val="3F534551"/>
    <w:rsid w:val="3F5F1B36"/>
    <w:rsid w:val="3FDA442F"/>
    <w:rsid w:val="40A96350"/>
    <w:rsid w:val="420F09DC"/>
    <w:rsid w:val="465770E8"/>
    <w:rsid w:val="46661779"/>
    <w:rsid w:val="46BE4A57"/>
    <w:rsid w:val="47FE231F"/>
    <w:rsid w:val="4D0A5151"/>
    <w:rsid w:val="4D1E7207"/>
    <w:rsid w:val="4D7E75E8"/>
    <w:rsid w:val="4D9965C8"/>
    <w:rsid w:val="4ED80379"/>
    <w:rsid w:val="54E74A70"/>
    <w:rsid w:val="57F6E12C"/>
    <w:rsid w:val="586E2F47"/>
    <w:rsid w:val="5886290E"/>
    <w:rsid w:val="5B6A417C"/>
    <w:rsid w:val="5CCA4718"/>
    <w:rsid w:val="5D8F2934"/>
    <w:rsid w:val="5F7712B8"/>
    <w:rsid w:val="61DD64AD"/>
    <w:rsid w:val="63AF01DB"/>
    <w:rsid w:val="695B1461"/>
    <w:rsid w:val="6B856470"/>
    <w:rsid w:val="6CEF556F"/>
    <w:rsid w:val="6DC5AABA"/>
    <w:rsid w:val="6E21734A"/>
    <w:rsid w:val="6E426B37"/>
    <w:rsid w:val="6EA5526D"/>
    <w:rsid w:val="6FD5EE92"/>
    <w:rsid w:val="6FFFF15C"/>
    <w:rsid w:val="704B7D41"/>
    <w:rsid w:val="70592AFC"/>
    <w:rsid w:val="73C34576"/>
    <w:rsid w:val="73DB795A"/>
    <w:rsid w:val="73FD111D"/>
    <w:rsid w:val="76657EA7"/>
    <w:rsid w:val="76A56E21"/>
    <w:rsid w:val="76B57974"/>
    <w:rsid w:val="76B741BD"/>
    <w:rsid w:val="78653F28"/>
    <w:rsid w:val="78E15864"/>
    <w:rsid w:val="7A580582"/>
    <w:rsid w:val="7AD73B24"/>
    <w:rsid w:val="7AE02372"/>
    <w:rsid w:val="7BEF197A"/>
    <w:rsid w:val="7BF6131B"/>
    <w:rsid w:val="7BFD6E9C"/>
    <w:rsid w:val="7C486319"/>
    <w:rsid w:val="7CF9D21A"/>
    <w:rsid w:val="7D6F42B5"/>
    <w:rsid w:val="7DB86E91"/>
    <w:rsid w:val="7DCBF7BE"/>
    <w:rsid w:val="7EB81D13"/>
    <w:rsid w:val="7FAE0C90"/>
    <w:rsid w:val="7FDFF6D4"/>
    <w:rsid w:val="7FE6FFBE"/>
    <w:rsid w:val="877BED5B"/>
    <w:rsid w:val="AFBD077D"/>
    <w:rsid w:val="BF7CF873"/>
    <w:rsid w:val="D3FD8CDF"/>
    <w:rsid w:val="D967BEF9"/>
    <w:rsid w:val="DF7F6E39"/>
    <w:rsid w:val="E5DD3BE0"/>
    <w:rsid w:val="EEFE0369"/>
    <w:rsid w:val="FFFF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toc 9"/>
    <w:basedOn w:val="1"/>
    <w:next w:val="1"/>
    <w:qFormat/>
    <w:uiPriority w:val="0"/>
    <w:rPr>
      <w:rFonts w:ascii="Calibri" w:hAnsi="Calibri" w:cs="Calibri"/>
      <w:sz w:val="22"/>
    </w:rPr>
  </w:style>
  <w:style w:type="paragraph" w:styleId="5">
    <w:name w:val="Plain Text"/>
    <w:basedOn w:val="1"/>
    <w:qFormat/>
    <w:uiPriority w:val="0"/>
    <w:rPr>
      <w:rFonts w:ascii="宋体" w:hAnsi="Courier New"/>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12</Pages>
  <Words>4016</Words>
  <Characters>4068</Characters>
  <Lines>7</Lines>
  <Paragraphs>2</Paragraphs>
  <TotalTime>1</TotalTime>
  <ScaleCrop>false</ScaleCrop>
  <LinksUpToDate>false</LinksUpToDate>
  <CharactersWithSpaces>4112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2019-05-09T20:36:00Z</dcterms:created>
  <dc:creator>Windows 用户</dc:creator>
  <cp:lastModifiedBy>小魔仙</cp:lastModifiedBy>
  <cp:lastPrinted>2024-07-14T09:32:00Z</cp:lastPrinted>
  <dcterms:modified xsi:type="dcterms:W3CDTF">2025-10-13T02:31:43Z</dcterms:modified>
  <dc:title>关于申请追加专项工作经费预算的请示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26DE0D64DB9D44E0876E6BC681F157C6_13</vt:lpwstr>
  </property>
  <property fmtid="{D5CDD505-2E9C-101B-9397-08002B2CF9AE}" pid="4" name="KSOTemplateDocerSaveRecord">
    <vt:lpwstr>eyJoZGlkIjoiYzZlYmE1MTM0ZDAwMmYwYWY5ZmZiZDljZmE4YmM0ODAiLCJ1c2VySWQiOiIyNTU3MjczMDYifQ==</vt:lpwstr>
  </property>
</Properties>
</file>