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overflowPunct w:val="0"/>
        <w:spacing w:line="55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overflowPunct w:val="0"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大同市人民政府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关于进一步优化政务服务提升行政效能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推动“高效办成一件事”的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人民政府，市直各相关单位，有关驻同各相关单位：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政务服务、提升行政效能是优化营商环境、建设全国统一大市场的必然要求，对加快构建新发展格局、推动高质量发展具有重要意义。为深入推动政务服务提质增效，在更多领域更大范围实现“高效办成一件事”，进一步提升企业和群众获得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国务院关于进一步优化政务服务提升行政效能推动“高效办成一件事”的指导意见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落实党的二十大精神，坚持问题导向和目标导向相结合，从企业和群众视角出发，把“高效办成一件事”作为优化政务服务、提升行政效能的重要抓手，加强整体设计，推动模式创新，注重改革引领和数字赋能双轮驱动，统筹发展和安全，推动线上线下融合发展，实现办事方式多元化、办事流程最优化、办事材料最简化、办事成本最小化，最大限度利企便民，激发经济社会发展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推动线上线下政务服务能力整体提升，健全“高效办成一件事”重点事项清单管理机制和常态化推进机制，实现第一批高频、面广、问题多的“一件事”高效办理。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泛在可及、智慧便捷、公平普惠的高效政务服务体系，实现企业和个人两个全生命周期重要阶段“高效办成一件事”重点事项落地见效，大幅提升企业和群众办事满意度、获得感。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二、全面加强政务服务渠道建设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（一）推进线下办事“只进一门”。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完善集约高效的线下政务服务体系，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市、县（区）两级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政务服务中心要合理设置综合服务窗口和专业服务窗口，除特殊情形外，原则上政务服务事项均应纳入政务服务中心集中办理，实现统一受理和一站式办理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实现“大厅之外无审批”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有关部门单设的政务服务窗口应整合并入本级政务服务中心，确不具备整合条件的要纳入一体化管理，按统一要求提供规范服务。结合经济社会发展状况、人口分布情况，统筹推进乡镇（街道）便民服务中心和村（社区）便民服务站建设。鼓励在有条件、有需求的银行网点、邮政网点、园区等设置便民服务点，探索利用集成式自助终端提供“24小时不打烊”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牵头单位：市行政审批局，责任单位：各县（区）人民政府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（二）推进线上办事“一网通办”。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级政务服务平台整合联通各类办事服务系统，推动各类政务服务事项和应用“应接尽接、应上尽上”，除法律法规另有规定或涉及国家秘密等外，政务服务事项全部纳入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市县两级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政务服务平台管理和办理。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牵头单位：市行政审批局，责任单位：各县（区）人民政府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（三）推进企业和群众诉求“一线应答”。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12345政务服务便民热线加强政务服务热线归并，根据需要设置重点领域专席，不断提升12345热线接办效率，高效受理政务服务咨询、投诉、求助、建议和在线办理指导等诉求。建立健全“接诉即办”机制，更好发挥热线直接面向企业和群众的窗口作用，及时了解问题建议，推动解决服务问题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提高12345与110对接联动效率，科学合理分流非警务求助。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加强12345热线与政务服务平台投诉建议体系、“好差评”体系等业务协同，打造便捷、高效、规范、智慧的政务服务“总客服”。（牵头单位：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12345政务服务热线，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市行政审批局、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三、全面深化政务服务模式创新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（四）推进关联事项集成办。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企业和群众视角出发，将需要多个部门办理或跨层级办理，关联性强、办理量大、办理时间相对集中的多个事项集成办理，为企业和群众提供“一件事一次办”、“一类事一站办”服务。明确每个“一件事”的牵头部门和配合部门及各自职责，强化跨部门政策、业务、系统协同和数据共享。重构跨部门办理业务流程，优化前后置环节，推动申请表单多表合一、线上一网申请、材料一次提交。强化线上线下联动，开展并联审批、联合评审、联合验收等，大幅压减办理时长和办事成本。（牵头单位：市行政审批局，责任单位：各县（区）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（五）推进容缺事项承诺办。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政务服务部门清楚告知、企业和群众诚信守诺为基础，对风险可控、纠错成本低且能够通过事中事后监管有效防范风险的政务服务事项，推行“告知承诺+容缺办理”审批服务模式。根据政务服务事项实施难度、风险可控程度、服务对象信用状况等，采用申请材料后补或免交、实质审查后置或豁免等方式，签订告知承诺书，明确办理条件，约定责任义务。加强审批、监管、执法等部门协同，建立差异化的告知承诺事后核查和风险防范机制，并逐步推动将承诺和履约信息共享至信用信息共享平台。（牵头单位：市行政审批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市发改委、市市场监管局、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（六）推进异地事项跨域办。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聚焦企业跨区域经营和群众异地办事需求，持续推动更多政务服务事项省内通办、跨省通办，做到就近办、异地办。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依托一体化政务服务平台“跨省通办”业务支撑系统，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推动数据跨域共享、系统无缝衔接，实现异地事项一站式网上办理。优化线下代收代办服务模式，建立收件、办理两地窗口协同联动工作机制，明确代收代办相关单位责任分工。推动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市县两级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政务服务场所按需开设远程虚拟窗口，运用远程身份核验、音视频交互、屏幕共享等技术，为企业和群众提供远程帮办服务。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不断融入</w:t>
      </w:r>
      <w:r>
        <w:rPr>
          <w:rFonts w:hint="eastAsia" w:ascii="仿宋_GB2312" w:hAnsi="仿宋_GB2312" w:eastAsia="仿宋_GB2312" w:cs="仿宋_GB2312"/>
          <w:sz w:val="32"/>
          <w:szCs w:val="32"/>
        </w:rPr>
        <w:t>京津冀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探索更多事项跨区域办理。（牵头单位：市行政审批局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市数字政府服务中心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（七）推进政策服务免申办。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依托涉企政策“一站式”综合服务平台，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精准匹配符合政策条件的企业和群众，推动逐步实现政策“免申即享”。对法律法规明确要求依申请办理的，为符合条件的企业和群众自动生成申请表、调用申请材料，并主动精准推送，便利自愿申请。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优化政务服务平台企业和个人专属服务空间，丰富政策库，实现利企便民政策和服务精准直达。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（牵头单位：市行政审批局，责任单位：市直各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四、全面强化政务服务数字赋能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（八）充分发挥政务服务平台支撑作用。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依托全国一体化政务服务平台提升统一的自然人和法人身份认证、跨域电子印章验签、办件调度、用户管理等支撑能力。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门要加快整合本领域政务服务业务系统，推动条块系统更好融合互通。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政务服务平台推动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政务服务平台事项标准统一、业务协同联动、服务同质高效。（牵头单位：市行政审批局，责任单位：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（九）着力提升政务数据共享实效。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完善政务数据共享责任清单机制，依托全国一体化政务服务平台，汇总政务数据共享需求，分批纳入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部门数据共享责任清单和垂直管理信息系统对接清单，推动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数据按需向直达基层。持续提升政务数据质量，从源头加强数据治理，围绕企业和个人两个全生命周期编制“一企一档、一人一档”数据规范，推动实现“一数一源一标准”。深化电子证照数据共享应用，推动电子证照跨地区跨部门互通互认和扩大应用领域，原则上政府部门核发的材料免于提交、能够通过数据共享核验的事项免于提交证明材料、能够提供电子证照的免于提交实体证照。依法依规共享使用政务数据，加强全流程安全管理，加大对涉及商业秘密、个人信息等数据的保护力度。（牵头单位：市行政审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市数字政府服务中心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，责任单位：各县（区）人民政府、市直各有关部门）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（十）持续加强新技术全流程应用。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成熟稳定、适度超前的原则，创新开展大数据、区块链、人工智能等新技术应用，推动政务服务由人力服务型向人机交互型转变，由经验判断型向数据分析型转变。推动新技术在办事服务具体场景中的应用，优化重构申请条件、申报方式、受理模式、审核程序、发证方式、管理架构，完善智能预填、智能预审等服务功能。探索应用自然语言大模型等技术，提升线上智能客服的意图识别和精准回答能力，优化智能问答、智能搜索、智能导办等服务，更好引导企业和群众高效便利办事。（牵头单位：市数字政府服务中心，责任单位：各县（区）人民政府、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五、全面推动政务服务扩面增效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（十一）增强帮办代办能力。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线上线下帮办代办体系，明确人员配置、工作职责、责任边界、服务内容，提升帮办代办响应率、解决率和满意度。提供线上高频服务事项专业人工帮办代办，推行语音唤起、预约、办理和问答式引导等智能帮办服务，解决在线操作、材料上传、业务办理等方面问题。优化线下帮办代办工作机制，为老年人、残疾人等特殊群体提供陪同办、代理办、优先办等服务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、产业园区等加强项目全流程帮办代办，结合实际建立专班服务、专员跟进等机制，及时解决项目推进中的难点问题。（牵头单位：市行政审批局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市数字政府服务中心、各类经开区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，责任单位：各县（区）人民政府、市直各有关部门）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（十二）丰富公共服务供给。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优化提升公共教育、劳动就业、医疗卫生、养老服务、托育服务、住房保障等领域公共服务的基础上，推动与企业和群众生产生活密切相关的水电气热、网络通信等公用事业领域高频办理的服务事项纳入政务服务中心、接入政务服务平台。推动公用事业领域有关单位从企业和群众视角梳理服务事项、优化办事流程，推进水电气热过户和不动产登记、水电气网报装和投资建设审批等关联事项跨领域集成办理。（牵头单位：市行政审批局、市数字政府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市人社局、市教育局、市卫健委、市民政局、市住建局、市城市管理局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，责任单位：各县（区）人民政府、市直各有关部门）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（十三）拓展增值服务内容。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线上线下政务服务渠道，打造定制化、套餐式、模块化的涉企服务“一类事”场景，为企业提供精准化、个性化的优质衍生服务。探索统筹行业协会、市场化专业服务机构等涉企服务资源，一站式提供政策推荐、咨询、解读、申报等政策服务，公证、合规指导、涉企纠纷调解等法律服务，融资担保、产业基金对接、上市培育等金融服务，人才认定、住房安居、资金补助等人才服务，科技企业培育、产学研对接等科创服务，外贸资源对接、报关退税咨询、汇率避险指导等国际贸易服务。（责任单位：各县（区）人民政府、市直各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六、全面夯实政务服务工作基础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（十四）健全政务服务标准体系。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政务服务标准总体设计，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全国一体化政务服务平台和政务服务中心、12345热线运行等标准规范。健全政务服务事项基础标准，完善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政务服务事项基本目录，推动同一政务服务事项受理条件、服务对象、办理流程、申请材料、法定办结时限等在全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范围内统一。编制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集成办理“一件事”工作指引和办事指南，完善跨区域办事业务标准和操作规程。（牵头单位：市行政审批局、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12345政务服务热线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（十五）强化政务服务制度供给。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清理和修订与政务服务改革不相适应的行政法规、规章和行政规范性文件，强化相关业务领域制度保障，破解集成办、承诺办、跨域办、免申办等创新服务模式的制度障碍。完善数字化应用配套政策，保障电子证照和政务数据高效共享应用、电子档案单套归档等法律效力。（牵头单位：市行政审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，责任单位：各县（区）人民政府）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（十六）健全政务服务工作体系。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推进市、县、乡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级政务服务体系建设，健全一体联动、高效便捷、权责清晰的工作机制。加强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市县两级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级政务服务窗口从业人员配备、管理、培训和考核，出台激励奖励措施，推进综合服务窗口人员统一配备和职业化发展。创新政务服务人才引进、培养、选拔和评价机制，持续提升干部队伍法治思维、服务意识和数字素养，强化政务服务专业化队伍建设。（牵头单位：市行政审批局，责任单位：各县（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（十七）加强组织实施。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围绕“高效办成一件事”合力攻坚，对列入重点事项清单的“一件事”要逐项制定工作方案，明确目标任务、改革措施和职责分工，确保取得实效。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部门要强化条块联动，加强业务指导和数据共享支撑。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（十八）加强宣传推广。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采取多种形式做好“高效办成一件事”政策解读和舆论引导，充分调动各级政府和有关方面积极性，增强工作合力，狠抓工作落实。鼓励各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</w:t>
      </w:r>
      <w:r>
        <w:rPr>
          <w:rFonts w:hint="eastAsia" w:ascii="仿宋_GB2312" w:hAnsi="仿宋_GB2312" w:eastAsia="仿宋_GB2312" w:cs="仿宋_GB2312"/>
          <w:sz w:val="32"/>
          <w:szCs w:val="32"/>
        </w:rPr>
        <w:t>从实际出发改革创新、大胆探索，力争重点领域、重点事项取得更大突破。及时总结行之有效的经验做法，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争取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在全国范围内复制推广。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附件：“高效办成一件事”2024年度重点事项清单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g3MjJmYzZhOGExZDc2YmMzYjg1NjE2ZmQxODMifQ=="/>
  </w:docVars>
  <w:rsids>
    <w:rsidRoot w:val="00000000"/>
    <w:rsid w:val="01F11552"/>
    <w:rsid w:val="01F6019C"/>
    <w:rsid w:val="029E4C19"/>
    <w:rsid w:val="1033397E"/>
    <w:rsid w:val="1182407B"/>
    <w:rsid w:val="13573A09"/>
    <w:rsid w:val="139E38FB"/>
    <w:rsid w:val="15DA16F4"/>
    <w:rsid w:val="172C08FA"/>
    <w:rsid w:val="179E57D5"/>
    <w:rsid w:val="1C4D1829"/>
    <w:rsid w:val="1D2C738D"/>
    <w:rsid w:val="1FE82B28"/>
    <w:rsid w:val="22BE1126"/>
    <w:rsid w:val="25504CF6"/>
    <w:rsid w:val="268C5DAE"/>
    <w:rsid w:val="272B3024"/>
    <w:rsid w:val="28BD0A8D"/>
    <w:rsid w:val="2A656F03"/>
    <w:rsid w:val="2B21078E"/>
    <w:rsid w:val="2C235439"/>
    <w:rsid w:val="2D580BFD"/>
    <w:rsid w:val="2D6C5D01"/>
    <w:rsid w:val="300835E0"/>
    <w:rsid w:val="30C76E98"/>
    <w:rsid w:val="32A135D1"/>
    <w:rsid w:val="3368056A"/>
    <w:rsid w:val="3826698B"/>
    <w:rsid w:val="3F3A33F6"/>
    <w:rsid w:val="4105404B"/>
    <w:rsid w:val="449851D6"/>
    <w:rsid w:val="45183C71"/>
    <w:rsid w:val="478055C7"/>
    <w:rsid w:val="4E011649"/>
    <w:rsid w:val="53F41D95"/>
    <w:rsid w:val="576F3AEF"/>
    <w:rsid w:val="5859354A"/>
    <w:rsid w:val="59304EC4"/>
    <w:rsid w:val="594B77D7"/>
    <w:rsid w:val="5C6F2816"/>
    <w:rsid w:val="5E59598E"/>
    <w:rsid w:val="600F2399"/>
    <w:rsid w:val="637E46EC"/>
    <w:rsid w:val="64AC5A6E"/>
    <w:rsid w:val="6A801AC4"/>
    <w:rsid w:val="6CD97FB6"/>
    <w:rsid w:val="6D016F34"/>
    <w:rsid w:val="6D3A65F2"/>
    <w:rsid w:val="74844CAB"/>
    <w:rsid w:val="74D70845"/>
    <w:rsid w:val="7FB44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widowControl w:val="0"/>
      <w:spacing w:after="12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2"/>
    <w:next w:val="1"/>
    <w:autoRedefine/>
    <w:qFormat/>
    <w:uiPriority w:val="0"/>
    <w:pPr>
      <w:widowControl w:val="0"/>
      <w:spacing w:after="0" w:afterAutospacing="0"/>
      <w:ind w:left="0" w:leftChars="0"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2024-02-06T01:16:00Z</cp:lastPrinted>
  <dcterms:modified xsi:type="dcterms:W3CDTF">2024-02-26T07:47:22Z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044FDD30EB4D466AA57994767D3DC26D_12</vt:lpwstr>
  </property>
</Properties>
</file>