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独立式感烟火灾探测报警器</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color w:val="auto"/>
          <w:szCs w:val="21"/>
        </w:rPr>
      </w:pPr>
      <w:r>
        <w:rPr>
          <w:rFonts w:hint="eastAsia" w:ascii="宋体" w:hAnsi="宋体" w:eastAsia="宋体" w:cs="宋体"/>
          <w:color w:val="auto"/>
          <w:sz w:val="21"/>
          <w:szCs w:val="21"/>
          <w:highlight w:val="none"/>
          <w:lang w:eastAsia="zh-CN"/>
        </w:rPr>
        <w:t>每批次产品抽取样品</w:t>
      </w:r>
      <w:r>
        <w:rPr>
          <w:rFonts w:hint="eastAsia" w:ascii="宋体" w:hAnsi="宋体" w:cs="宋体"/>
          <w:color w:val="auto"/>
          <w:sz w:val="21"/>
          <w:szCs w:val="21"/>
          <w:highlight w:val="none"/>
          <w:vertAlign w:val="baseline"/>
          <w:lang w:val="en-US" w:eastAsia="zh-CN"/>
        </w:rPr>
        <w:t>6只</w:t>
      </w:r>
      <w:r>
        <w:rPr>
          <w:rFonts w:hint="eastAsia" w:ascii="宋体" w:hAnsi="宋体" w:eastAsia="宋体" w:cs="宋体"/>
          <w:color w:val="auto"/>
          <w:sz w:val="21"/>
          <w:szCs w:val="21"/>
          <w:highlight w:val="none"/>
          <w:lang w:eastAsia="zh-CN"/>
        </w:rPr>
        <w:t>，其中</w:t>
      </w:r>
      <w:r>
        <w:rPr>
          <w:rFonts w:hint="eastAsia" w:ascii="宋体" w:hAnsi="宋体" w:cs="宋体"/>
          <w:color w:val="auto"/>
          <w:sz w:val="21"/>
          <w:szCs w:val="21"/>
          <w:highlight w:val="none"/>
          <w:lang w:val="en-US" w:eastAsia="zh-CN"/>
        </w:rPr>
        <w:t>3只</w:t>
      </w:r>
      <w:r>
        <w:rPr>
          <w:rFonts w:hint="eastAsia" w:ascii="宋体" w:hAnsi="宋体" w:eastAsia="宋体" w:cs="宋体"/>
          <w:color w:val="auto"/>
          <w:sz w:val="21"/>
          <w:szCs w:val="21"/>
          <w:highlight w:val="none"/>
          <w:lang w:eastAsia="zh-CN"/>
        </w:rPr>
        <w:t>作为检验样品，</w:t>
      </w:r>
      <w:r>
        <w:rPr>
          <w:rFonts w:hint="eastAsia" w:ascii="宋体" w:hAnsi="宋体" w:cs="宋体"/>
          <w:color w:val="auto"/>
          <w:sz w:val="21"/>
          <w:szCs w:val="21"/>
          <w:highlight w:val="none"/>
          <w:lang w:val="en-US" w:eastAsia="zh-CN"/>
        </w:rPr>
        <w:t>3只</w:t>
      </w:r>
      <w:r>
        <w:rPr>
          <w:rFonts w:hint="eastAsia" w:ascii="宋体" w:hAnsi="宋体" w:eastAsia="宋体" w:cs="宋体"/>
          <w:color w:val="auto"/>
          <w:sz w:val="21"/>
          <w:szCs w:val="21"/>
          <w:highlight w:val="none"/>
          <w:lang w:eastAsia="zh-CN"/>
        </w:rPr>
        <w:t>作为备用样品</w:t>
      </w:r>
      <w:r>
        <w:rPr>
          <w:rFonts w:hint="eastAsia" w:ascii="宋体" w:hAnsi="宋体"/>
          <w:color w:val="auto"/>
          <w:szCs w:val="21"/>
        </w:rPr>
        <w:t xml:space="preserve">。 </w:t>
      </w:r>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表1 </w:t>
      </w:r>
      <w:r>
        <w:rPr>
          <w:rFonts w:hint="eastAsia" w:ascii="宋体" w:hAnsi="宋体" w:cs="宋体"/>
          <w:color w:val="000000"/>
          <w:sz w:val="21"/>
          <w:szCs w:val="21"/>
          <w:lang w:val="en-US" w:eastAsia="zh-CN"/>
        </w:rPr>
        <w:t>独立式感烟火灾探测报警器</w:t>
      </w:r>
      <w:r>
        <w:rPr>
          <w:rFonts w:hint="eastAsia" w:ascii="宋体" w:hAnsi="宋体" w:eastAsia="宋体" w:cs="宋体"/>
          <w:color w:val="000000"/>
          <w:sz w:val="21"/>
          <w:szCs w:val="21"/>
        </w:rPr>
        <w:t>检验项目</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383"/>
        <w:gridCol w:w="3864"/>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0" w:type="pct"/>
            <w:vAlign w:val="center"/>
          </w:tcPr>
          <w:p w14:paraId="1482040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7" w:type="pct"/>
            <w:vAlign w:val="center"/>
          </w:tcPr>
          <w:p w14:paraId="7EEB7D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1EE64B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90" w:type="pct"/>
            <w:vAlign w:val="center"/>
          </w:tcPr>
          <w:p w14:paraId="11050587">
            <w:pPr>
              <w:snapToGrid w:val="0"/>
              <w:spacing w:line="240" w:lineRule="auto"/>
              <w:jc w:val="center"/>
              <w:rPr>
                <w:rFonts w:hint="eastAsia" w:ascii="宋体" w:hAnsi="宋体" w:eastAsia="宋体" w:cs="宋体"/>
                <w:color w:val="000000"/>
                <w:sz w:val="21"/>
                <w:szCs w:val="21"/>
              </w:rPr>
            </w:pPr>
            <w:r>
              <w:rPr>
                <w:rFonts w:hint="eastAsia"/>
                <w:sz w:val="21"/>
                <w:szCs w:val="21"/>
              </w:rPr>
              <w:t>声压级</w:t>
            </w:r>
          </w:p>
        </w:tc>
        <w:tc>
          <w:tcPr>
            <w:tcW w:w="2107" w:type="pct"/>
            <w:vAlign w:val="center"/>
          </w:tcPr>
          <w:p w14:paraId="45D8AD2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 20517-2025</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7CE539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390" w:type="pct"/>
            <w:vAlign w:val="center"/>
          </w:tcPr>
          <w:p w14:paraId="067240AF">
            <w:pPr>
              <w:snapToGrid w:val="0"/>
              <w:spacing w:line="240" w:lineRule="auto"/>
              <w:jc w:val="center"/>
              <w:rPr>
                <w:rFonts w:hint="eastAsia" w:ascii="宋体" w:hAnsi="宋体" w:eastAsia="宋体" w:cs="宋体"/>
                <w:color w:val="000000"/>
                <w:sz w:val="21"/>
                <w:szCs w:val="21"/>
              </w:rPr>
            </w:pPr>
            <w:r>
              <w:rPr>
                <w:rFonts w:hint="eastAsia"/>
                <w:sz w:val="21"/>
                <w:szCs w:val="21"/>
              </w:rPr>
              <w:t>重复性</w:t>
            </w:r>
          </w:p>
        </w:tc>
        <w:tc>
          <w:tcPr>
            <w:tcW w:w="2107" w:type="pct"/>
            <w:vAlign w:val="center"/>
          </w:tcPr>
          <w:p w14:paraId="555141B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 20517-2025</w:t>
            </w:r>
          </w:p>
        </w:tc>
      </w:tr>
      <w:tr w14:paraId="2351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2348CD4">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390" w:type="pct"/>
            <w:vAlign w:val="center"/>
          </w:tcPr>
          <w:p w14:paraId="1FD11814">
            <w:pPr>
              <w:snapToGrid w:val="0"/>
              <w:spacing w:line="240" w:lineRule="auto"/>
              <w:jc w:val="center"/>
              <w:rPr>
                <w:rFonts w:hint="eastAsia" w:ascii="宋体" w:hAnsi="宋体" w:eastAsia="宋体" w:cs="宋体"/>
                <w:color w:val="000000"/>
                <w:sz w:val="21"/>
                <w:szCs w:val="21"/>
              </w:rPr>
            </w:pPr>
            <w:r>
              <w:rPr>
                <w:rFonts w:hint="eastAsia"/>
                <w:sz w:val="21"/>
                <w:szCs w:val="21"/>
              </w:rPr>
              <w:t>方位</w:t>
            </w:r>
          </w:p>
        </w:tc>
        <w:tc>
          <w:tcPr>
            <w:tcW w:w="2107" w:type="pct"/>
            <w:vAlign w:val="center"/>
          </w:tcPr>
          <w:p w14:paraId="789557B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 20517-2025</w:t>
            </w:r>
          </w:p>
        </w:tc>
      </w:tr>
      <w:tr w14:paraId="7433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119F05B">
            <w:pPr>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0" w:type="pct"/>
            <w:vAlign w:val="center"/>
          </w:tcPr>
          <w:p w14:paraId="4763A76C">
            <w:pPr>
              <w:snapToGrid w:val="0"/>
              <w:spacing w:line="240" w:lineRule="auto"/>
              <w:jc w:val="center"/>
              <w:rPr>
                <w:rFonts w:hint="eastAsia" w:ascii="宋体" w:hAnsi="宋体" w:eastAsia="宋体" w:cs="宋体"/>
                <w:color w:val="000000"/>
                <w:sz w:val="21"/>
                <w:szCs w:val="21"/>
                <w:lang w:val="en-US" w:eastAsia="zh-CN"/>
              </w:rPr>
            </w:pPr>
            <w:r>
              <w:rPr>
                <w:rFonts w:hint="eastAsia"/>
                <w:sz w:val="21"/>
                <w:szCs w:val="21"/>
              </w:rPr>
              <w:t>气流稳定性</w:t>
            </w:r>
          </w:p>
        </w:tc>
        <w:tc>
          <w:tcPr>
            <w:tcW w:w="2107" w:type="pct"/>
            <w:vAlign w:val="center"/>
          </w:tcPr>
          <w:p w14:paraId="6FB88A76">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 20517-2025</w:t>
            </w:r>
          </w:p>
        </w:tc>
      </w:tr>
      <w:tr w14:paraId="28FA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6375974">
            <w:pPr>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0" w:type="pct"/>
            <w:vAlign w:val="center"/>
          </w:tcPr>
          <w:p w14:paraId="510B0C2C">
            <w:pPr>
              <w:snapToGrid w:val="0"/>
              <w:spacing w:line="240" w:lineRule="auto"/>
              <w:jc w:val="center"/>
              <w:rPr>
                <w:rFonts w:hint="eastAsia" w:ascii="宋体" w:hAnsi="宋体" w:eastAsia="宋体" w:cs="宋体"/>
                <w:color w:val="000000"/>
                <w:sz w:val="21"/>
                <w:szCs w:val="21"/>
                <w:lang w:val="en-US" w:eastAsia="zh-CN"/>
              </w:rPr>
            </w:pPr>
            <w:bookmarkStart w:id="0" w:name="_GoBack"/>
            <w:r>
              <w:rPr>
                <w:rFonts w:hint="eastAsia"/>
                <w:sz w:val="21"/>
                <w:szCs w:val="21"/>
              </w:rPr>
              <w:t>电池故障报警性能</w:t>
            </w:r>
            <w:bookmarkEnd w:id="0"/>
          </w:p>
        </w:tc>
        <w:tc>
          <w:tcPr>
            <w:tcW w:w="2107" w:type="pct"/>
            <w:vAlign w:val="center"/>
          </w:tcPr>
          <w:p w14:paraId="2C1F7625">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 20517-2025</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 20517-2025《独立式感烟火灾探测报警器》</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6303538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39752C-ECC7-4961-860B-A2B784265F6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5C29AE9A-42EE-400E-8EC0-FADF73B57537}"/>
  </w:font>
  <w:font w:name="仿宋">
    <w:panose1 w:val="02010609060101010101"/>
    <w:charset w:val="86"/>
    <w:family w:val="modern"/>
    <w:pitch w:val="default"/>
    <w:sig w:usb0="800002BF" w:usb1="38CF7CFA" w:usb2="00000016" w:usb3="00000000" w:csb0="00040001" w:csb1="00000000"/>
    <w:embedRegular r:id="rId3" w:fontKey="{5013B14A-3DC7-48B6-AF91-55860E9FC8AF}"/>
  </w:font>
  <w:font w:name="方正仿宋简体">
    <w:altName w:val="微软雅黑"/>
    <w:panose1 w:val="02000000000000000000"/>
    <w:charset w:val="86"/>
    <w:family w:val="auto"/>
    <w:pitch w:val="default"/>
    <w:sig w:usb0="00000000" w:usb1="00000000" w:usb2="00000012" w:usb3="00000000" w:csb0="00040001" w:csb1="00000000"/>
    <w:embedRegular r:id="rId4" w:fontKey="{55DB8923-DBBA-457C-9125-B9B805B5DD1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6A347B"/>
    <w:rsid w:val="01E925F2"/>
    <w:rsid w:val="020C4532"/>
    <w:rsid w:val="023F66B6"/>
    <w:rsid w:val="025263E9"/>
    <w:rsid w:val="02B40E52"/>
    <w:rsid w:val="02D84414"/>
    <w:rsid w:val="0374413D"/>
    <w:rsid w:val="038247D1"/>
    <w:rsid w:val="03C926DB"/>
    <w:rsid w:val="04004189"/>
    <w:rsid w:val="050056E6"/>
    <w:rsid w:val="059C797B"/>
    <w:rsid w:val="061E4834"/>
    <w:rsid w:val="06604E4C"/>
    <w:rsid w:val="06EE2458"/>
    <w:rsid w:val="070677A2"/>
    <w:rsid w:val="078B290D"/>
    <w:rsid w:val="0790350F"/>
    <w:rsid w:val="08F55D20"/>
    <w:rsid w:val="0C8F1FE8"/>
    <w:rsid w:val="0CA10BFA"/>
    <w:rsid w:val="0CD94EDE"/>
    <w:rsid w:val="0D080ACE"/>
    <w:rsid w:val="0D725B91"/>
    <w:rsid w:val="0D9F625A"/>
    <w:rsid w:val="0E460DCC"/>
    <w:rsid w:val="0F331350"/>
    <w:rsid w:val="0FCB77DB"/>
    <w:rsid w:val="101F4A8C"/>
    <w:rsid w:val="10682325"/>
    <w:rsid w:val="106A2B50"/>
    <w:rsid w:val="10794722"/>
    <w:rsid w:val="10B22749"/>
    <w:rsid w:val="1124218F"/>
    <w:rsid w:val="118F66DA"/>
    <w:rsid w:val="11904838"/>
    <w:rsid w:val="11BC387F"/>
    <w:rsid w:val="11DA1F57"/>
    <w:rsid w:val="126B5F58"/>
    <w:rsid w:val="129C5519"/>
    <w:rsid w:val="13C7650B"/>
    <w:rsid w:val="140908D1"/>
    <w:rsid w:val="14164D9C"/>
    <w:rsid w:val="147246C9"/>
    <w:rsid w:val="14997EA7"/>
    <w:rsid w:val="152C0D1B"/>
    <w:rsid w:val="15D51B6F"/>
    <w:rsid w:val="161377E5"/>
    <w:rsid w:val="168E3310"/>
    <w:rsid w:val="17CE60BA"/>
    <w:rsid w:val="17EF7B96"/>
    <w:rsid w:val="1AB53561"/>
    <w:rsid w:val="1B23671D"/>
    <w:rsid w:val="1B9C202B"/>
    <w:rsid w:val="1B9E3FF5"/>
    <w:rsid w:val="1C942B5C"/>
    <w:rsid w:val="1DD97567"/>
    <w:rsid w:val="1E2D1660"/>
    <w:rsid w:val="1E4A2212"/>
    <w:rsid w:val="1EEC32CA"/>
    <w:rsid w:val="1F6D61B8"/>
    <w:rsid w:val="20344F28"/>
    <w:rsid w:val="20564E9E"/>
    <w:rsid w:val="21505D92"/>
    <w:rsid w:val="215B0923"/>
    <w:rsid w:val="21722E7F"/>
    <w:rsid w:val="21A165ED"/>
    <w:rsid w:val="229D6DB5"/>
    <w:rsid w:val="23201794"/>
    <w:rsid w:val="235D4796"/>
    <w:rsid w:val="23615817"/>
    <w:rsid w:val="23621DAC"/>
    <w:rsid w:val="2423153B"/>
    <w:rsid w:val="243B4AD7"/>
    <w:rsid w:val="243E6375"/>
    <w:rsid w:val="25F018F1"/>
    <w:rsid w:val="26103D41"/>
    <w:rsid w:val="270C4509"/>
    <w:rsid w:val="27906EE8"/>
    <w:rsid w:val="283867A6"/>
    <w:rsid w:val="284B72B3"/>
    <w:rsid w:val="2B2362C5"/>
    <w:rsid w:val="2B487ADA"/>
    <w:rsid w:val="2C0C0B07"/>
    <w:rsid w:val="2C504E98"/>
    <w:rsid w:val="2C5F3889"/>
    <w:rsid w:val="2C956D4E"/>
    <w:rsid w:val="2EF44200"/>
    <w:rsid w:val="2F1A178D"/>
    <w:rsid w:val="2FBD0A96"/>
    <w:rsid w:val="30BF25EC"/>
    <w:rsid w:val="312F7547"/>
    <w:rsid w:val="31B55C3F"/>
    <w:rsid w:val="33323549"/>
    <w:rsid w:val="33501C21"/>
    <w:rsid w:val="342015F4"/>
    <w:rsid w:val="34DB19BE"/>
    <w:rsid w:val="35EA010B"/>
    <w:rsid w:val="369167D9"/>
    <w:rsid w:val="36DF7544"/>
    <w:rsid w:val="371F5B92"/>
    <w:rsid w:val="379445DF"/>
    <w:rsid w:val="37A662B4"/>
    <w:rsid w:val="37B7401D"/>
    <w:rsid w:val="38AA5930"/>
    <w:rsid w:val="39184F8F"/>
    <w:rsid w:val="3A65297A"/>
    <w:rsid w:val="3B1F0857"/>
    <w:rsid w:val="3BEF1E4D"/>
    <w:rsid w:val="3CA803D8"/>
    <w:rsid w:val="3D1B7614"/>
    <w:rsid w:val="3DAB4624"/>
    <w:rsid w:val="3E5E3444"/>
    <w:rsid w:val="3EC11C25"/>
    <w:rsid w:val="3ED25BE0"/>
    <w:rsid w:val="3F0D32E4"/>
    <w:rsid w:val="41870F04"/>
    <w:rsid w:val="42DA32B5"/>
    <w:rsid w:val="431F6F1A"/>
    <w:rsid w:val="433E1A96"/>
    <w:rsid w:val="43882D11"/>
    <w:rsid w:val="45992FB4"/>
    <w:rsid w:val="45DD5596"/>
    <w:rsid w:val="45FD1795"/>
    <w:rsid w:val="4642364B"/>
    <w:rsid w:val="46492C2C"/>
    <w:rsid w:val="476D59BD"/>
    <w:rsid w:val="48396CD0"/>
    <w:rsid w:val="489B34E7"/>
    <w:rsid w:val="489D2DBB"/>
    <w:rsid w:val="48FF3A76"/>
    <w:rsid w:val="49261002"/>
    <w:rsid w:val="4BA95A36"/>
    <w:rsid w:val="4C455C43"/>
    <w:rsid w:val="4DDA23BB"/>
    <w:rsid w:val="4E944C60"/>
    <w:rsid w:val="4EB10F1F"/>
    <w:rsid w:val="4EEC684A"/>
    <w:rsid w:val="4EF92D15"/>
    <w:rsid w:val="4FC76963"/>
    <w:rsid w:val="4FF43C08"/>
    <w:rsid w:val="4FFD7F4B"/>
    <w:rsid w:val="51402E7D"/>
    <w:rsid w:val="51C4585C"/>
    <w:rsid w:val="52546BE0"/>
    <w:rsid w:val="525A7F6F"/>
    <w:rsid w:val="52D65847"/>
    <w:rsid w:val="53D120E9"/>
    <w:rsid w:val="543547EF"/>
    <w:rsid w:val="5495528E"/>
    <w:rsid w:val="557D644E"/>
    <w:rsid w:val="56186177"/>
    <w:rsid w:val="56B765BF"/>
    <w:rsid w:val="56E12A0D"/>
    <w:rsid w:val="571701DC"/>
    <w:rsid w:val="574D00A2"/>
    <w:rsid w:val="576158FB"/>
    <w:rsid w:val="587C29ED"/>
    <w:rsid w:val="58B959EF"/>
    <w:rsid w:val="590E1C7A"/>
    <w:rsid w:val="5D79399F"/>
    <w:rsid w:val="5E0A2849"/>
    <w:rsid w:val="5E231B5D"/>
    <w:rsid w:val="5E9D0733"/>
    <w:rsid w:val="5ED35331"/>
    <w:rsid w:val="5F117C07"/>
    <w:rsid w:val="5F577D10"/>
    <w:rsid w:val="5F9C3975"/>
    <w:rsid w:val="5FB707AE"/>
    <w:rsid w:val="60705218"/>
    <w:rsid w:val="62593D9F"/>
    <w:rsid w:val="62AC2121"/>
    <w:rsid w:val="63043D0B"/>
    <w:rsid w:val="63F7386F"/>
    <w:rsid w:val="64175CC0"/>
    <w:rsid w:val="65280A61"/>
    <w:rsid w:val="655F16CC"/>
    <w:rsid w:val="65841133"/>
    <w:rsid w:val="672A3F5C"/>
    <w:rsid w:val="674A015A"/>
    <w:rsid w:val="67784CC7"/>
    <w:rsid w:val="679A7D0A"/>
    <w:rsid w:val="683B2128"/>
    <w:rsid w:val="68447E42"/>
    <w:rsid w:val="685A261F"/>
    <w:rsid w:val="68B95597"/>
    <w:rsid w:val="69D34437"/>
    <w:rsid w:val="6A9242F2"/>
    <w:rsid w:val="6AD466B8"/>
    <w:rsid w:val="6AF9048F"/>
    <w:rsid w:val="6E8E4DD0"/>
    <w:rsid w:val="6F3C2A7E"/>
    <w:rsid w:val="6FBB1BF5"/>
    <w:rsid w:val="712D08D1"/>
    <w:rsid w:val="716562BC"/>
    <w:rsid w:val="718D5813"/>
    <w:rsid w:val="74143FCA"/>
    <w:rsid w:val="7420296E"/>
    <w:rsid w:val="74890514"/>
    <w:rsid w:val="74B9247B"/>
    <w:rsid w:val="74DF1EE2"/>
    <w:rsid w:val="75DA6B4D"/>
    <w:rsid w:val="760D0CD1"/>
    <w:rsid w:val="7662101C"/>
    <w:rsid w:val="768A2321"/>
    <w:rsid w:val="768F5B89"/>
    <w:rsid w:val="77020109"/>
    <w:rsid w:val="770E4D00"/>
    <w:rsid w:val="77707769"/>
    <w:rsid w:val="77AD276B"/>
    <w:rsid w:val="77FA34D6"/>
    <w:rsid w:val="79586707"/>
    <w:rsid w:val="798B24AE"/>
    <w:rsid w:val="7993773F"/>
    <w:rsid w:val="7A1E34AC"/>
    <w:rsid w:val="7A6F1F5A"/>
    <w:rsid w:val="7ACE4ED2"/>
    <w:rsid w:val="7C7A131B"/>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571</Words>
  <Characters>638</Characters>
  <Lines>59</Lines>
  <Paragraphs>66</Paragraphs>
  <TotalTime>3</TotalTime>
  <ScaleCrop>false</ScaleCrop>
  <LinksUpToDate>false</LinksUpToDate>
  <CharactersWithSpaces>649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2026-07-16T05:56:35Z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07D8D927A7834B9BB35AAE963BE6F6EA_13</vt:lpwstr>
  </property>
  <property fmtid="{D5CDD505-2E9C-101B-9397-08002B2CF9AE}" pid="4" name="KSOTemplateDocerSaveRecord">
    <vt:lpwstr>eyJoZGlkIjoiZTBhOWVkYmUxNzIxNjA1NDFiYzg1MTM4MjRiZDYyMTciLCJ1c2VySWQiOiIxMDgwMjg1NDM4In0=</vt:lpwstr>
  </property>
</Properties>
</file>