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ascii="Times New Roman" w:hAnsi="Times New Roman" w:eastAsia="方正小标宋简体" w:cs="方正仿宋简体"/>
          <w:color w:val="000000"/>
          <w:sz w:val="32"/>
          <w:szCs w:val="32"/>
          <w:lang w:eastAsia="zh-CN"/>
        </w:rPr>
        <w:t>市</w:t>
      </w:r>
      <w:r>
        <w:rPr>
          <w:rFonts w:hint="eastAsia" w:ascii="Times New Roman" w:hAnsi="Times New Roman" w:eastAsia="方正小标宋简体" w:cs="方正仿宋简体"/>
          <w:color w:val="000000"/>
          <w:sz w:val="32"/>
          <w:szCs w:val="32"/>
          <w:lang w:val="en-US" w:eastAsia="zh-CN"/>
        </w:rPr>
        <w:t>热轧型</w:t>
      </w:r>
      <w:r>
        <w:rPr>
          <w:rFonts w:hint="eastAsia" w:eastAsia="方正小标宋简体" w:cs="方正仿宋简体"/>
          <w:color w:val="000000"/>
          <w:sz w:val="32"/>
          <w:szCs w:val="32"/>
          <w:lang w:val="en-US" w:eastAsia="zh-CN"/>
        </w:rPr>
        <w:t>钢</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szCs w:val="21"/>
        </w:rPr>
      </w:pPr>
      <w:r>
        <w:rPr>
          <w:rFonts w:hint="eastAsia" w:ascii="宋体" w:hAnsi="宋体" w:eastAsia="宋体" w:cs="宋体"/>
          <w:color w:val="auto"/>
          <w:sz w:val="21"/>
          <w:szCs w:val="21"/>
          <w:highlight w:val="none"/>
        </w:rPr>
        <w:t>在同一批次的产品中抽取3根型钢，每根型钢截取的长度为2000mm，逐根顺序编号为1～3，再把每根型钢分成2支长度为1000mm的样品，2支样品逐支编号标记，并一一对应（如1-a，1-b），标记a的3支样品为检验样品，标记b的3支样品为备用样品</w:t>
      </w:r>
      <w:r>
        <w:rPr>
          <w:rFonts w:hint="eastAsia" w:ascii="宋体" w:hAnsi="宋体"/>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color w:val="000000"/>
          <w:szCs w:val="21"/>
          <w:lang w:val="en-US" w:eastAsia="zh-CN"/>
        </w:rPr>
        <w:t>热轧型钢</w:t>
      </w:r>
      <w:r>
        <w:rPr>
          <w:rFonts w:hint="eastAsia" w:ascii="宋体" w:hAnsi="宋体" w:eastAsia="宋体" w:cs="宋体"/>
          <w:color w:val="000000"/>
          <w:sz w:val="21"/>
          <w:szCs w:val="21"/>
        </w:rPr>
        <w:t>检验项目</w:t>
      </w:r>
    </w:p>
    <w:tbl>
      <w:tblPr>
        <w:tblStyle w:val="9"/>
        <w:tblW w:w="47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138"/>
        <w:gridCol w:w="3649"/>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3"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10"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21EE64B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3" w:type="pct"/>
            <w:vAlign w:val="center"/>
          </w:tcPr>
          <w:p w14:paraId="5F5EA7B1">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屈服强度</w:t>
            </w:r>
          </w:p>
        </w:tc>
        <w:tc>
          <w:tcPr>
            <w:tcW w:w="2110" w:type="pct"/>
            <w:vAlign w:val="center"/>
          </w:tcPr>
          <w:p w14:paraId="3B4F627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228.1-2021</w:t>
            </w:r>
          </w:p>
        </w:tc>
      </w:tr>
      <w:tr w14:paraId="530E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shd w:val="clear" w:color="auto" w:fill="auto"/>
            <w:vAlign w:val="center"/>
          </w:tcPr>
          <w:p w14:paraId="78583A26">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2393" w:type="pct"/>
            <w:vAlign w:val="center"/>
          </w:tcPr>
          <w:p w14:paraId="095AF2D2">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抗拉强度</w:t>
            </w:r>
          </w:p>
        </w:tc>
        <w:tc>
          <w:tcPr>
            <w:tcW w:w="2110" w:type="pct"/>
            <w:vAlign w:val="center"/>
          </w:tcPr>
          <w:p w14:paraId="321D097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228.1-2021</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shd w:val="clear" w:color="auto" w:fill="auto"/>
            <w:vAlign w:val="center"/>
          </w:tcPr>
          <w:p w14:paraId="47CE539E">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w:t>
            </w:r>
          </w:p>
        </w:tc>
        <w:tc>
          <w:tcPr>
            <w:tcW w:w="2393" w:type="pct"/>
            <w:vAlign w:val="center"/>
          </w:tcPr>
          <w:p w14:paraId="32725F2A">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断后伸长率</w:t>
            </w:r>
          </w:p>
        </w:tc>
        <w:tc>
          <w:tcPr>
            <w:tcW w:w="2110" w:type="pct"/>
            <w:vAlign w:val="center"/>
          </w:tcPr>
          <w:p w14:paraId="285F1B6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228.1-2021</w:t>
            </w:r>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shd w:val="clear" w:color="auto" w:fill="auto"/>
            <w:vAlign w:val="center"/>
          </w:tcPr>
          <w:p w14:paraId="32348CD4">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4</w:t>
            </w:r>
          </w:p>
        </w:tc>
        <w:tc>
          <w:tcPr>
            <w:tcW w:w="2393" w:type="pct"/>
            <w:vAlign w:val="center"/>
          </w:tcPr>
          <w:p w14:paraId="21987CD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冲击试验</w:t>
            </w:r>
          </w:p>
        </w:tc>
        <w:tc>
          <w:tcPr>
            <w:tcW w:w="2110" w:type="pct"/>
            <w:vAlign w:val="center"/>
          </w:tcPr>
          <w:p w14:paraId="52AD6D16">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229-2020</w:t>
            </w:r>
          </w:p>
        </w:tc>
      </w:tr>
      <w:tr w14:paraId="743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shd w:val="clear" w:color="auto" w:fill="auto"/>
            <w:vAlign w:val="center"/>
          </w:tcPr>
          <w:p w14:paraId="7119F05B">
            <w:pPr>
              <w:snapToGrid w:val="0"/>
              <w:spacing w:line="240" w:lineRule="auto"/>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w:t>
            </w:r>
          </w:p>
        </w:tc>
        <w:tc>
          <w:tcPr>
            <w:tcW w:w="2393" w:type="pct"/>
            <w:vAlign w:val="center"/>
          </w:tcPr>
          <w:p w14:paraId="0D62A507">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弯曲试验</w:t>
            </w:r>
          </w:p>
        </w:tc>
        <w:tc>
          <w:tcPr>
            <w:tcW w:w="2110" w:type="pct"/>
            <w:vAlign w:val="center"/>
          </w:tcPr>
          <w:p w14:paraId="08F7595A">
            <w:pPr>
              <w:snapToGrid w:val="0"/>
              <w:spacing w:line="240" w:lineRule="auto"/>
              <w:jc w:val="center"/>
              <w:rPr>
                <w:rFonts w:hint="eastAsia" w:ascii="宋体" w:hAnsi="宋体" w:eastAsia="宋体" w:cs="宋体"/>
                <w:color w:val="000000"/>
                <w:sz w:val="21"/>
                <w:szCs w:val="21"/>
              </w:rPr>
            </w:pPr>
            <w:r>
              <w:rPr>
                <w:rFonts w:hint="eastAsia" w:ascii="宋体" w:hAnsi="宋体"/>
                <w:color w:val="000000"/>
                <w:szCs w:val="21"/>
                <w:lang w:val="en-US" w:eastAsia="zh-CN"/>
              </w:rPr>
              <w:t>GB/T 232-2024</w:t>
            </w:r>
          </w:p>
        </w:tc>
      </w:tr>
      <w:tr w14:paraId="28FA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shd w:val="clear" w:color="auto" w:fill="auto"/>
            <w:vAlign w:val="center"/>
          </w:tcPr>
          <w:p w14:paraId="76375974">
            <w:pPr>
              <w:snapToGrid w:val="0"/>
              <w:spacing w:line="240" w:lineRule="auto"/>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6</w:t>
            </w:r>
          </w:p>
        </w:tc>
        <w:tc>
          <w:tcPr>
            <w:tcW w:w="2393" w:type="pct"/>
            <w:vAlign w:val="center"/>
          </w:tcPr>
          <w:p w14:paraId="2DFAD469">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尺寸</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外形</w:t>
            </w:r>
            <w:r>
              <w:rPr>
                <w:rFonts w:hint="eastAsia" w:ascii="宋体" w:hAnsi="宋体" w:cs="宋体"/>
                <w:color w:val="000000"/>
                <w:sz w:val="21"/>
                <w:szCs w:val="21"/>
                <w:lang w:val="en-US" w:eastAsia="zh-CN"/>
              </w:rPr>
              <w:t>允许偏差</w:t>
            </w:r>
          </w:p>
        </w:tc>
        <w:tc>
          <w:tcPr>
            <w:tcW w:w="2110" w:type="pct"/>
            <w:vAlign w:val="center"/>
          </w:tcPr>
          <w:p w14:paraId="770E01B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706-2016</w:t>
            </w:r>
          </w:p>
        </w:tc>
      </w:tr>
    </w:tbl>
    <w:p w14:paraId="5AD82912">
      <w:pPr>
        <w:snapToGrid w:val="0"/>
        <w:spacing w:line="440" w:lineRule="exact"/>
        <w:jc w:val="center"/>
        <w:rPr>
          <w:rFonts w:hint="eastAsia" w:ascii="宋体" w:hAnsi="宋体" w:eastAsia="宋体" w:cs="宋体"/>
          <w:color w:val="000000"/>
          <w:sz w:val="21"/>
          <w:szCs w:val="21"/>
        </w:rPr>
      </w:pPr>
    </w:p>
    <w:p w14:paraId="4E20F540">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w:t>
      </w:r>
      <w:r>
        <w:rPr>
          <w:rFonts w:hint="eastAsia" w:ascii="宋体" w:hAnsi="宋体"/>
          <w:color w:val="000000"/>
          <w:szCs w:val="21"/>
          <w:lang w:val="en-US" w:eastAsia="zh-CN"/>
        </w:rPr>
        <w:t>热轧H型钢和剖分T型钢</w:t>
      </w:r>
      <w:r>
        <w:rPr>
          <w:rFonts w:hint="eastAsia" w:ascii="宋体" w:hAnsi="宋体" w:eastAsia="宋体" w:cs="宋体"/>
          <w:color w:val="000000"/>
          <w:sz w:val="21"/>
          <w:szCs w:val="21"/>
        </w:rPr>
        <w:t>检验项目</w:t>
      </w:r>
    </w:p>
    <w:tbl>
      <w:tblPr>
        <w:tblStyle w:val="9"/>
        <w:tblW w:w="47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143"/>
        <w:gridCol w:w="3653"/>
      </w:tblGrid>
      <w:tr w14:paraId="36B0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7024D18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3" w:type="pct"/>
            <w:vAlign w:val="center"/>
          </w:tcPr>
          <w:p w14:paraId="3640D7A2">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10" w:type="pct"/>
            <w:vAlign w:val="center"/>
          </w:tcPr>
          <w:p w14:paraId="2509ABB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525E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05B8B735">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3" w:type="pct"/>
            <w:vAlign w:val="center"/>
          </w:tcPr>
          <w:p w14:paraId="332178E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屈服强度</w:t>
            </w:r>
          </w:p>
        </w:tc>
        <w:tc>
          <w:tcPr>
            <w:tcW w:w="2110" w:type="pct"/>
            <w:vAlign w:val="center"/>
          </w:tcPr>
          <w:p w14:paraId="1E60E50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228.1-2021</w:t>
            </w:r>
          </w:p>
        </w:tc>
      </w:tr>
      <w:tr w14:paraId="1050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shd w:val="clear" w:color="auto" w:fill="auto"/>
            <w:vAlign w:val="center"/>
          </w:tcPr>
          <w:p w14:paraId="2A5E0C59">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2393" w:type="pct"/>
            <w:vAlign w:val="center"/>
          </w:tcPr>
          <w:p w14:paraId="50ED655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抗拉强度</w:t>
            </w:r>
          </w:p>
        </w:tc>
        <w:tc>
          <w:tcPr>
            <w:tcW w:w="2110" w:type="pct"/>
            <w:vAlign w:val="center"/>
          </w:tcPr>
          <w:p w14:paraId="107170E5">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228.1-2021</w:t>
            </w:r>
          </w:p>
        </w:tc>
      </w:tr>
      <w:tr w14:paraId="0B20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shd w:val="clear" w:color="auto" w:fill="auto"/>
            <w:vAlign w:val="center"/>
          </w:tcPr>
          <w:p w14:paraId="4D25F019">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w:t>
            </w:r>
          </w:p>
        </w:tc>
        <w:tc>
          <w:tcPr>
            <w:tcW w:w="2393" w:type="pct"/>
            <w:vAlign w:val="center"/>
          </w:tcPr>
          <w:p w14:paraId="70808F4A">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断后伸长率</w:t>
            </w:r>
          </w:p>
        </w:tc>
        <w:tc>
          <w:tcPr>
            <w:tcW w:w="2110" w:type="pct"/>
            <w:vAlign w:val="center"/>
          </w:tcPr>
          <w:p w14:paraId="1DFB42B0">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228.1-2021</w:t>
            </w:r>
          </w:p>
        </w:tc>
      </w:tr>
      <w:tr w14:paraId="04F6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shd w:val="clear" w:color="auto" w:fill="auto"/>
            <w:vAlign w:val="center"/>
          </w:tcPr>
          <w:p w14:paraId="2E7E009D">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4</w:t>
            </w:r>
          </w:p>
        </w:tc>
        <w:tc>
          <w:tcPr>
            <w:tcW w:w="2393" w:type="pct"/>
            <w:vAlign w:val="center"/>
          </w:tcPr>
          <w:p w14:paraId="2DC5617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冲击试验</w:t>
            </w:r>
          </w:p>
        </w:tc>
        <w:tc>
          <w:tcPr>
            <w:tcW w:w="2110" w:type="pct"/>
            <w:vAlign w:val="center"/>
          </w:tcPr>
          <w:p w14:paraId="27E8F2F0">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229-2020</w:t>
            </w:r>
          </w:p>
        </w:tc>
      </w:tr>
      <w:tr w14:paraId="7ED5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shd w:val="clear" w:color="auto" w:fill="auto"/>
            <w:vAlign w:val="center"/>
          </w:tcPr>
          <w:p w14:paraId="7D2452D5">
            <w:pPr>
              <w:snapToGrid w:val="0"/>
              <w:spacing w:line="240" w:lineRule="auto"/>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w:t>
            </w:r>
          </w:p>
        </w:tc>
        <w:tc>
          <w:tcPr>
            <w:tcW w:w="2393" w:type="pct"/>
            <w:vAlign w:val="center"/>
          </w:tcPr>
          <w:p w14:paraId="226291B8">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弯曲试验</w:t>
            </w:r>
          </w:p>
        </w:tc>
        <w:tc>
          <w:tcPr>
            <w:tcW w:w="2110" w:type="pct"/>
            <w:vAlign w:val="center"/>
          </w:tcPr>
          <w:p w14:paraId="31E6AD78">
            <w:pPr>
              <w:snapToGrid w:val="0"/>
              <w:spacing w:line="240" w:lineRule="auto"/>
              <w:jc w:val="center"/>
              <w:rPr>
                <w:rFonts w:hint="eastAsia" w:ascii="宋体" w:hAnsi="宋体" w:eastAsia="宋体" w:cs="宋体"/>
                <w:color w:val="000000"/>
                <w:sz w:val="21"/>
                <w:szCs w:val="21"/>
              </w:rPr>
            </w:pPr>
            <w:r>
              <w:rPr>
                <w:rFonts w:hint="eastAsia" w:ascii="宋体" w:hAnsi="宋体"/>
                <w:color w:val="000000"/>
                <w:szCs w:val="21"/>
                <w:lang w:val="en-US" w:eastAsia="zh-CN"/>
              </w:rPr>
              <w:t>GB/T 232-2024</w:t>
            </w:r>
          </w:p>
        </w:tc>
      </w:tr>
      <w:tr w14:paraId="34B3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shd w:val="clear" w:color="auto" w:fill="auto"/>
            <w:vAlign w:val="center"/>
          </w:tcPr>
          <w:p w14:paraId="08C8A80B">
            <w:pPr>
              <w:snapToGrid w:val="0"/>
              <w:spacing w:line="240" w:lineRule="auto"/>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6</w:t>
            </w:r>
            <w:bookmarkStart w:id="0" w:name="_GoBack"/>
            <w:bookmarkEnd w:id="0"/>
          </w:p>
        </w:tc>
        <w:tc>
          <w:tcPr>
            <w:tcW w:w="2393" w:type="pct"/>
            <w:vAlign w:val="center"/>
          </w:tcPr>
          <w:p w14:paraId="0726B7C2">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尺寸</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外形</w:t>
            </w:r>
            <w:r>
              <w:rPr>
                <w:rFonts w:hint="eastAsia" w:ascii="宋体" w:hAnsi="宋体" w:cs="宋体"/>
                <w:color w:val="000000"/>
                <w:sz w:val="21"/>
                <w:szCs w:val="21"/>
                <w:lang w:val="en-US" w:eastAsia="zh-CN"/>
              </w:rPr>
              <w:t>允许偏差</w:t>
            </w:r>
          </w:p>
        </w:tc>
        <w:tc>
          <w:tcPr>
            <w:tcW w:w="2110" w:type="pct"/>
            <w:vAlign w:val="center"/>
          </w:tcPr>
          <w:p w14:paraId="61C5DEE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11263-2024</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1C39FCAF">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GB/T 706-2016《热轧型钢》</w:t>
      </w:r>
    </w:p>
    <w:p w14:paraId="3BAB874E">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 xml:space="preserve">GB/T 11263-2024《热轧H型钢和剖分T型钢》 </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6303538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CC7C06-15D8-4023-84CA-9F2031C54D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6C74603-3B1C-4CD7-BC9B-3B634380D627}"/>
  </w:font>
  <w:font w:name="仿宋">
    <w:panose1 w:val="02010609060101010101"/>
    <w:charset w:val="86"/>
    <w:family w:val="modern"/>
    <w:pitch w:val="default"/>
    <w:sig w:usb0="800002BF" w:usb1="38CF7CFA" w:usb2="00000016" w:usb3="00000000" w:csb0="00040001" w:csb1="00000000"/>
    <w:embedRegular r:id="rId3" w:fontKey="{00E86D6A-C053-44E9-99D4-0E4863F30734}"/>
  </w:font>
  <w:font w:name="方正仿宋简体">
    <w:altName w:val="微软雅黑"/>
    <w:panose1 w:val="02000000000000000000"/>
    <w:charset w:val="86"/>
    <w:family w:val="auto"/>
    <w:pitch w:val="default"/>
    <w:sig w:usb0="00000000" w:usb1="00000000" w:usb2="00000012" w:usb3="00000000" w:csb0="00040001" w:csb1="00000000"/>
    <w:embedRegular r:id="rId4" w:fontKey="{DF11759E-06EF-44BC-871E-7BF0F7C48787}"/>
  </w:font>
  <w:font w:name="微软雅黑">
    <w:panose1 w:val="020B0503020204020204"/>
    <w:charset w:val="86"/>
    <w:family w:val="auto"/>
    <w:pitch w:val="default"/>
    <w:sig w:usb0="80000287" w:usb1="2ACF3C50" w:usb2="00000016" w:usb3="00000000" w:csb0="0004001F" w:csb1="00000000"/>
  </w:font>
  <w:font w:name="WPSEMBED7">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6A347B"/>
    <w:rsid w:val="01E925F2"/>
    <w:rsid w:val="020C4532"/>
    <w:rsid w:val="023F66B6"/>
    <w:rsid w:val="025263E9"/>
    <w:rsid w:val="02B40E52"/>
    <w:rsid w:val="02D84414"/>
    <w:rsid w:val="0374413D"/>
    <w:rsid w:val="038247D1"/>
    <w:rsid w:val="03C926DB"/>
    <w:rsid w:val="04004189"/>
    <w:rsid w:val="050056E6"/>
    <w:rsid w:val="059C797B"/>
    <w:rsid w:val="061E4834"/>
    <w:rsid w:val="06604E4C"/>
    <w:rsid w:val="06EE2458"/>
    <w:rsid w:val="070677A2"/>
    <w:rsid w:val="078B290D"/>
    <w:rsid w:val="0790350F"/>
    <w:rsid w:val="08F55D20"/>
    <w:rsid w:val="0C8F1FE8"/>
    <w:rsid w:val="0CA10BFA"/>
    <w:rsid w:val="0CD94EDE"/>
    <w:rsid w:val="0D080ACE"/>
    <w:rsid w:val="0D725B91"/>
    <w:rsid w:val="0D9F625A"/>
    <w:rsid w:val="0E460DCC"/>
    <w:rsid w:val="0F331350"/>
    <w:rsid w:val="0FC55A86"/>
    <w:rsid w:val="0FCB77DB"/>
    <w:rsid w:val="101F4A8C"/>
    <w:rsid w:val="10682325"/>
    <w:rsid w:val="106A2B50"/>
    <w:rsid w:val="10794722"/>
    <w:rsid w:val="10B22749"/>
    <w:rsid w:val="1124218F"/>
    <w:rsid w:val="118F66DA"/>
    <w:rsid w:val="11904838"/>
    <w:rsid w:val="11BC387F"/>
    <w:rsid w:val="11CC195D"/>
    <w:rsid w:val="11DA1F57"/>
    <w:rsid w:val="126B5F58"/>
    <w:rsid w:val="129C5519"/>
    <w:rsid w:val="12F2507E"/>
    <w:rsid w:val="13C7650B"/>
    <w:rsid w:val="140908D1"/>
    <w:rsid w:val="14164D9C"/>
    <w:rsid w:val="147246C9"/>
    <w:rsid w:val="147E4E1C"/>
    <w:rsid w:val="14997EA7"/>
    <w:rsid w:val="152C0D1B"/>
    <w:rsid w:val="159C74BB"/>
    <w:rsid w:val="15D51B6F"/>
    <w:rsid w:val="161377E5"/>
    <w:rsid w:val="162609B7"/>
    <w:rsid w:val="168E3310"/>
    <w:rsid w:val="17CE60BA"/>
    <w:rsid w:val="17EF7B96"/>
    <w:rsid w:val="1AB53561"/>
    <w:rsid w:val="1B23671D"/>
    <w:rsid w:val="1B9C202B"/>
    <w:rsid w:val="1B9E3FF5"/>
    <w:rsid w:val="1C942B5C"/>
    <w:rsid w:val="1DD97567"/>
    <w:rsid w:val="1E2D1660"/>
    <w:rsid w:val="1E4A2212"/>
    <w:rsid w:val="1EEC32CA"/>
    <w:rsid w:val="1F6D61B8"/>
    <w:rsid w:val="20344F28"/>
    <w:rsid w:val="20564E9E"/>
    <w:rsid w:val="21505D92"/>
    <w:rsid w:val="21722E7F"/>
    <w:rsid w:val="21A165ED"/>
    <w:rsid w:val="229D6DB5"/>
    <w:rsid w:val="23201794"/>
    <w:rsid w:val="235D4796"/>
    <w:rsid w:val="23615817"/>
    <w:rsid w:val="23621DAC"/>
    <w:rsid w:val="2423153B"/>
    <w:rsid w:val="243B4AD7"/>
    <w:rsid w:val="243E6375"/>
    <w:rsid w:val="25F018F1"/>
    <w:rsid w:val="26103D41"/>
    <w:rsid w:val="26FC6074"/>
    <w:rsid w:val="270C4509"/>
    <w:rsid w:val="27906EE8"/>
    <w:rsid w:val="284B72B3"/>
    <w:rsid w:val="2B2362C5"/>
    <w:rsid w:val="2B487ADA"/>
    <w:rsid w:val="2C0C0B07"/>
    <w:rsid w:val="2C504E98"/>
    <w:rsid w:val="2C5F3889"/>
    <w:rsid w:val="2C956D4E"/>
    <w:rsid w:val="2EF44200"/>
    <w:rsid w:val="2F1A178D"/>
    <w:rsid w:val="2FBD0A96"/>
    <w:rsid w:val="30BF25EC"/>
    <w:rsid w:val="312F7547"/>
    <w:rsid w:val="31B55C3F"/>
    <w:rsid w:val="31E3230A"/>
    <w:rsid w:val="33323549"/>
    <w:rsid w:val="33501C21"/>
    <w:rsid w:val="342015F4"/>
    <w:rsid w:val="34DB19BE"/>
    <w:rsid w:val="35EA010B"/>
    <w:rsid w:val="369167D9"/>
    <w:rsid w:val="36DF7544"/>
    <w:rsid w:val="371F5B92"/>
    <w:rsid w:val="379445DF"/>
    <w:rsid w:val="37A662B4"/>
    <w:rsid w:val="37B7401D"/>
    <w:rsid w:val="38AA5930"/>
    <w:rsid w:val="38D52738"/>
    <w:rsid w:val="39184F8F"/>
    <w:rsid w:val="3A65297A"/>
    <w:rsid w:val="3B1F0857"/>
    <w:rsid w:val="3B710987"/>
    <w:rsid w:val="3BEF1E4D"/>
    <w:rsid w:val="3C414629"/>
    <w:rsid w:val="3CA803D8"/>
    <w:rsid w:val="3CC203DF"/>
    <w:rsid w:val="3D1B7614"/>
    <w:rsid w:val="3DAB4624"/>
    <w:rsid w:val="3E5E3444"/>
    <w:rsid w:val="3EC11C25"/>
    <w:rsid w:val="3ECD3EAC"/>
    <w:rsid w:val="3ED25BE0"/>
    <w:rsid w:val="3F0D32E4"/>
    <w:rsid w:val="41870F04"/>
    <w:rsid w:val="42DA32B5"/>
    <w:rsid w:val="431F6F1A"/>
    <w:rsid w:val="433E1A96"/>
    <w:rsid w:val="43882D11"/>
    <w:rsid w:val="45992FB4"/>
    <w:rsid w:val="45DD5596"/>
    <w:rsid w:val="45FD1795"/>
    <w:rsid w:val="462B2193"/>
    <w:rsid w:val="4642364B"/>
    <w:rsid w:val="46492C2C"/>
    <w:rsid w:val="476D59BD"/>
    <w:rsid w:val="47AF2F63"/>
    <w:rsid w:val="48396CD0"/>
    <w:rsid w:val="489B34E7"/>
    <w:rsid w:val="489D2DBB"/>
    <w:rsid w:val="48CB1898"/>
    <w:rsid w:val="48FF3A76"/>
    <w:rsid w:val="49261002"/>
    <w:rsid w:val="4AEA3517"/>
    <w:rsid w:val="4BA95A36"/>
    <w:rsid w:val="4C455C43"/>
    <w:rsid w:val="4C771B75"/>
    <w:rsid w:val="4D7F6F33"/>
    <w:rsid w:val="4DDA23BB"/>
    <w:rsid w:val="4E944C60"/>
    <w:rsid w:val="4EB10F1F"/>
    <w:rsid w:val="4EEC684A"/>
    <w:rsid w:val="4EF92D15"/>
    <w:rsid w:val="4FC76963"/>
    <w:rsid w:val="4FF43C08"/>
    <w:rsid w:val="4FFD7F4B"/>
    <w:rsid w:val="51402E7D"/>
    <w:rsid w:val="51C4585C"/>
    <w:rsid w:val="52546BE0"/>
    <w:rsid w:val="525A7F6F"/>
    <w:rsid w:val="52D65847"/>
    <w:rsid w:val="53D120E9"/>
    <w:rsid w:val="53F82F4C"/>
    <w:rsid w:val="543547EF"/>
    <w:rsid w:val="5495528E"/>
    <w:rsid w:val="54BB7356"/>
    <w:rsid w:val="557D644E"/>
    <w:rsid w:val="56186177"/>
    <w:rsid w:val="56B765BF"/>
    <w:rsid w:val="56E12A0D"/>
    <w:rsid w:val="571701DC"/>
    <w:rsid w:val="574D00A2"/>
    <w:rsid w:val="576158FB"/>
    <w:rsid w:val="579977C9"/>
    <w:rsid w:val="587C29ED"/>
    <w:rsid w:val="58B959EF"/>
    <w:rsid w:val="590E1C7A"/>
    <w:rsid w:val="5D79399F"/>
    <w:rsid w:val="5E0A2849"/>
    <w:rsid w:val="5E231B5D"/>
    <w:rsid w:val="5E9D0733"/>
    <w:rsid w:val="5ED35331"/>
    <w:rsid w:val="5F117C07"/>
    <w:rsid w:val="5F577D10"/>
    <w:rsid w:val="5F9C3975"/>
    <w:rsid w:val="5FB707AE"/>
    <w:rsid w:val="60705218"/>
    <w:rsid w:val="62593D9F"/>
    <w:rsid w:val="62AC2121"/>
    <w:rsid w:val="63043D0B"/>
    <w:rsid w:val="63F7386F"/>
    <w:rsid w:val="64175CC0"/>
    <w:rsid w:val="65280A61"/>
    <w:rsid w:val="655F16CC"/>
    <w:rsid w:val="65841133"/>
    <w:rsid w:val="66E8749F"/>
    <w:rsid w:val="672A3F5C"/>
    <w:rsid w:val="674A015A"/>
    <w:rsid w:val="67784CC7"/>
    <w:rsid w:val="679A7D0A"/>
    <w:rsid w:val="683B2128"/>
    <w:rsid w:val="68447E42"/>
    <w:rsid w:val="685A261F"/>
    <w:rsid w:val="68B95597"/>
    <w:rsid w:val="69434E61"/>
    <w:rsid w:val="69D34437"/>
    <w:rsid w:val="6A9242F2"/>
    <w:rsid w:val="6AD466B8"/>
    <w:rsid w:val="6AF9048F"/>
    <w:rsid w:val="6D0D7C60"/>
    <w:rsid w:val="6E8E4DD0"/>
    <w:rsid w:val="6F3C2A7E"/>
    <w:rsid w:val="6FBB1BF5"/>
    <w:rsid w:val="70757FF6"/>
    <w:rsid w:val="70FF0363"/>
    <w:rsid w:val="712D08D1"/>
    <w:rsid w:val="716562BC"/>
    <w:rsid w:val="718D5813"/>
    <w:rsid w:val="71A861A9"/>
    <w:rsid w:val="73CE3C6E"/>
    <w:rsid w:val="74143FCA"/>
    <w:rsid w:val="7420296E"/>
    <w:rsid w:val="74746816"/>
    <w:rsid w:val="74890514"/>
    <w:rsid w:val="74B9247B"/>
    <w:rsid w:val="74DF1EE2"/>
    <w:rsid w:val="75DA6B4D"/>
    <w:rsid w:val="760D0CD1"/>
    <w:rsid w:val="7662101C"/>
    <w:rsid w:val="768A2321"/>
    <w:rsid w:val="768F5B89"/>
    <w:rsid w:val="77020109"/>
    <w:rsid w:val="770E4D00"/>
    <w:rsid w:val="77707769"/>
    <w:rsid w:val="77A22D00"/>
    <w:rsid w:val="77AD276B"/>
    <w:rsid w:val="77F43EF6"/>
    <w:rsid w:val="77FA34D6"/>
    <w:rsid w:val="79586707"/>
    <w:rsid w:val="798B24AE"/>
    <w:rsid w:val="7993773F"/>
    <w:rsid w:val="7A1E34AC"/>
    <w:rsid w:val="7A6F1F5A"/>
    <w:rsid w:val="7ACE4ED2"/>
    <w:rsid w:val="7C744746"/>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818</Words>
  <Characters>1071</Characters>
  <Lines>59</Lines>
  <Paragraphs>66</Paragraphs>
  <TotalTime>18</TotalTime>
  <ScaleCrop>false</ScaleCrop>
  <LinksUpToDate>false</LinksUpToDate>
  <CharactersWithSpaces>1104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跃</cp:lastModifiedBy>
  <cp:lastPrinted>2024-06-05T08:37:00Z</cp:lastPrinted>
  <dcterms:modified xsi:type="dcterms:W3CDTF">2026-07-16T08:17:04Z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07D8D927A7834B9BB35AAE963BE6F6EA_13</vt:lpwstr>
  </property>
  <property fmtid="{D5CDD505-2E9C-101B-9397-08002B2CF9AE}" pid="4" name="KSOTemplateDocerSaveRecord">
    <vt:lpwstr>eyJoZGlkIjoiNGVkYTJiMjE4MzI0YWM0NzlkZTQ2ZjY1NzI2NzgzN2YiLCJ1c2VySWQiOiIxMjAyMDg5MDU5In0=</vt:lpwstr>
  </property>
</Properties>
</file>